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40" w:lineRule="auto"/>
        <w:ind w:left="0" w:right="0" w:firstLine="0"/>
        <w:jc w:val="left"/>
        <w:rPr>
          <w:rFonts w:ascii="Segoe UI" w:eastAsia="Segoe UI" w:hAnsi="Segoe UI" w:cs="Segoe UI"/>
          <w:b w:val="0"/>
          <w:i w:val="0"/>
          <w:strike w:val="0"/>
          <w:color w:val="auto"/>
          <w:sz w:val="24"/>
          <w:highlight w:val="none"/>
          <w:u w:val="none"/>
          <w:vertAlign w:val="baseline"/>
          <w:rtl w:val="0"/>
        </w:rPr>
      </w:pPr>
      <w:r>
        <w:rPr>
          <w:rFonts w:ascii="Segoe UI" w:eastAsia="Segoe UI" w:hAnsi="Segoe UI" w:cs="Segoe UI"/>
          <w:b/>
          <w:i w:val="0"/>
          <w:strike w:val="0"/>
          <w:color w:val="auto"/>
          <w:sz w:val="24"/>
          <w:highlight w:val="none"/>
          <w:u w:val="none"/>
          <w:vertAlign w:val="baseline"/>
          <w:rtl w:val="0"/>
        </w:rPr>
        <w:t>Antimining Struggles and Their Impact on Imperialism in the Andean Region</w:t>
      </w:r>
      <w:r>
        <w:rPr>
          <w:rFonts w:ascii="Segoe UI" w:eastAsia="Segoe UI" w:hAnsi="Segoe UI" w:cs="Segoe UI"/>
          <w:b w:val="0"/>
          <w:i w:val="0"/>
          <w:strike w:val="0"/>
          <w:color w:val="auto"/>
          <w:sz w:val="24"/>
          <w:highlight w:val="none"/>
          <w:u w:val="none"/>
          <w:vertAlign w:val="baseline"/>
          <w:rtl w:val="0"/>
        </w:rPr>
        <w:t>  Antimining struggles require dedicated study and analysis of their effects on the political economy of imperialism, serving as a priority field of contention for the development of class struggle in the Andean region. This is particularly relevant given the centrality of the mining circuit in capital reproduction during a period marked by shared imperialism, ecological crises, and systemic chaos. Indeed, antimining struggles emerge as significant barriers to capital accumulation and imperialist domination in the Andes.  As O'Connor (1984) noted, Marxist theorists have provided limited insights into potential "external barriers" to capitalist accumulation, such as "limits to growth" dictated by natural resource availability or cultural-ideological conditions affecting economic and social reproduction (O'Connor 1984:6). Antisystemic environmental socialist movements represent a vital arena for contestation against attempts by capital and the state to ideologically manipulate the current crisis to restructure economic, political, and social life solely for renewed capitalist accumulation, including a new wave of ideological innovation (O'Connor 1984:23).  The material challenges posed by environmental socialist movements, particularly in the context of antimining struggles in the Andes, extend beyond the ideological battles highlighted by O'Connor. These movements actively contest the militarized accumulation strategies of the world's most powerful economic entities, thereby shaping the collective identity of indigenous and cholo historical resistance. This resistance stands in stark opposition to the reproduction of international banking capitalist state trusts, which facilitate the circulation of finance capital in the mining sector.  The question arises: How do antimining struggles exert antisystemic effects on the capital reproduction of imperialist bourgeoisies? This inquiry opens a multidimensional and multilevel political approach to studying the antisystemic impacts of indigenous and cholo antimining movements in the Andes, representing historical challenges to imperialist domination.  The social formation developing with the constitution of the antimining political identity of the indigenous-cholo peasantry in historical resistance is a relational product of the political economy dynamics of imperialism and the perpetual militarism of its colonial policy over our territories. This antisystemic definition was historically and materially built, interpreted for their own interest as a world antagonist class challenging the top-layer economic formations of the world-economy of shared imperialism.  The use of shields to contest bullets is a human act of life defense when unarmed masses of peasants, students, and workers are shot by the army, which is supposed to protect the people but instead guarantees the reproduction of the finance capital held by the top-layer of international bank state capitalists. The monopolistic tendency and fierce competition over the most important branch of industry in the world-economy of imperialism are the forces driving the process of horizontal capital decentralization of Sino-American finance capital, leading to new imperialist wars of repartition.  Under conditions of shared imperialism, the competition between China and U.S. inter-"national" bank state capitalists is evidenced in the participation of transnational enterprises, such as Atico Canadian Mining, which resulted from the vertical centralization by absorption of the Canadian Toachi Mining Company. This aims to export gold and copper commodity-capital produced in Cotopaxi (Ecuador) to the Quigdao Port in China. The risk factors considered in the March report of Atico Canadian Mining expressed: "[t]he Company is exposed to many risks in conducting its business, including but not limited to metal price risk as the Company derives its revenue from the sale of copper, gold, and silver; credit risk in the normal course of business; currency risk as the Company reports its financial statements in US dollars whereas it operates in jurisdictions that conduct business in other currencies” (SGS Canada 2019).  Recognizing that profits are severely affected by the currency depreciation of the U.S. dollar, the mining commodity-capital will be in surplus-value form produced with advanced capital in U.S. dollars, as the operations are located in Ecuador. Furthermore, the credit risk is augmented as the finance capital circulating in the operations of Atico Canadian Mining in Ecuador should be borne by the China bank state capitalist trust for accumulation of their deficit in gold-money-capital compared to the U.S. total gold-capital reserves monetized expression in the hegemonic U.S. dollar currency.  The dynamics of global finance capital are further complicated by the geopolitical landscape. The prices of gold and copper are gradually stopping to grow due to the incremental tension between Beijing and Washington, the Palestine-Israel war, the gradual positioning of Russia over Ukraine, the U.K.'s drop in supporting military actions in Israel, the Iran military intervention in the Palestine-Israel war, the increasing tension in Taiwan, and the electoral politics of the most advanced democracy in the world, all supporting the concerns of Atico Canadian Mining. This is not an isolated sight or movement; it is happening simultaneously with the horizontal decentralization of Sino-American finance capital impacting the profit-seeking decisions of major economic formations like NVIDIA or Tesla.  The article shows that antimining struggles have an antisystemic effect on the mining circuit of extended capital accumulation and effectively challenge imperialist domination in Peru. By blocking the expansion of mining’s territorial frontier and obstructing the production and circulation of mining commodities, these struggles challenge the mining bourgeoisie and the circulation of its productive capital.  The development of the political identity that began to take form during the early 2000s in the first antimining campaigns executed by effective mobilization of peasant organizations in Cajamarca (Peru) under the strategy of constituting a unique front for the defense of water and land against mining dispossession and destruction, has been radicalized by the socialist leaderships, subnational parties, and electoral politicians. This radicalization reflects a broader trend of increasing awareness and activism among marginalized communities, who recognize the existential threats posed by mining operations to their livelihoods, culture, and environment.  The effectiveness of obstructive mining performances in Peru was revealed at least since 2004, with the success of the mining protests against Minera Yanacocha-Newmont and the withdrawal of government authorization to explore the Quilish mountain in Cajamarca. The increasingly radical nature of the contentious performances by the peasants achieved an uninterrupted blockade of the access route to Minera Yanacocha-Newmont gold mine, significantly affecting its production and profits.  Indeed, the indigenous-cholo peasantry blocks the production and transportation of a compromised volume of mining commodity-capital, during an expected circulation time, with a predetermined organic composition. The increment of the time of circulation in the transformation of surplus-value into profit delays the consumption of the finance capital invested in constant capital, increasing the difference between the rate of surplus-value and the rate of profit, transforming a reduced magnitude of surplus-value into total profit.  When surplus value is transformed into total profit during an expected circulation time, the following dynamics describe this metamorphosis. The total capital advanced to any circuit of reproduction has two components: constant capital and variable capital. The rate of surplus-value is equal to the ratio of surplus-value and variable capital; the rate of profit is equal to the ratio of surplus-value to total capital. The more constant capital increases, the more the difference between total capital and variable capital grows, and the smaller the proportion expressed by the rate of profit in comparison with the rate of surplus-value.  As a whole, the reproduction of finance capital implies the transformation of money-capital into productive-capital for an expected higher rate of profit equal to the ratio between surplus-value already frozen in a certain volume of commodity-capital and the total capital advanced. Indigenous-cholo antimining struggles trigger gold hoarding by imperialist bank state trusts, as gold-holdings are money-capital and commodity-capital simultaneously. The antisystemic obstruction of antimining struggles amplifies the decreasing effect on the rate of profit, consequently reducing the amount of surplus-value transformed into total profit.  In conclusion, the document illustrates that antimining struggles in Los Andes and Latin America take on an antisystemic character, challenging the reproduction of global capitalism to defend their water, lands, and collective identity from imperialist mining. These struggles not only represent a fight for local resources but also embody a broader resistance against the forces of globalization that seek to exploit and commodify natural resources without regard for the communities that depend on them. The ongoing resistance of indigenous and cholo communities serves as a powerful reminder of the need for sustainable practices and respect for human rights in the face of relentless capitalist expansion.  The future of antimining struggles in the Andes will likely hinge on the ability of these communities to forge alliances with other social movements, both locally and globally, to amplify their voices and demands. By building solidarity across different struggles, they can challenge the narratives imposed by imperialist forces and assert their rights to self-determination, environmental justice, and sustainable development. The path forward will require not only resilience and determination but also strategic engagement with broader political and economic systems that shape the realities of life in the Andes.</w:t>
      </w:r>
    </w:p>
    <w:p w:rsidR="00A77B3E">
      <w:pPr>
        <w:bidi w:val="0"/>
        <w:spacing w:before="0" w:after="160" w:line="240" w:lineRule="auto"/>
        <w:ind w:left="0" w:right="0" w:firstLine="0"/>
        <w:jc w:val="left"/>
        <w:rPr>
          <w:rFonts w:ascii="Segoe UI" w:eastAsia="Segoe UI" w:hAnsi="Segoe UI" w:cs="Segoe UI"/>
          <w:b w:val="0"/>
          <w:i w:val="0"/>
          <w:strike w:val="0"/>
          <w:color w:val="auto"/>
          <w:sz w:val="24"/>
          <w:highlight w:val="none"/>
          <w:u w:val="none"/>
          <w:vertAlign w:val="baseline"/>
          <w:rtl w:val="0"/>
        </w:rPr>
      </w:pPr>
    </w:p>
    <w:sectPr>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