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tc>
      </w:tr>
      <w:tr>
        <w:tc>
          <w:tcPr>
            <w:tcW w:type="dxa" w:w="12974"/>
          </w:tcPr>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fill="FFF2CC" w:val="clear"/>
          </w:tcPr>
          <w:p w14:paraId="156D9FC3" w14:textId="5D13CA93" w:rsidR="001C0F79" w:rsidRPr="00A86516" w:rsidRDefault="1EFB355F" w:rsidP="00286901">
            <w:r>
              <w:rPr>
                <w:b w:val="1"/>
                <w:sz w:val="18"/>
              </w:rPr>
              <w:t xml:space="preserve">X -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fill="FFF2CC" w:val="clear"/>
          </w:tcPr>
          <w:p w14:paraId="6E094A27" w14:textId="0B7B6DCA" w:rsidR="001C0F79" w:rsidRPr="00A86516" w:rsidRDefault="76DC36E0" w:rsidP="00286901">
            <w:r>
              <w:rPr>
                <w:b w:val="1"/>
                <w:sz w:val="18"/>
              </w:rPr>
              <w:t xml:space="preserve">X - </w:t>
            </w:r>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fill="FFF2CC" w:val="clear"/>
          </w:tcPr>
          <w:p w14:paraId="48CE56D8" w14:textId="2A83F7AF" w:rsidR="001C0F79" w:rsidRPr="00A86516" w:rsidRDefault="1EFB355F" w:rsidP="00286901">
            <w:r>
              <w:rPr>
                <w:b w:val="1"/>
                <w:sz w:val="18"/>
              </w:rPr>
              <w:t xml:space="preserve">X -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fill="FFF2CC" w:val="clear"/>
          </w:tcPr>
          <w:p w14:paraId="76696DCF" w14:textId="58806ADE" w:rsidR="001C0F79" w:rsidRPr="00A86516" w:rsidRDefault="1EFB355F" w:rsidP="00286901">
            <w:r>
              <w:rPr>
                <w:b w:val="1"/>
                <w:sz w:val="18"/>
              </w:rPr>
              <w:t xml:space="preserve">X -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fill="FFF2CC" w:val="clear"/>
          </w:tcPr>
          <w:p w14:paraId="76B04757" w14:textId="2D59F033" w:rsidR="001C0F79" w:rsidRPr="00A86516" w:rsidRDefault="1EFB355F" w:rsidP="00286901">
            <w:r>
              <w:rPr>
                <w:b w:val="1"/>
                <w:sz w:val="18"/>
              </w:rPr>
              <w:t xml:space="preserve">X -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fill="FFF2CC" w:val="clear"/>
          </w:tcPr>
          <w:p w14:paraId="4BC941F4" w14:textId="3C39338B" w:rsidR="001C0F79" w:rsidRPr="00A86516" w:rsidRDefault="1EFB355F" w:rsidP="00286901">
            <w:r>
              <w:rPr>
                <w:b w:val="1"/>
                <w:sz w:val="18"/>
              </w:rPr>
              <w:t xml:space="preserve">X -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shd w:fill="FFF2CC" w:val="clear"/>
          </w:tcPr>
          <w:p w14:paraId="0C0CE387" w14:textId="4FFB9C92" w:rsidR="001C0F79" w:rsidRPr="00A86516" w:rsidRDefault="29F26AF6" w:rsidP="00286901">
            <w:r>
              <w:rPr>
                <w:b w:val="1"/>
                <w:sz w:val="18"/>
              </w:rPr>
              <w:t xml:space="preserve">X -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fill="FFF2CC" w:val="clear"/>
          </w:tcPr>
          <w:p w14:paraId="7AD94596" w14:textId="167B3716" w:rsidR="001C0F79" w:rsidRPr="00A86516" w:rsidRDefault="1EFB355F" w:rsidP="00286901">
            <w:r>
              <w:rPr>
                <w:b w:val="1"/>
                <w:sz w:val="18"/>
              </w:rPr>
              <w:t xml:space="preserve">X -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shd w:fill="FFF2CC" w:val="clear"/>
          </w:tcPr>
          <w:p w14:paraId="2B98E53F" w14:textId="77777777" w:rsidR="001C0F79" w:rsidRPr="00A86516" w:rsidRDefault="1EFB355F" w:rsidP="00286901">
            <w:r>
              <w:rPr>
                <w:b w:val="1"/>
                <w:sz w:val="18"/>
              </w:rPr>
              <w:t xml:space="preserve">X -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fill="FFF2CC" w:val="clear"/>
          </w:tcPr>
          <w:p w14:paraId="3E25DE61" w14:textId="77777777" w:rsidR="001C0F79" w:rsidRPr="00A86516" w:rsidRDefault="1EFB355F" w:rsidP="00286901">
            <w:r>
              <w:rPr>
                <w:b w:val="1"/>
                <w:sz w:val="18"/>
              </w:rPr>
              <w:t xml:space="preserve">X -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fill="FFF2CC" w:val="clear"/>
          </w:tcPr>
          <w:p w14:paraId="43C3D76F" w14:textId="49F58DF2" w:rsidR="009A5FF7" w:rsidRPr="001C0F79" w:rsidRDefault="68DF5BB9" w:rsidP="00286901">
            <w:r>
              <w:rPr>
                <w:b w:val="1"/>
                <w:sz w:val="18"/>
              </w:rPr>
              <w:t xml:space="preserve">X - </w:t>
            </w:r>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pPr>
        <w:spacing w:after="40"/>
      </w:pPr>
      <w:r>
        <w:rPr>
          <w:b/>
          <w:sz w:val="22"/>
        </w:rPr>
        <w:t>Autoevaluación - Joaquín Ignacio Orellana Canales</w:t>
      </w:r>
    </w:p>
    <w:p>
      <w:pPr>
        <w:spacing w:after="40"/>
      </w:pPr>
      <w:r>
        <w:rPr>
          <w:sz w:val="17"/>
        </w:rPr>
        <w:t>Resultado estimado: 84% de logro. El indicador 12 (componente en inglés) no se considera en esta entrega.</w:t>
      </w:r>
    </w:p>
    <w:p>
      <w:pPr>
        <w:spacing w:after="40"/>
      </w:pPr>
      <w:r>
        <w:rPr>
          <w:b/>
          <w:sz w:val="17"/>
        </w:rPr>
        <w:t xml:space="preserve">Fortalezas: </w:t>
      </w:r>
      <w:r>
        <w:rPr>
          <w:sz w:val="17"/>
        </w:rPr>
        <w:t>problema y relevancia claramente definidos, objetivos coherentes, metodología ágil, factibilidad y evidencias bien justificadas.</w:t>
      </w:r>
    </w:p>
    <w:p>
      <w:pPr>
        <w:spacing w:after="40"/>
      </w:pPr>
      <w:r>
        <w:rPr>
          <w:b/>
          <w:sz w:val="17"/>
        </w:rPr>
        <w:t xml:space="preserve">Aspectos por mejorar: </w:t>
      </w:r>
      <w:r>
        <w:rPr>
          <w:sz w:val="17"/>
        </w:rPr>
        <w:t>explicitar facilitadores y obstaculizadores en el plan de trabajo, revisar redacción y ortografía, y relacionar de forma más directa los indicadores de calidad disciplinarios con la propuesta.</w:t>
      </w:r>
    </w:p>
    <w:p>
      <w:r>
        <w:rPr>
          <w:b/>
          <w:sz w:val="17"/>
        </w:rPr>
        <w:t xml:space="preserve">Reflexión: </w:t>
      </w:r>
      <w:r>
        <w:rPr>
          <w:sz w:val="17"/>
        </w:rPr>
        <w:t>La Fase 1 permitió delimitar MicroLogist como un MVP factible y orientado a una necesidad administrativa real del transporte de pasajeros. La propuesta cuenta con una base clara para continuar con la validación, el diseño y el desarrollo, reforzando antes de la evaluación sumativa los aspectos formales identificados.</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