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4A"/>
          <w:sz w:val="54"/>
        </w:rPr>
        <w:t>PDAC Nanotherapeutic Architecture</w:t>
      </w:r>
    </w:p>
    <w:p>
      <w:pPr>
        <w:jc w:val="center"/>
      </w:pPr>
      <w:r>
        <w:rPr>
          <w:color w:val="1D5A6B"/>
          <w:sz w:val="30"/>
        </w:rPr>
        <w:t>Version 4.0.0 — Multiscale In Silico Framework for Nanoparticle Transport,</w:t>
        <w:br/>
        <w:t>Ferroptosis Dynamics, Sensitivity Analysis, Calibration and Dosing Optimization</w:t>
      </w:r>
    </w:p>
    <w:tbl>
      <w:tblPr>
        <w:tblStyle w:val="TableGrid"/>
        <w:tblW w:type="auto" w:w="0"/>
        <w:jc w:val="center"/>
        <w:tblLook w:firstColumn="1" w:firstRow="1" w:lastColumn="0" w:lastRow="0" w:noHBand="0" w:noVBand="1" w:val="04A0"/>
      </w:tblPr>
      <w:tblGrid>
        <w:gridCol w:w="4968"/>
        <w:gridCol w:w="4968"/>
      </w:tblGrid>
      <w:tr>
        <w:tc>
          <w:tcPr>
            <w:tcW w:type="dxa" w:w="4968"/>
            <w:shd w:fill="173E4D"/>
            <w:vAlign w:val="center"/>
          </w:tcPr>
          <w:p>
            <w:r>
              <w:rPr>
                <w:b/>
                <w:color w:val="FFFFFF"/>
              </w:rPr>
              <w:t>Author</w:t>
            </w:r>
          </w:p>
        </w:tc>
        <w:tc>
          <w:tcPr>
            <w:tcW w:type="dxa" w:w="4968"/>
          </w:tcPr>
          <w:p>
            <w:r>
              <w:t>Moreno Sánchez-Campa, José María</w:t>
            </w:r>
          </w:p>
        </w:tc>
      </w:tr>
      <w:tr>
        <w:tc>
          <w:tcPr>
            <w:tcW w:type="dxa" w:w="4968"/>
            <w:shd w:fill="173E4D"/>
            <w:vAlign w:val="center"/>
          </w:tcPr>
          <w:p>
            <w:r>
              <w:rPr>
                <w:b/>
                <w:color w:val="FFFFFF"/>
              </w:rPr>
              <w:t>Year</w:t>
            </w:r>
          </w:p>
        </w:tc>
        <w:tc>
          <w:tcPr>
            <w:tcW w:type="dxa" w:w="4968"/>
          </w:tcPr>
          <w:p>
            <w:r>
              <w:t>2026</w:t>
            </w:r>
          </w:p>
        </w:tc>
      </w:tr>
      <w:tr>
        <w:tc>
          <w:tcPr>
            <w:tcW w:type="dxa" w:w="4968"/>
            <w:shd w:fill="173E4D"/>
            <w:vAlign w:val="center"/>
          </w:tcPr>
          <w:p>
            <w:r>
              <w:rPr>
                <w:b/>
                <w:color w:val="FFFFFF"/>
              </w:rPr>
              <w:t>Category</w:t>
            </w:r>
          </w:p>
        </w:tc>
        <w:tc>
          <w:tcPr>
            <w:tcW w:type="dxa" w:w="4968"/>
          </w:tcPr>
          <w:p>
            <w:r>
              <w:t>Project Proposal / Computational Proof of Concept</w:t>
            </w:r>
          </w:p>
        </w:tc>
      </w:tr>
      <w:tr>
        <w:tc>
          <w:tcPr>
            <w:tcW w:type="dxa" w:w="4968"/>
            <w:shd w:fill="173E4D"/>
            <w:vAlign w:val="center"/>
          </w:tcPr>
          <w:p>
            <w:r>
              <w:rPr>
                <w:b/>
                <w:color w:val="FFFFFF"/>
              </w:rPr>
              <w:t>License</w:t>
            </w:r>
          </w:p>
        </w:tc>
        <w:tc>
          <w:tcPr>
            <w:tcW w:type="dxa" w:w="4968"/>
          </w:tcPr>
          <w:p>
            <w:r>
              <w:t>Creative Commons Attribution 4.0 International (CC BY 4.0)</w:t>
            </w:r>
          </w:p>
        </w:tc>
      </w:tr>
      <w:tr>
        <w:tc>
          <w:tcPr>
            <w:tcW w:type="dxa" w:w="4968"/>
            <w:shd w:fill="173E4D"/>
            <w:vAlign w:val="center"/>
          </w:tcPr>
          <w:p>
            <w:r>
              <w:rPr>
                <w:b/>
                <w:color w:val="FFFFFF"/>
              </w:rPr>
              <w:t>DOI</w:t>
            </w:r>
          </w:p>
        </w:tc>
        <w:tc>
          <w:tcPr>
            <w:tcW w:type="dxa" w:w="4968"/>
          </w:tcPr>
          <w:p>
            <w:r>
              <w:t>10.5281/zenodo.22764930</w:t>
            </w:r>
          </w:p>
        </w:tc>
      </w:tr>
      <w:tr>
        <w:tc>
          <w:tcPr>
            <w:tcW w:type="dxa" w:w="4968"/>
            <w:shd w:fill="173E4D"/>
            <w:vAlign w:val="center"/>
          </w:tcPr>
          <w:p>
            <w:r>
              <w:rPr>
                <w:b/>
                <w:color w:val="FFFFFF"/>
              </w:rPr>
              <w:t>ORCID</w:t>
            </w:r>
          </w:p>
        </w:tc>
        <w:tc>
          <w:tcPr>
            <w:tcW w:type="dxa" w:w="4968"/>
          </w:tcPr>
          <w:p>
            <w:r>
              <w:t>0009-0000-0927-7397</w:t>
            </w:r>
          </w:p>
        </w:tc>
      </w:tr>
      <w:tr>
        <w:tc>
          <w:tcPr>
            <w:tcW w:type="dxa" w:w="4968"/>
            <w:shd w:fill="173E4D"/>
            <w:vAlign w:val="center"/>
          </w:tcPr>
          <w:p>
            <w:r>
              <w:rPr>
                <w:b/>
                <w:color w:val="FFFFFF"/>
              </w:rPr>
              <w:t>Scientific status</w:t>
            </w:r>
          </w:p>
        </w:tc>
        <w:tc>
          <w:tcPr>
            <w:tcW w:type="dxa" w:w="4968"/>
          </w:tcPr>
          <w:p>
            <w:r>
              <w:t>Computational proof of concept; not a clinical, preclinical, or therapeutic validation</w:t>
            </w:r>
          </w:p>
        </w:tc>
      </w:tr>
    </w:tbl>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wide_infographic_poster_in_a_scientific_academic.png"/>
                    <pic:cNvPicPr/>
                  </pic:nvPicPr>
                  <pic:blipFill>
                    <a:blip r:embed="rId9"/>
                    <a:stretch>
                      <a:fillRect/>
                    </a:stretch>
                  </pic:blipFill>
                  <pic:spPr>
                    <a:xfrm>
                      <a:off x="0" y="0"/>
                      <a:ext cx="6309360" cy="4206240"/>
                    </a:xfrm>
                    <a:prstGeom prst="rect"/>
                  </pic:spPr>
                </pic:pic>
              </a:graphicData>
            </a:graphic>
          </wp:inline>
        </w:drawing>
      </w:r>
    </w:p>
    <w:p>
      <w:pPr>
        <w:pStyle w:val="CaptionNote"/>
        <w:jc w:val="center"/>
      </w:pPr>
      <w:r>
        <w:t>Graphical overview of the v4.0.0 architecture. The infographic is explanatory; numerical results remain governed by the executable code and output files.</w:t>
      </w:r>
    </w:p>
    <w:p>
      <w:r>
        <w:br w:type="page"/>
      </w:r>
    </w:p>
    <w:p>
      <w:pPr>
        <w:pStyle w:val="Heading1"/>
      </w:pPr>
      <w:r>
        <w:t>Abstract</w:t>
      </w:r>
    </w:p>
    <w:p>
      <w:r>
        <w:t>PDAC Nanotherapeutic Architecture v4.0.0 is a computational proof-of-concept framework for studying how nanoparticle physicochemical properties, stromal transport, drug delivery, intracellular ferroptosis-related states, stochastic variability and treatment scheduling may interact in pancreatic ductal adenocarcinoma (PDAC). The project is intentionally multiscale. At the transport level, effective diffusion is represented by a Stokes–Einstein term modified by steric hindrance. At the tissue level, spatially heterogeneous diffusion can be propagated through a two-dimensional concentration model. At the intracellular level, GPX4-related antioxidant capacity, reactive oxygen species (ROS), labile iron and lipid peroxidation are represented by algebraic and time-dependent dynamical models. Global uncertainty is studied using Latin hypercube sampling with partial rank correlation coefficients (PRCC), bootstrap confidence intervals and variance-based Sobol indices. A calibration layer permits fitting model weights to observed or public data, while an independent validation layer is reserved for data not used during fitting. A constrained optimization module provides an in silico mechanism for exploring dosing schedules under explicitly defined efficacy and penalty terms. Human repositories such as TCGA/GDC, GTEx, NCBI GEO and CPTAC/PDC are treated as potential sources for calibration and external validation; transcript abundance is not equated with protein concentration or biochemical activity without an explicit mapping model. Accordingly, v4.0.0 is a hypothesis-generating computational platform rather than a validated therapy. Its main contribution is the integration of transport, systems biology, uncertainty quantification and optimization into a reproducible architecture that can be progressively constrained by experimental and human data.</w:t>
      </w:r>
    </w:p>
    <w:p>
      <w:r>
        <w:rPr>
          <w:b/>
        </w:rPr>
        <w:t xml:space="preserve">Keywords: </w:t>
      </w:r>
      <w:r>
        <w:t>PDAC; pancreatic ductal adenocarcinoma; nanotherapy; nanoparticle transport; ferroptosis; GPX4; ROS; iron; lipid peroxidation; PDE; ODE; SDE; PRCC; Sobol; calibration; optimal control; in silico.</w:t>
      </w:r>
    </w:p>
    <w:p>
      <w:pPr>
        <w:pStyle w:val="Heading1"/>
      </w:pPr>
      <w:r>
        <w:t>Scientific Scope and Interpretation</w:t>
      </w:r>
    </w:p>
    <w:p>
      <w:r>
        <w:t>This document is deliberately conservative in its scientific claims. Every numerical output is a model result conditional on equations, parameter ranges, initial conditions and objective functions. The framework does not establish clinical efficacy, safety, biodistribution, pharmacokinetics, immunogenicity, therapeutic selectivity, or patient benefit. Those questions require experimental, preclinical and ultimately clinical evidence. The terms “prediction”, “optimal”, and “selectivity” are therefore used only in their mathematical or in silico sense unless independent biological evidence is explicitly cited.</w:t>
      </w:r>
    </w:p>
    <w:p>
      <w:pPr>
        <w:pStyle w:val="Heading1"/>
      </w:pPr>
      <w:r>
        <w:t>1. Project Rationale and Evolution to v4.0.0</w:t>
      </w:r>
    </w:p>
    <w:p>
      <w:r>
        <w:t>Earlier versions separated the diffusion calculation from the ferroptosis score. That architecture was useful as a reproducible mathematical prototype, but it meant that nanoparticle radius and stromal correlation length could be sampled without necessarily altering the biological output. Version 4.0.0 addresses this structural limitation by making transport an upstream determinant of effective delivery and by separating the model into interoperable layers. The objective is not to add complexity for appearance, but to make causal assumptions explicit, testable and replaceable.</w:t>
      </w:r>
    </w:p>
    <w:p>
      <w:pPr>
        <w:pStyle w:val="Heading1"/>
      </w:pPr>
      <w:r>
        <w:t>2. Biological Context: PDAC, Stroma and Ferroptosis</w:t>
      </w:r>
    </w:p>
    <w:p>
      <w:r>
        <w:t>PDAC is characterized by marked inter- and intratumoral heterogeneity and a prominent stromal microenvironment. In the model, the stroma is not treated as a decorative feature: it modifies transport. Ferroptosis is represented as an iron-dependent, lipid-peroxidation-associated cell-death mechanism whose behavior is influenced by antioxidant defense, ROS and iron availability. GPX4 is therefore represented as an important protective axis, while ROS, Fe²⁺ and lipid peroxidation contribute to the pro-ferroptotic state. These variables are model abstractions and must not be interpreted as directly measured patient concentrations unless the data layer supplies an experimentally defensible mapping.</w:t>
      </w:r>
    </w:p>
    <w:p>
      <w:pPr>
        <w:pStyle w:val="Heading1"/>
      </w:pPr>
      <w:r>
        <w:t>3. Overall Computational Architecture</w:t>
      </w:r>
    </w:p>
    <w:p>
      <w:r>
        <w:t>The v4.0.0 workflow is organized as a directed chain: nanoparticle design → stromal transport → effective delivery/release → intracellular exposure → ferroptosis-related dynamics → predicted response. Around this mechanistic core are four analytical layers: uncertainty/sensitivity analysis, parameter calibration, external validation, and constrained dosing optimization. This separation allows each component to be tested independently and replaced when better data or mechanistic equations become available.</w:t>
      </w:r>
    </w:p>
    <w:p>
      <w:pPr>
        <w:pStyle w:val="Heading2"/>
      </w:pPr>
      <w:r>
        <w:t>3.1 Core workflow</w:t>
      </w:r>
    </w:p>
    <w:p>
      <w:pPr>
        <w:pStyle w:val="ListBullet"/>
      </w:pPr>
      <w:r>
        <w:t>Define nanoparticle and stromal parameters with explicit units and admissible ranges.</w:t>
      </w:r>
    </w:p>
    <w:p>
      <w:pPr>
        <w:pStyle w:val="ListBullet"/>
      </w:pPr>
      <w:r>
        <w:t>Calculate effective diffusion and, where required, a spatial diffusion field D(x,y).</w:t>
      </w:r>
    </w:p>
    <w:p>
      <w:pPr>
        <w:pStyle w:val="ListBullet"/>
      </w:pPr>
      <w:r>
        <w:t>Convert transport into a bounded or normalized delivery term rather than allowing transport variables to remain disconnected from the therapeutic output.</w:t>
      </w:r>
    </w:p>
    <w:p>
      <w:pPr>
        <w:pStyle w:val="ListBullet"/>
      </w:pPr>
      <w:r>
        <w:t>Propagate exposure through release and intracellular response modules.</w:t>
      </w:r>
    </w:p>
    <w:p>
      <w:pPr>
        <w:pStyle w:val="ListBullet"/>
      </w:pPr>
      <w:r>
        <w:t>Simulate deterministic and stochastic ferroptosis-related trajectories.</w:t>
      </w:r>
    </w:p>
    <w:p>
      <w:pPr>
        <w:pStyle w:val="ListBullet"/>
      </w:pPr>
      <w:r>
        <w:t>Quantify uncertainty using PRCC and Sobol methods rather than relying on a single local perturbation.</w:t>
      </w:r>
    </w:p>
    <w:p>
      <w:pPr>
        <w:pStyle w:val="ListBullet"/>
      </w:pPr>
      <w:r>
        <w:t>Fit parameters only on a designated calibration cohort and evaluate performance on a separate hold-out or external cohort.</w:t>
      </w:r>
    </w:p>
    <w:p>
      <w:pPr>
        <w:pStyle w:val="ListBullet"/>
      </w:pPr>
      <w:r>
        <w:t>Explore dosing schedules with a constrained objective function; label the result as model-optimal, not clinically optimal.</w:t>
      </w:r>
    </w:p>
    <w:p>
      <w:pPr>
        <w:pStyle w:val="Heading1"/>
      </w:pPr>
      <w:r>
        <w:t>4. Biophysical Transport Module</w:t>
      </w:r>
    </w:p>
    <w:p>
      <w:r>
        <w:t>The effective diffusion layer begins with the Stokes–Einstein relationship and introduces a steric-hindrance term to represent restricted motion in a dense stromal environment.</w:t>
      </w:r>
    </w:p>
    <w:p>
      <w:pPr>
        <w:pStyle w:val="Equation"/>
        <w:jc w:val="center"/>
      </w:pPr>
      <w:r>
        <w:t>D₀ = k_B T / (6 π η r_H)</w:t>
      </w:r>
    </w:p>
    <w:p>
      <w:pPr>
        <w:pStyle w:val="Equation"/>
        <w:jc w:val="center"/>
      </w:pPr>
      <w:r>
        <w:t>D_eff = σ · D₀ · exp[-γ (r_H / ξ)^α]</w:t>
      </w:r>
    </w:p>
    <w:p>
      <w:r>
        <w:t>Here k_B is the Boltzmann constant, T is absolute temperature, η is medium viscosity, r_H is hydrodynamic radius, ξ is an effective stromal correlation length, and σ, γ and α are model coefficients. The exact numerical values of the hindrance coefficients are model assumptions until calibrated against transport measurements. The equation captures the expected qualitative tendency that increasing particle size can reduce diffusion, while a less restrictive stromal length scale can facilitate transport.</w:t>
      </w:r>
    </w:p>
    <w:p>
      <w:pPr>
        <w:pStyle w:val="Heading1"/>
      </w:pPr>
      <w:r>
        <w:t>5. Delivery and Release Coupling</w:t>
      </w:r>
    </w:p>
    <w:p>
      <w:pPr>
        <w:pStyle w:val="Equation"/>
        <w:jc w:val="center"/>
      </w:pPr>
      <w:r>
        <w:t>F_delivery(t) = (D_eff / D_ref) · f_release(t)</w:t>
      </w:r>
    </w:p>
    <w:p>
      <w:pPr>
        <w:pStyle w:val="Equation"/>
        <w:jc w:val="center"/>
      </w:pPr>
      <w:r>
        <w:t>f_release(t) = 1 − exp(−k_rel t)</w:t>
      </w:r>
    </w:p>
    <w:p>
      <w:r>
        <w:t>This layer is the causal bridge introduced to prevent transport from being statistically sampled but biologically unused. D_ref is a reference diffusion scale and k_rel is a release-rate parameter. This is a phenomenological coupling: it is useful for hypothesis generation but must be replaced or calibrated when measured tumor accumulation, release, uptake or pharmacokinetic data become available.</w:t>
      </w:r>
    </w:p>
    <w:p>
      <w:pPr>
        <w:pStyle w:val="Heading1"/>
      </w:pPr>
      <w:r>
        <w:t>6. Spatial Tumor Model</w:t>
      </w:r>
    </w:p>
    <w:p>
      <w:pPr>
        <w:pStyle w:val="Equation"/>
        <w:jc w:val="center"/>
      </w:pPr>
      <w:r>
        <w:t>∂C/∂t = ∇·(D(x,y) ∇C) − k_u C − k_deg C</w:t>
      </w:r>
    </w:p>
    <w:p>
      <w:r>
        <w:t>C(x,y,t) represents a simulated nanoparticle or payload concentration field. D(x,y) encodes spatially heterogeneous transport, k_u represents uptake and k_deg represents loss/degradation. The purpose of this module is to move from a single scalar diffusion coefficient toward spatially resolved concentration. Boundary conditions, geometry and parameterization must be documented for every experiment because they can strongly influence the resulting field. In v4.0.0, the heterogeneous diffusion operator is discretized in conservative face-flux form with harmonic face diffusivities, so the implementation matches ∇·(D∇C) when D varies spatially.</w:t>
      </w:r>
    </w:p>
    <w:p>
      <w:pPr>
        <w:pStyle w:val="Heading1"/>
      </w:pPr>
      <w:r>
        <w:t>7. Ferroptosis Response Layer</w:t>
      </w:r>
    </w:p>
    <w:p>
      <w:pPr>
        <w:pStyle w:val="Equation"/>
        <w:jc w:val="center"/>
      </w:pPr>
      <w:r>
        <w:t>S = w₁ / GPX4 + w₂·ROS + w₃·Fe²⁺</w:t>
      </w:r>
    </w:p>
    <w:p>
      <w:pPr>
        <w:pStyle w:val="Equation"/>
        <w:jc w:val="center"/>
      </w:pPr>
      <w:r>
        <w:t>Φ_death = 1 / {1 + exp[−(S − S₀)/κ]}</w:t>
      </w:r>
    </w:p>
    <w:p>
      <w:r>
        <w:t>The algebraic score is retained as an interpretable phenomenological response layer in model units. GPX4, ROS and Fe²⁺ must either be normalized to declared reference scales before combination, or the fitted weights must carry the reciprocal units required to make the terms commensurate. The weights w₁, w₂ and w₃ are calibration parameters rather than universal biological constants. The logistic transform bounds the model output between 0 and 1 and is therefore interpreted as a normalized response propensity, not a clinically measured probability of death unless probability calibration is performed against suitable experimental outcomes.</w:t>
      </w:r>
    </w:p>
    <w:p>
      <w:pPr>
        <w:pStyle w:val="Heading1"/>
      </w:pPr>
      <w:r>
        <w:t>8. Temporal Dynamics: ODE/SDE Representation</w:t>
      </w:r>
    </w:p>
    <w:p>
      <w:pPr>
        <w:pStyle w:val="Equation"/>
        <w:jc w:val="center"/>
      </w:pPr>
      <w:r>
        <w:t>dG/dt = k_G − d_G G − f_G(u) + σ_G dW_G</w:t>
      </w:r>
    </w:p>
    <w:p>
      <w:pPr>
        <w:pStyle w:val="Equation"/>
        <w:jc w:val="center"/>
      </w:pPr>
      <w:r>
        <w:t>dR/dt = k_R Fe²⁺ − d_R G R + f_R(u) + σ_R dW_R</w:t>
      </w:r>
    </w:p>
    <w:p>
      <w:pPr>
        <w:pStyle w:val="Equation"/>
        <w:jc w:val="center"/>
      </w:pPr>
      <w:r>
        <w:t>dL/dt = k_L R − d_L G L + σ_L dW_L</w:t>
      </w:r>
    </w:p>
    <w:p>
      <w:r>
        <w:t>G denotes the GPX4-related protective state, R a ROS-related state and L lipid peroxidation. In deterministic runs the stochastic terms are zero. In stochastic runs dW denotes Wiener increments and σ controls noise intensity. This permits robustness analysis under fluctuating states, but the noise terms are mathematical representations and should not be described as measured biological noise without data-based estimation.</w:t>
      </w:r>
    </w:p>
    <w:p>
      <w:pPr>
        <w:pStyle w:val="Heading1"/>
      </w:pPr>
      <w:r>
        <w:t>9. Global Sensitivity and Uncertainty</w:t>
      </w:r>
    </w:p>
    <w:p>
      <w:pPr>
        <w:pStyle w:val="Heading2"/>
      </w:pPr>
      <w:r>
        <w:t>9.1 LHS–PRCC</w:t>
      </w:r>
    </w:p>
    <w:p>
      <w:r>
        <w:t>Latin hypercube sampling stratifies each uncertain parameter range and is used to generate an efficient ensemble. PRCC is then computed on ranked variables after residualizing each input and the output against the remaining inputs. Version 4 uses an intercept in the residual regressions and can attach bootstrap confidence intervals. PRCC is most appropriate when the input–output relationship is monotonic.</w:t>
      </w:r>
    </w:p>
    <w:p>
      <w:pPr>
        <w:pStyle w:val="Equation"/>
        <w:jc w:val="center"/>
      </w:pPr>
      <w:r>
        <w:t>PRCC_i = corr(residual(rank(X_i)), residual(rank(Y)))</w:t>
      </w:r>
    </w:p>
    <w:p>
      <w:pPr>
        <w:pStyle w:val="Heading2"/>
      </w:pPr>
      <w:r>
        <w:t>9.2 Sobol indices</w:t>
      </w:r>
    </w:p>
    <w:p>
      <w:pPr>
        <w:pStyle w:val="Equation"/>
        <w:jc w:val="center"/>
      </w:pPr>
      <w:r>
        <w:t>S_i = Var_{X_i}( E[Y | X_i] ) / Var(Y)</w:t>
      </w:r>
    </w:p>
    <w:p>
      <w:pPr>
        <w:pStyle w:val="Equation"/>
        <w:jc w:val="center"/>
      </w:pPr>
      <w:r>
        <w:t>S_Ti = 1 − Var_{X_~i}( E[Y | X_~i] ) / Var(Y)</w:t>
      </w:r>
    </w:p>
    <w:p>
      <w:r>
        <w:t>First-order Sobol indices estimate the contribution of a parameter alone to output variance; total-order indices include its interactions with other inputs. The difference between S_T and S_1 is therefore useful for detecting interaction structure. In v4, Sobol values must be computed from model evaluations; manually entered demonstration values are not accepted as scientific output.</w:t>
      </w:r>
    </w:p>
    <w:p>
      <w:pPr>
        <w:pStyle w:val="Heading1"/>
      </w:pPr>
      <w:r>
        <w:t>10. Calibration and External Validation</w:t>
      </w:r>
    </w:p>
    <w:p>
      <w:pPr>
        <w:pStyle w:val="Equation"/>
        <w:jc w:val="center"/>
      </w:pPr>
      <w:r>
        <w:t>θ* = arg min_θ Σ_i [ y_i^obs − y_i^model(θ) ]²</w:t>
      </w:r>
    </w:p>
    <w:p>
      <w:pPr>
        <w:pStyle w:val="Equation"/>
        <w:jc w:val="center"/>
      </w:pPr>
      <w:r>
        <w:t>RMSE = sqrt( (1/n) Σ_i (y_i − ŷ_i)² )</w:t>
      </w:r>
    </w:p>
    <w:p>
      <w:pPr>
        <w:pStyle w:val="Equation"/>
        <w:jc w:val="center"/>
      </w:pPr>
      <w:r>
        <w:t>MAE = (1/n) Σ_i |y_i − ŷ_i|</w:t>
      </w:r>
    </w:p>
    <w:p>
      <w:pPr>
        <w:pStyle w:val="Equation"/>
        <w:jc w:val="center"/>
      </w:pPr>
      <w:r>
        <w:t>R² = 1 − Σ_i(y_i − ŷ_i)² / Σ_i(y_i − ȳ)²</w:t>
      </w:r>
    </w:p>
    <w:p>
      <w:r>
        <w:t>Calibration and validation are deliberately separated. Synthetic data may be used to verify that the fitting code can recover known parameters, but such a benchmark is not biological validation. For human or experimental work, the calibration cohort is used to estimate parameters; the validation cohort must remain untouched until the model and preprocessing choices have been fixed. Reporting should include cohort provenance, exclusions, normalization, missing-data handling, units, mapping from measurements to model variables, and uncertainty.</w:t>
      </w:r>
    </w:p>
    <w:p>
      <w:pPr>
        <w:pStyle w:val="Heading1"/>
      </w:pPr>
      <w:r>
        <w:t>11. Human Data Integration Strategy</w:t>
      </w:r>
    </w:p>
    <w:p>
      <w:r>
        <w:t>Version 4 is designed to accept public human molecular data, but repository availability must be distinguished from actual use in a particular model run. TCGA-PAAD/GDC can support tumor genomic/transcriptomic characterization; GTEx can provide non-diseased pancreatic expression references; NCBI GEO can provide independent PDAC cohorts, including bulk, single-cell and spatial studies; CPTAC/PDC can contribute proteomic and proteogenomic measurements. Public repository data should be cited by accession and release, and controlled-access data must never be redistributed.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E4D"/>
          </w:tcPr>
          <w:p>
            <w:r>
              <w:rPr>
                <w:b/>
                <w:color w:val="FFFFFF"/>
              </w:rPr>
              <w:t>Source</w:t>
            </w:r>
          </w:p>
        </w:tc>
        <w:tc>
          <w:tcPr>
            <w:tcW w:type="dxa" w:w="2484"/>
            <w:shd w:fill="173E4D"/>
          </w:tcPr>
          <w:p>
            <w:r>
              <w:rPr>
                <w:b/>
                <w:color w:val="FFFFFF"/>
              </w:rPr>
              <w:t>Potential v4 role</w:t>
            </w:r>
          </w:p>
        </w:tc>
        <w:tc>
          <w:tcPr>
            <w:tcW w:type="dxa" w:w="2484"/>
            <w:shd w:fill="173E4D"/>
          </w:tcPr>
          <w:p>
            <w:r>
              <w:rPr>
                <w:b/>
                <w:color w:val="FFFFFF"/>
              </w:rPr>
              <w:t>Example variables</w:t>
            </w:r>
          </w:p>
        </w:tc>
        <w:tc>
          <w:tcPr>
            <w:tcW w:type="dxa" w:w="2484"/>
            <w:shd w:fill="173E4D"/>
          </w:tcPr>
          <w:p>
            <w:r>
              <w:rPr>
                <w:b/>
                <w:color w:val="FFFFFF"/>
              </w:rPr>
              <w:t>Critical caveat</w:t>
            </w:r>
          </w:p>
        </w:tc>
      </w:tr>
      <w:tr>
        <w:tc>
          <w:tcPr>
            <w:tcW w:type="dxa" w:w="2484"/>
          </w:tcPr>
          <w:p>
            <w:r>
              <w:t>TCGA-PAAD / GDC</w:t>
            </w:r>
          </w:p>
        </w:tc>
        <w:tc>
          <w:tcPr>
            <w:tcW w:type="dxa" w:w="2484"/>
          </w:tcPr>
          <w:p>
            <w:r>
              <w:t>Tumor calibration / molecular context</w:t>
            </w:r>
          </w:p>
        </w:tc>
        <w:tc>
          <w:tcPr>
            <w:tcW w:type="dxa" w:w="2484"/>
          </w:tcPr>
          <w:p>
            <w:r>
              <w:t>Gene expression, mutations, clinical annotations</w:t>
            </w:r>
          </w:p>
        </w:tc>
        <w:tc>
          <w:tcPr>
            <w:tcW w:type="dxa" w:w="2484"/>
          </w:tcPr>
          <w:p>
            <w:r>
              <w:t>RNA abundance is not protein activity.</w:t>
            </w:r>
          </w:p>
        </w:tc>
      </w:tr>
      <w:tr>
        <w:tc>
          <w:tcPr>
            <w:tcW w:type="dxa" w:w="2484"/>
          </w:tcPr>
          <w:p>
            <w:r>
              <w:t>GTEx pancreas</w:t>
            </w:r>
          </w:p>
        </w:tc>
        <w:tc>
          <w:tcPr>
            <w:tcW w:type="dxa" w:w="2484"/>
          </w:tcPr>
          <w:p>
            <w:r>
              <w:t>Non-diseased reference</w:t>
            </w:r>
          </w:p>
        </w:tc>
        <w:tc>
          <w:tcPr>
            <w:tcW w:type="dxa" w:w="2484"/>
          </w:tcPr>
          <w:p>
            <w:r>
              <w:t>Bulk tissue expression</w:t>
            </w:r>
          </w:p>
        </w:tc>
        <w:tc>
          <w:tcPr>
            <w:tcW w:type="dxa" w:w="2484"/>
          </w:tcPr>
          <w:p>
            <w:r>
              <w:t>Normal reference is not a matched PDAC control.</w:t>
            </w:r>
          </w:p>
        </w:tc>
      </w:tr>
      <w:tr>
        <w:tc>
          <w:tcPr>
            <w:tcW w:type="dxa" w:w="2484"/>
          </w:tcPr>
          <w:p>
            <w:r>
              <w:t>NCBI GEO</w:t>
            </w:r>
          </w:p>
        </w:tc>
        <w:tc>
          <w:tcPr>
            <w:tcW w:type="dxa" w:w="2484"/>
          </w:tcPr>
          <w:p>
            <w:r>
              <w:t>Independent validation / spatial context</w:t>
            </w:r>
          </w:p>
        </w:tc>
        <w:tc>
          <w:tcPr>
            <w:tcW w:type="dxa" w:w="2484"/>
          </w:tcPr>
          <w:p>
            <w:r>
              <w:t>Bulk RNA-seq, sc/snRNA-seq, spatial transcriptomics</w:t>
            </w:r>
          </w:p>
        </w:tc>
        <w:tc>
          <w:tcPr>
            <w:tcW w:type="dxa" w:w="2484"/>
          </w:tcPr>
          <w:p>
            <w:r>
              <w:t>Platforms and preprocessing differ across studies.</w:t>
            </w:r>
          </w:p>
        </w:tc>
      </w:tr>
      <w:tr>
        <w:tc>
          <w:tcPr>
            <w:tcW w:type="dxa" w:w="2484"/>
          </w:tcPr>
          <w:p>
            <w:r>
              <w:t>CPTAC / PDC</w:t>
            </w:r>
          </w:p>
        </w:tc>
        <w:tc>
          <w:tcPr>
            <w:tcW w:type="dxa" w:w="2484"/>
          </w:tcPr>
          <w:p>
            <w:r>
              <w:t>Proteomic anchoring</w:t>
            </w:r>
          </w:p>
        </w:tc>
        <w:tc>
          <w:tcPr>
            <w:tcW w:type="dxa" w:w="2484"/>
          </w:tcPr>
          <w:p>
            <w:r>
              <w:t>Protein abundance, phosphoproteomics, proteogenomics</w:t>
            </w:r>
          </w:p>
        </w:tc>
        <w:tc>
          <w:tcPr>
            <w:tcW w:type="dxa" w:w="2484"/>
          </w:tcPr>
          <w:p>
            <w:r>
              <w:t>Assay-specific normalization and batch effects require explicit handling.</w:t>
            </w:r>
          </w:p>
        </w:tc>
      </w:tr>
    </w:tbl>
    <w:p>
      <w:pPr>
        <w:pStyle w:val="Heading1"/>
      </w:pPr>
      <w:r>
        <w:t>12. Measurement-to-Model Mapping</w:t>
      </w:r>
    </w:p>
    <w:p>
      <w:r>
        <w:t>A central requirement of v4 is that biological measurements are not silently substituted for model states. GPX4 mRNA may be used as a GPX4-expression proxy, but it is not identical to GPX4 protein abundance, catalytic activity or effective antioxidant capacity. Likewise, ROS and labile Fe²⁺ generally require direct or carefully validated surrogate measurements. Stromal ξ is a model-scale descriptor and may need inference from imaging, histology, extracellular-matrix architecture or transport experiments rather than transcript counts alone.</w:t>
      </w:r>
    </w:p>
    <w:p>
      <w:pPr>
        <w:pStyle w:val="Heading1"/>
      </w:pPr>
      <w:r>
        <w:t>13. In Silico Dosing Optimization</w:t>
      </w:r>
    </w:p>
    <w:p>
      <w:pPr>
        <w:pStyle w:val="Equation"/>
        <w:jc w:val="center"/>
      </w:pPr>
      <w:r>
        <w:t>u*(t) = arg min_u J(u)</w:t>
      </w:r>
    </w:p>
    <w:p>
      <w:pPr>
        <w:pStyle w:val="Equation"/>
        <w:jc w:val="center"/>
      </w:pPr>
      <w:r>
        <w:t>J = −Φ_tumor(T) + λ ∫₀ᵀ u(t)² dt + μ·Toxicity(T)</w:t>
      </w:r>
    </w:p>
    <w:p>
      <w:r>
        <w:t>The optimizer searches within explicit dose bounds and scheduling constraints. λ penalizes integrated squared exposure/control effort; this term is not a biological toxicity model. A schedule returned by this module is optimal only with respect to the selected mathematical objective and model assumptions. It must never be presented as a patient dosing recommendation.</w:t>
      </w:r>
    </w:p>
    <w:p>
      <w:pPr>
        <w:pStyle w:val="Heading1"/>
      </w:pPr>
      <w:r>
        <w:t>14. Reproducibility, Testing and Software Quality</w:t>
      </w:r>
    </w:p>
    <w:p>
      <w:pPr>
        <w:pStyle w:val="ListBullet"/>
      </w:pPr>
      <w:r>
        <w:t>Use explicit random seeds or modern random-number generator objects for reproducible stochastic experiments.</w:t>
      </w:r>
    </w:p>
    <w:p>
      <w:pPr>
        <w:pStyle w:val="ListBullet"/>
      </w:pPr>
      <w:r>
        <w:t>Validate domains and units for physical and biological inputs.</w:t>
      </w:r>
    </w:p>
    <w:p>
      <w:pPr>
        <w:pStyle w:val="ListBullet"/>
      </w:pPr>
      <w:r>
        <w:t>Unit-test transport monotonicity, gating logic, bounded normalized-response behavior, stochastic reproducibility, conservative spatial transport and sensitivity routines.</w:t>
      </w:r>
    </w:p>
    <w:p>
      <w:pPr>
        <w:pStyle w:val="ListBullet"/>
      </w:pPr>
      <w:r>
        <w:t>Save machine-readable outputs (CSV/JSON) in addition to figures.</w:t>
      </w:r>
    </w:p>
    <w:p>
      <w:pPr>
        <w:pStyle w:val="ListBullet"/>
      </w:pPr>
      <w:r>
        <w:t>Record software versions and dependency constraints.</w:t>
      </w:r>
    </w:p>
    <w:p>
      <w:pPr>
        <w:pStyle w:val="ListBullet"/>
      </w:pPr>
      <w:r>
        <w:t>Generate checksums for archived release files.</w:t>
      </w:r>
    </w:p>
    <w:p>
      <w:pPr>
        <w:pStyle w:val="ListBullet"/>
      </w:pPr>
      <w:r>
        <w:t>Keep synthetic benchmarks clearly separated from human-data analyses.</w:t>
      </w:r>
    </w:p>
    <w:p>
      <w:pPr>
        <w:pStyle w:val="ListBullet"/>
      </w:pPr>
      <w:r>
        <w:t>Ensure that every figure can be regenerated from a documented command or script.</w:t>
      </w:r>
    </w:p>
    <w:p>
      <w:pPr>
        <w:pStyle w:val="Heading1"/>
      </w:pPr>
      <w:r>
        <w:t>15. Interpretation of v4 Results</w:t>
      </w:r>
    </w:p>
    <w:p>
      <w:r>
        <w:t>Results from PRCC, Sobol, spatial transport or dosing optimization are conditional model statements. A high Sobol index for r_H, for example, means that the selected radius range explains a large fraction of model-output variance under the chosen equations and distributions. It does not establish that particle radius is the dominant determinant of clinical response in PDAC. The appropriate scientific use is to prioritize hypotheses, measurements and experiments.</w:t>
      </w:r>
    </w:p>
    <w:p>
      <w:pPr>
        <w:pStyle w:val="Heading1"/>
      </w:pPr>
      <w:r>
        <w:t>16. Limitations</w:t>
      </w:r>
    </w:p>
    <w:p>
      <w:pPr>
        <w:pStyle w:val="ListBullet"/>
      </w:pPr>
      <w:r>
        <w:t>The transport-to-delivery coupling is phenomenological until calibrated with experimental biodistribution or penetration data.</w:t>
      </w:r>
    </w:p>
    <w:p>
      <w:pPr>
        <w:pStyle w:val="ListBullet"/>
      </w:pPr>
      <w:r>
        <w:t>Intracellular states simplify a complex ferroptosis network and omit many regulators and feedback loops.</w:t>
      </w:r>
    </w:p>
    <w:p>
      <w:pPr>
        <w:pStyle w:val="ListBullet"/>
      </w:pPr>
      <w:r>
        <w:t>Human transcriptomics cannot by itself identify ROS, labile iron or enzyme activity.</w:t>
      </w:r>
    </w:p>
    <w:p>
      <w:pPr>
        <w:pStyle w:val="ListBullet"/>
      </w:pPr>
      <w:r>
        <w:t>Spatial geometry and boundary conditions are idealized unless derived from measured tissue architecture.</w:t>
      </w:r>
    </w:p>
    <w:p>
      <w:pPr>
        <w:pStyle w:val="ListBullet"/>
      </w:pPr>
      <w:r>
        <w:t>Stochastic noise amplitudes are simulation parameters unless estimated from repeated measurements.</w:t>
      </w:r>
    </w:p>
    <w:p>
      <w:pPr>
        <w:pStyle w:val="ListBullet"/>
      </w:pPr>
      <w:r>
        <w:t>Optimal-control results are objective-function dependent and are not therapeutic recommendations.</w:t>
      </w:r>
    </w:p>
    <w:p>
      <w:pPr>
        <w:pStyle w:val="ListBullet"/>
      </w:pPr>
      <w:r>
        <w:t>Cross-cohort batch effects can dominate biological differences if harmonization is inadequate.</w:t>
      </w:r>
    </w:p>
    <w:p>
      <w:pPr>
        <w:pStyle w:val="ListBullet"/>
      </w:pPr>
      <w:r>
        <w:t>External validation requires genuinely independent data and a frozen analysis pipeline.</w:t>
      </w:r>
    </w:p>
    <w:p>
      <w:pPr>
        <w:pStyle w:val="ListBullet"/>
      </w:pPr>
      <w:r>
        <w:t>No computational result in this release establishes safety, efficacy or readiness for clinical translation.</w:t>
      </w:r>
    </w:p>
    <w:p>
      <w:pPr>
        <w:pStyle w:val="Heading1"/>
      </w:pPr>
      <w:r>
        <w:t>17. Proposed Validation Roadmap</w:t>
      </w:r>
    </w:p>
    <w:p>
      <w:pPr>
        <w:pStyle w:val="Heading2"/>
      </w:pPr>
      <w:r>
        <w:t>Stage 1 — Mathematical verification</w:t>
      </w:r>
    </w:p>
    <w:p>
      <w:r>
        <w:t>Analytical checks, unit tests, dimensional consistency, convergence studies, PRCC/Sobol benchmark problems.</w:t>
      </w:r>
    </w:p>
    <w:p>
      <w:pPr>
        <w:pStyle w:val="Heading2"/>
      </w:pPr>
      <w:r>
        <w:t>Stage 2 — Computational validation</w:t>
      </w:r>
    </w:p>
    <w:p>
      <w:r>
        <w:t>Independent reruns, multiple seeds, uncertainty intervals, alternative solvers, sensitivity to ranges and priors.</w:t>
      </w:r>
    </w:p>
    <w:p>
      <w:pPr>
        <w:pStyle w:val="Heading2"/>
      </w:pPr>
      <w:r>
        <w:t>Stage 3 — Data anchoring</w:t>
      </w:r>
    </w:p>
    <w:p>
      <w:r>
        <w:t>Map public human and experimental measurements to model states with explicit transformations and uncertainty.</w:t>
      </w:r>
    </w:p>
    <w:p>
      <w:pPr>
        <w:pStyle w:val="Heading2"/>
      </w:pPr>
      <w:r>
        <w:t>Stage 4 — External validation</w:t>
      </w:r>
    </w:p>
    <w:p>
      <w:r>
        <w:t>Freeze parameters and test against independent PDAC cohorts or experimental datasets.</w:t>
      </w:r>
    </w:p>
    <w:p>
      <w:pPr>
        <w:pStyle w:val="Heading2"/>
      </w:pPr>
      <w:r>
        <w:t>Stage 5 — Experimental validation</w:t>
      </w:r>
    </w:p>
    <w:p>
      <w:r>
        <w:t>Measure transport, release, intracellular markers and ferroptosis outcomes under controlled conditions.</w:t>
      </w:r>
    </w:p>
    <w:p>
      <w:pPr>
        <w:pStyle w:val="Heading2"/>
      </w:pPr>
      <w:r>
        <w:t>Stage 6 — Preclinical translation</w:t>
      </w:r>
    </w:p>
    <w:p>
      <w:r>
        <w:t>Only after experimental validation: evaluate biodistribution, toxicity, immunogenicity, PK/PD and therapeutic window in appropriate models.</w:t>
      </w:r>
    </w:p>
    <w:p>
      <w:pPr>
        <w:pStyle w:val="Heading1"/>
      </w:pPr>
      <w:r>
        <w:t>18. Conclusion</w:t>
      </w:r>
    </w:p>
    <w:p>
      <w:r>
        <w:t>PDAC Nanotherapeutic Architecture v4.0.0 represents a transition from a modular proof of concept toward an integrated multiscale computational research platform. Its principal advance is structural: transport, delivery, intracellular response, uncertainty, calibration and optimization are placed in a single auditable workflow while preserving clear boundaries between mathematical prediction and biological evidence. The framework is most useful as a hypothesis-generation and experiment-prioritization tool. Its scientific value will increase in proportion to the quality of the data used to calibrate and challenge it, particularly when independent human, proteomic, spatial and experimental datasets are introduced without conflating proxies with direct biochemical measurements.</w:t>
      </w:r>
    </w:p>
    <w:p>
      <w:r>
        <w:br w:type="page"/>
      </w:r>
    </w:p>
    <w:p>
      <w:pPr>
        <w:pStyle w:val="Heading1"/>
      </w:pPr>
      <w:r>
        <w:t>19. Annotated Bibliography — 60 Sources and Their Use in v4.0.0</w:t>
      </w:r>
    </w:p>
    <w:p>
      <w:r>
        <w:t>Each entry below states the role of the source in the project. A citation supports the indicated concept or method; it does not imply that every numerical parameter in v4.0.0 was taken directly from that source. Repository entries describe data sources that can be used for calibration or validation and should be cited again by accession in any analysis that actually downloads and processes a specific dataset.</w:t>
      </w:r>
    </w:p>
    <w:p>
      <w:r>
        <w:rPr>
          <w:b/>
        </w:rPr>
        <w:t>1. Hanahan D. Hallmarks of Cancer: New Dimensions. Cancer Discovery. 2022.</w:t>
      </w:r>
    </w:p>
    <w:p>
      <w:pPr>
        <w:ind w:left="360"/>
      </w:pPr>
      <w:r>
        <w:rPr>
          <w:b/>
          <w:color w:val="1D5A6B"/>
        </w:rPr>
        <w:t xml:space="preserve">Use in v4.0.0: </w:t>
      </w:r>
      <w:r>
        <w:t>General cancer-systems context and justification for treating tumor response as a multiscale process rather than a single molecular variable.</w:t>
      </w:r>
    </w:p>
    <w:p>
      <w:r>
        <w:rPr>
          <w:b/>
        </w:rPr>
        <w:t>2. Siegel RL et al. Cancer statistics, 2026. CA: A Cancer Journal for Clinicians. 2026.</w:t>
      </w:r>
    </w:p>
    <w:p>
      <w:pPr>
        <w:ind w:left="360"/>
      </w:pPr>
      <w:r>
        <w:rPr>
          <w:b/>
          <w:color w:val="1D5A6B"/>
        </w:rPr>
        <w:t xml:space="preserve">Use in v4.0.0: </w:t>
      </w:r>
      <w:r>
        <w:t>Contemporary epidemiological context for pancreatic cancer; not used to set mechanistic model parameters.</w:t>
      </w:r>
    </w:p>
    <w:p>
      <w:r>
        <w:rPr>
          <w:b/>
        </w:rPr>
        <w:t>3. Mizrahi JD et al. Pancreatic cancer. Lancet. 2020.</w:t>
      </w:r>
    </w:p>
    <w:p>
      <w:pPr>
        <w:ind w:left="360"/>
      </w:pPr>
      <w:r>
        <w:rPr>
          <w:b/>
          <w:color w:val="1D5A6B"/>
        </w:rPr>
        <w:t xml:space="preserve">Use in v4.0.0: </w:t>
      </w:r>
      <w:r>
        <w:t>Clinical and biological overview of pancreatic cancer used to frame the translational problem and major limitations of current therapy.</w:t>
      </w:r>
    </w:p>
    <w:p>
      <w:r>
        <w:rPr>
          <w:b/>
        </w:rPr>
        <w:t>4. Kleeff J et al. Pancreatic cancer. Nature Reviews Disease Primers. 2016.</w:t>
      </w:r>
    </w:p>
    <w:p>
      <w:pPr>
        <w:ind w:left="360"/>
      </w:pPr>
      <w:r>
        <w:rPr>
          <w:b/>
          <w:color w:val="1D5A6B"/>
        </w:rPr>
        <w:t xml:space="preserve">Use in v4.0.0: </w:t>
      </w:r>
      <w:r>
        <w:t>PDAC biology, tumor microenvironment and disease context supporting the multiscale architecture.</w:t>
      </w:r>
    </w:p>
    <w:p>
      <w:r>
        <w:rPr>
          <w:b/>
        </w:rPr>
        <w:t>5. Cancer Genome Atlas Research Network. Integrated Genomic Characterization of Pancreatic Ductal Adenocarcinoma. Cancer Cell. 2017.</w:t>
      </w:r>
    </w:p>
    <w:p>
      <w:pPr>
        <w:ind w:left="360"/>
      </w:pPr>
      <w:r>
        <w:rPr>
          <w:b/>
          <w:color w:val="1D5A6B"/>
        </w:rPr>
        <w:t xml:space="preserve">Use in v4.0.0: </w:t>
      </w:r>
      <w:r>
        <w:t>Basis for using TCGA-PAAD as a tumor molecular reference and for recognizing genomic/transcriptomic heterogeneity in PDAC.</w:t>
      </w:r>
    </w:p>
    <w:p>
      <w:r>
        <w:rPr>
          <w:b/>
        </w:rPr>
        <w:t>6. Cao L et al. Proteogenomic characterization of pancreatic ductal adenocarcinoma. Cell. 2021.</w:t>
      </w:r>
    </w:p>
    <w:p>
      <w:pPr>
        <w:ind w:left="360"/>
      </w:pPr>
      <w:r>
        <w:rPr>
          <w:b/>
          <w:color w:val="1D5A6B"/>
        </w:rPr>
        <w:t xml:space="preserve">Use in v4.0.0: </w:t>
      </w:r>
      <w:r>
        <w:t>Supports the proteogenomic layer and the use of CPTAC/PDC data to move beyond RNA-only proxies.</w:t>
      </w:r>
    </w:p>
    <w:p>
      <w:r>
        <w:rPr>
          <w:b/>
        </w:rPr>
        <w:t>7. Öhlund D, Elyada E, Tuveson D. Fibroblast heterogeneity in the cancer wound. Journal of Experimental Medicine. 2014.</w:t>
      </w:r>
    </w:p>
    <w:p>
      <w:pPr>
        <w:ind w:left="360"/>
      </w:pPr>
      <w:r>
        <w:rPr>
          <w:b/>
          <w:color w:val="1D5A6B"/>
        </w:rPr>
        <w:t xml:space="preserve">Use in v4.0.0: </w:t>
      </w:r>
      <w:r>
        <w:t>Supports explicit representation of stromal heterogeneity and cancer-associated fibroblast biology.</w:t>
      </w:r>
    </w:p>
    <w:p>
      <w:r>
        <w:rPr>
          <w:b/>
        </w:rPr>
        <w:t>8. Öhlund D et al. Distinct populations of inflammatory fibroblasts and myofibroblasts in pancreatic cancer. Journal of Experimental Medicine. 2017.</w:t>
      </w:r>
    </w:p>
    <w:p>
      <w:pPr>
        <w:ind w:left="360"/>
      </w:pPr>
      <w:r>
        <w:rPr>
          <w:b/>
          <w:color w:val="1D5A6B"/>
        </w:rPr>
        <w:t xml:space="preserve">Use in v4.0.0: </w:t>
      </w:r>
      <w:r>
        <w:t>Supports the concept that PDAC stroma is heterogeneous rather than a single uniform barrier.</w:t>
      </w:r>
    </w:p>
    <w:p>
      <w:r>
        <w:rPr>
          <w:b/>
        </w:rPr>
        <w:t>9. Provenzano PP et al. Enzymatic targeting of the stroma ablates physical barriers to treatment of pancreatic ductal adenocarcinoma. Cancer Cell. 2012.</w:t>
      </w:r>
    </w:p>
    <w:p>
      <w:pPr>
        <w:ind w:left="360"/>
      </w:pPr>
      <w:r>
        <w:rPr>
          <w:b/>
          <w:color w:val="1D5A6B"/>
        </w:rPr>
        <w:t xml:space="preserve">Use in v4.0.0: </w:t>
      </w:r>
      <w:r>
        <w:t>Motivates modeling the stroma as a physical transport barrier that can influence therapeutic penetration.</w:t>
      </w:r>
    </w:p>
    <w:p>
      <w:r>
        <w:rPr>
          <w:b/>
        </w:rPr>
        <w:t>10. Olive KP et al. Inhibition of Hedgehog signaling enhances delivery of chemotherapy in a mouse model of pancreatic cancer. Science. 2009.</w:t>
      </w:r>
    </w:p>
    <w:p>
      <w:pPr>
        <w:ind w:left="360"/>
      </w:pPr>
      <w:r>
        <w:rPr>
          <w:b/>
          <w:color w:val="1D5A6B"/>
        </w:rPr>
        <w:t xml:space="preserve">Use in v4.0.0: </w:t>
      </w:r>
      <w:r>
        <w:t>Supports the general hypothesis that stromal architecture can alter drug delivery in pancreatic tumors; not used as direct human validation.</w:t>
      </w:r>
    </w:p>
    <w:p>
      <w:r>
        <w:rPr>
          <w:b/>
        </w:rPr>
        <w:t>11. Stylianopoulos T et al. Causes, consequences, and remedies for growth-induced solid stress in murine and human tumors. PNAS. 2012.</w:t>
      </w:r>
    </w:p>
    <w:p>
      <w:pPr>
        <w:ind w:left="360"/>
      </w:pPr>
      <w:r>
        <w:rPr>
          <w:b/>
          <w:color w:val="1D5A6B"/>
        </w:rPr>
        <w:t xml:space="preserve">Use in v4.0.0: </w:t>
      </w:r>
      <w:r>
        <w:t>Supports inclusion of physical microenvironmental constraints affecting transport and tissue mechanics.</w:t>
      </w:r>
    </w:p>
    <w:p>
      <w:r>
        <w:rPr>
          <w:b/>
        </w:rPr>
        <w:t>12. Jain RK. Transport of molecules, particles, and cells in solid tumors. Annual Review of Biomedical Engineering. 1999.</w:t>
      </w:r>
    </w:p>
    <w:p>
      <w:pPr>
        <w:ind w:left="360"/>
      </w:pPr>
      <w:r>
        <w:rPr>
          <w:b/>
          <w:color w:val="1D5A6B"/>
        </w:rPr>
        <w:t xml:space="preserve">Use in v4.0.0: </w:t>
      </w:r>
      <w:r>
        <w:t>Foundational transport framework for diffusion, convection and barriers in solid tumors.</w:t>
      </w:r>
    </w:p>
    <w:p>
      <w:r>
        <w:rPr>
          <w:b/>
        </w:rPr>
        <w:t>13. Jain RK, Stylianopoulos T. Delivering nanomedicine to solid tumors. Nature Reviews Clinical Oncology. 2010.</w:t>
      </w:r>
    </w:p>
    <w:p>
      <w:pPr>
        <w:ind w:left="360"/>
      </w:pPr>
      <w:r>
        <w:rPr>
          <w:b/>
          <w:color w:val="1D5A6B"/>
        </w:rPr>
        <w:t xml:space="preserve">Use in v4.0.0: </w:t>
      </w:r>
      <w:r>
        <w:t>Supports nanoparticle delivery as a transport-limited process and motivates multiscale delivery modeling.</w:t>
      </w:r>
    </w:p>
    <w:p>
      <w:r>
        <w:rPr>
          <w:b/>
        </w:rPr>
        <w:t>14. Wilhelm S et al. Analysis of nanoparticle delivery to tumours. Nature Reviews Materials. 2016.</w:t>
      </w:r>
    </w:p>
    <w:p>
      <w:pPr>
        <w:ind w:left="360"/>
      </w:pPr>
      <w:r>
        <w:rPr>
          <w:b/>
          <w:color w:val="1D5A6B"/>
        </w:rPr>
        <w:t xml:space="preserve">Use in v4.0.0: </w:t>
      </w:r>
      <w:r>
        <w:t>Used to motivate quantitative scrutiny of nanoparticle tumor delivery and the need not to assume efficient accumulation.</w:t>
      </w:r>
    </w:p>
    <w:p>
      <w:r>
        <w:rPr>
          <w:b/>
        </w:rPr>
        <w:t>15. Blanco E, Shen H, Ferrari M. Principles of nanoparticle design for overcoming biological barriers to drug delivery. Nature Biotechnology. 2015.</w:t>
      </w:r>
    </w:p>
    <w:p>
      <w:pPr>
        <w:ind w:left="360"/>
      </w:pPr>
      <w:r>
        <w:rPr>
          <w:b/>
          <w:color w:val="1D5A6B"/>
        </w:rPr>
        <w:t xml:space="preserve">Use in v4.0.0: </w:t>
      </w:r>
      <w:r>
        <w:t>Supports treating nanoparticle size and other physicochemical features as determinants of biological transport.</w:t>
      </w:r>
    </w:p>
    <w:p>
      <w:r>
        <w:rPr>
          <w:b/>
        </w:rPr>
        <w:t>16. Cabral H et al. Accumulation of sub-100 nm polymeric micelles in poorly permeable tumours depends on size. Nature Nanotechnology. 2011.</w:t>
      </w:r>
    </w:p>
    <w:p>
      <w:pPr>
        <w:ind w:left="360"/>
      </w:pPr>
      <w:r>
        <w:rPr>
          <w:b/>
          <w:color w:val="1D5A6B"/>
        </w:rPr>
        <w:t xml:space="preserve">Use in v4.0.0: </w:t>
      </w:r>
      <w:r>
        <w:t>Supports investigation of hydrodynamic size as a transport-sensitive design variable.</w:t>
      </w:r>
    </w:p>
    <w:p>
      <w:r>
        <w:rPr>
          <w:b/>
        </w:rPr>
        <w:t>17. Einstein A. On the movement of small particles suspended in stationary liquids required by the molecular-kinetic theory of heat. 1905.</w:t>
      </w:r>
    </w:p>
    <w:p>
      <w:pPr>
        <w:ind w:left="360"/>
      </w:pPr>
      <w:r>
        <w:rPr>
          <w:b/>
          <w:color w:val="1D5A6B"/>
        </w:rPr>
        <w:t xml:space="preserve">Use in v4.0.0: </w:t>
      </w:r>
      <w:r>
        <w:t>Historical theoretical basis for Brownian diffusion and the Stokes–Einstein framework.</w:t>
      </w:r>
    </w:p>
    <w:p>
      <w:r>
        <w:rPr>
          <w:b/>
        </w:rPr>
        <w:t>18. Stokes GG. On the effect of the internal friction of fluids on the motion of pendulums. 1851.</w:t>
      </w:r>
    </w:p>
    <w:p>
      <w:pPr>
        <w:ind w:left="360"/>
      </w:pPr>
      <w:r>
        <w:rPr>
          <w:b/>
          <w:color w:val="1D5A6B"/>
        </w:rPr>
        <w:t xml:space="preserve">Use in v4.0.0: </w:t>
      </w:r>
      <w:r>
        <w:t>Hydrodynamic drag basis underlying the Stokes–Einstein diffusion expression.</w:t>
      </w:r>
    </w:p>
    <w:p>
      <w:r>
        <w:rPr>
          <w:b/>
        </w:rPr>
        <w:t>19. Langer R, Peppas NA. Advances in biomaterials, drug delivery, and bionanotechnology. AIChE Journal. 2003.</w:t>
      </w:r>
    </w:p>
    <w:p>
      <w:pPr>
        <w:ind w:left="360"/>
      </w:pPr>
      <w:r>
        <w:rPr>
          <w:b/>
          <w:color w:val="1D5A6B"/>
        </w:rPr>
        <w:t xml:space="preserve">Use in v4.0.0: </w:t>
      </w:r>
      <w:r>
        <w:t>General controlled-release and biomaterials context for the release layer.</w:t>
      </w:r>
    </w:p>
    <w:p>
      <w:r>
        <w:rPr>
          <w:b/>
        </w:rPr>
        <w:t>20. Siepmann J, Siepmann F. Mathematical modeling of drug delivery. International Journal of Pharmaceutics. 2008.</w:t>
      </w:r>
    </w:p>
    <w:p>
      <w:pPr>
        <w:ind w:left="360"/>
      </w:pPr>
      <w:r>
        <w:rPr>
          <w:b/>
          <w:color w:val="1D5A6B"/>
        </w:rPr>
        <w:t xml:space="preserve">Use in v4.0.0: </w:t>
      </w:r>
      <w:r>
        <w:t>Supports explicit mathematical release/transport models and cautions that release parameters require system-specific calibration.</w:t>
      </w:r>
    </w:p>
    <w:p>
      <w:r>
        <w:rPr>
          <w:b/>
        </w:rPr>
        <w:t>21. Dixon SJ et al. Ferroptosis: an iron-dependent form of nonapoptotic cell death. Cell. 2012.</w:t>
      </w:r>
    </w:p>
    <w:p>
      <w:pPr>
        <w:ind w:left="360"/>
      </w:pPr>
      <w:r>
        <w:rPr>
          <w:b/>
          <w:color w:val="1D5A6B"/>
        </w:rPr>
        <w:t xml:space="preserve">Use in v4.0.0: </w:t>
      </w:r>
      <w:r>
        <w:t>Foundational definition of ferroptosis and its dependence on iron and oxidative lipid damage.</w:t>
      </w:r>
    </w:p>
    <w:p>
      <w:r>
        <w:rPr>
          <w:b/>
        </w:rPr>
        <w:t>22. Yang WS et al. Regulation of ferroptotic cancer cell death by GPX4. Cell. 2014.</w:t>
      </w:r>
    </w:p>
    <w:p>
      <w:pPr>
        <w:ind w:left="360"/>
      </w:pPr>
      <w:r>
        <w:rPr>
          <w:b/>
          <w:color w:val="1D5A6B"/>
        </w:rPr>
        <w:t xml:space="preserve">Use in v4.0.0: </w:t>
      </w:r>
      <w:r>
        <w:t>Supports GPX4 as a central protective determinant in ferroptosis and motivates the GPX4-related model state.</w:t>
      </w:r>
    </w:p>
    <w:p>
      <w:r>
        <w:rPr>
          <w:b/>
        </w:rPr>
        <w:t>23. Stockwell BR et al. Ferroptosis: A Regulated Cell Death Nexus Linking Metabolism, Redox Biology, and Disease. Cell. 2017.</w:t>
      </w:r>
    </w:p>
    <w:p>
      <w:pPr>
        <w:ind w:left="360"/>
      </w:pPr>
      <w:r>
        <w:rPr>
          <w:b/>
          <w:color w:val="1D5A6B"/>
        </w:rPr>
        <w:t xml:space="preserve">Use in v4.0.0: </w:t>
      </w:r>
      <w:r>
        <w:t>Integrative ferroptosis framework supporting the coupling of metabolism, iron, ROS and lipid peroxidation.</w:t>
      </w:r>
    </w:p>
    <w:p>
      <w:r>
        <w:rPr>
          <w:b/>
        </w:rPr>
        <w:t>24. Jiang X, Stockwell BR, Conrad M. Ferroptosis: mechanisms, biology and role in disease. Nature Reviews Molecular Cell Biology. 2021.</w:t>
      </w:r>
    </w:p>
    <w:p>
      <w:pPr>
        <w:ind w:left="360"/>
      </w:pPr>
      <w:r>
        <w:rPr>
          <w:b/>
          <w:color w:val="1D5A6B"/>
        </w:rPr>
        <w:t xml:space="preserve">Use in v4.0.0: </w:t>
      </w:r>
      <w:r>
        <w:t>Mechanistic reference for the ferroptosis module and its limitations.</w:t>
      </w:r>
    </w:p>
    <w:p>
      <w:r>
        <w:rPr>
          <w:b/>
        </w:rPr>
        <w:t>25. Conrad M, Pratt DA. The chemical basis of ferroptosis. Nature Chemical Biology. 2019.</w:t>
      </w:r>
    </w:p>
    <w:p>
      <w:pPr>
        <w:ind w:left="360"/>
      </w:pPr>
      <w:r>
        <w:rPr>
          <w:b/>
          <w:color w:val="1D5A6B"/>
        </w:rPr>
        <w:t xml:space="preserve">Use in v4.0.0: </w:t>
      </w:r>
      <w:r>
        <w:t>Supports the chemical interpretation of lipid peroxidation and antioxidant defense in ferroptosis.</w:t>
      </w:r>
    </w:p>
    <w:p>
      <w:r>
        <w:rPr>
          <w:b/>
        </w:rPr>
        <w:t>26. Doll S et al. ACSL4 dictates ferroptosis sensitivity by shaping cellular lipid composition. Nature Chemical Biology. 2017.</w:t>
      </w:r>
    </w:p>
    <w:p>
      <w:pPr>
        <w:ind w:left="360"/>
      </w:pPr>
      <w:r>
        <w:rPr>
          <w:b/>
          <w:color w:val="1D5A6B"/>
        </w:rPr>
        <w:t xml:space="preserve">Use in v4.0.0: </w:t>
      </w:r>
      <w:r>
        <w:t>Shows that ferroptosis sensitivity depends on lipid composition; used to document biological variables omitted from the reduced v4 state model.</w:t>
      </w:r>
    </w:p>
    <w:p>
      <w:r>
        <w:rPr>
          <w:b/>
        </w:rPr>
        <w:t>27. Kagan VE et al. Oxidized arachidonic and adrenic PEs navigate cells to ferroptosis. Nature Chemical Biology. 2017.</w:t>
      </w:r>
    </w:p>
    <w:p>
      <w:pPr>
        <w:ind w:left="360"/>
      </w:pPr>
      <w:r>
        <w:rPr>
          <w:b/>
          <w:color w:val="1D5A6B"/>
        </w:rPr>
        <w:t xml:space="preserve">Use in v4.0.0: </w:t>
      </w:r>
      <w:r>
        <w:t>Supports lipid peroxidation as a mechanistic mediator rather than treating ROS alone as the death endpoint.</w:t>
      </w:r>
    </w:p>
    <w:p>
      <w:r>
        <w:rPr>
          <w:b/>
        </w:rPr>
        <w:t>28. Friedmann Angeli JP et al. Inactivation of the ferroptosis regulator Gpx4 triggers acute renal failure in mice. Nature Cell Biology. 2014.</w:t>
      </w:r>
    </w:p>
    <w:p>
      <w:pPr>
        <w:ind w:left="360"/>
      </w:pPr>
      <w:r>
        <w:rPr>
          <w:b/>
          <w:color w:val="1D5A6B"/>
        </w:rPr>
        <w:t xml:space="preserve">Use in v4.0.0: </w:t>
      </w:r>
      <w:r>
        <w:t>Independent biological support for the essential anti-ferroptotic role of GPX4.</w:t>
      </w:r>
    </w:p>
    <w:p>
      <w:r>
        <w:rPr>
          <w:b/>
        </w:rPr>
        <w:t>29. Badgley MA et al. Cysteine depletion induces pancreatic tumor ferroptosis in mice. Science. 2020.</w:t>
      </w:r>
    </w:p>
    <w:p>
      <w:pPr>
        <w:ind w:left="360"/>
      </w:pPr>
      <w:r>
        <w:rPr>
          <w:b/>
          <w:color w:val="1D5A6B"/>
        </w:rPr>
        <w:t xml:space="preserve">Use in v4.0.0: </w:t>
      </w:r>
      <w:r>
        <w:t>Directly connects ferroptosis vulnerability with pancreatic tumor biology and motivates PDAC-specific ferroptosis modeling.</w:t>
      </w:r>
    </w:p>
    <w:p>
      <w:r>
        <w:t>30. Daher B, Parks SK, Durivault J, et al. (2019). Genetic Ablation of the Cystine Transporter xCT in PDAC Cells Inhibits mTORC1, Growth, Survival, and Tumor Formation via Nutrient and Oxidative Stresses. Cancer Research 79(15):3877–3890. DOI: 10.1158/0008-5472.CAN-18-3855.</w:t>
      </w:r>
    </w:p>
    <w:p>
      <w:pPr>
        <w:ind w:left="360"/>
      </w:pPr>
      <w:r>
        <w:rPr>
          <w:b/>
          <w:color w:val="1D5A6B"/>
        </w:rPr>
        <w:t xml:space="preserve">Use in v4.0.0: </w:t>
      </w:r>
      <w:r>
        <w:t>Used conceptually to document cystine/redox regulation as an important upstream process not fully represented in the reduced model.</w:t>
      </w:r>
    </w:p>
    <w:p>
      <w:r>
        <w:rPr>
          <w:b/>
        </w:rPr>
        <w:t>31. Hassannia B, Vandenabeele P, Vanden Berghe T. Targeting Ferroptosis to Iron Out Cancer. Cancer Cell. 2019.</w:t>
      </w:r>
    </w:p>
    <w:p>
      <w:pPr>
        <w:ind w:left="360"/>
      </w:pPr>
      <w:r>
        <w:rPr>
          <w:b/>
          <w:color w:val="1D5A6B"/>
        </w:rPr>
        <w:t xml:space="preserve">Use in v4.0.0: </w:t>
      </w:r>
      <w:r>
        <w:t>Cancer-therapy context for ferroptosis and for interpreting the model as hypothesis-generating rather than clinically established.</w:t>
      </w:r>
    </w:p>
    <w:p>
      <w:r>
        <w:rPr>
          <w:b/>
        </w:rPr>
        <w:t>32. Tang D et al. Ferroptosis: molecular mechanisms and health implications. Cell Research. 2021.</w:t>
      </w:r>
    </w:p>
    <w:p>
      <w:pPr>
        <w:ind w:left="360"/>
      </w:pPr>
      <w:r>
        <w:rPr>
          <w:b/>
          <w:color w:val="1D5A6B"/>
        </w:rPr>
        <w:t xml:space="preserve">Use in v4.0.0: </w:t>
      </w:r>
      <w:r>
        <w:t>Broad mechanistic review used to define terminology and identify omitted ferroptosis regulators and feedbacks.</w:t>
      </w:r>
    </w:p>
    <w:p>
      <w:r>
        <w:rPr>
          <w:b/>
        </w:rPr>
        <w:t>33. McKay MD, Beckman RJ, Conover WJ. A Comparison of Three Methods for Selecting Values of Input Variables in the Analysis of Output from a Computer Code. Technometrics. 1979.</w:t>
      </w:r>
    </w:p>
    <w:p>
      <w:pPr>
        <w:ind w:left="360"/>
      </w:pPr>
      <w:r>
        <w:rPr>
          <w:b/>
          <w:color w:val="1D5A6B"/>
        </w:rPr>
        <w:t xml:space="preserve">Use in v4.0.0: </w:t>
      </w:r>
      <w:r>
        <w:t>Original methodological basis for Latin hypercube sampling used to generate stratified parameter ensembles.</w:t>
      </w:r>
    </w:p>
    <w:p>
      <w:r>
        <w:rPr>
          <w:b/>
        </w:rPr>
        <w:t>34. Iman RL, Helton JC, Campbell JE. An approach to sensitivity analysis of computer models. Journal of Quality Technology. 1981.</w:t>
      </w:r>
    </w:p>
    <w:p>
      <w:pPr>
        <w:ind w:left="360"/>
      </w:pPr>
      <w:r>
        <w:rPr>
          <w:b/>
          <w:color w:val="1D5A6B"/>
        </w:rPr>
        <w:t xml:space="preserve">Use in v4.0.0: </w:t>
      </w:r>
      <w:r>
        <w:t>Foundational sensitivity-analysis framework supporting rank-based global sensitivity methods.</w:t>
      </w:r>
    </w:p>
    <w:p>
      <w:r>
        <w:rPr>
          <w:b/>
        </w:rPr>
        <w:t>35. Marino S et al. A methodology for performing global uncertainty and sensitivity analysis in systems biology. Journal of Theoretical Biology. 2008.</w:t>
      </w:r>
    </w:p>
    <w:p>
      <w:pPr>
        <w:ind w:left="360"/>
      </w:pPr>
      <w:r>
        <w:rPr>
          <w:b/>
          <w:color w:val="1D5A6B"/>
        </w:rPr>
        <w:t xml:space="preserve">Use in v4.0.0: </w:t>
      </w:r>
      <w:r>
        <w:t>Primary methodological reference for LHS–PRCC in systems biology, including rank transformations and monotonicity considerations.</w:t>
      </w:r>
    </w:p>
    <w:p>
      <w:r>
        <w:rPr>
          <w:b/>
        </w:rPr>
        <w:t>36. Saltelli A et al. Global Sensitivity Analysis: The Primer. Wiley. 2008.</w:t>
      </w:r>
    </w:p>
    <w:p>
      <w:pPr>
        <w:ind w:left="360"/>
      </w:pPr>
      <w:r>
        <w:rPr>
          <w:b/>
          <w:color w:val="1D5A6B"/>
        </w:rPr>
        <w:t xml:space="preserve">Use in v4.0.0: </w:t>
      </w:r>
      <w:r>
        <w:t>General reference for global sensitivity analysis and interpretation of variance-based methods.</w:t>
      </w:r>
    </w:p>
    <w:p>
      <w:r>
        <w:rPr>
          <w:b/>
        </w:rPr>
        <w:t>37. Sobol IM. Sensitivity estimates for nonlinear mathematical models. Mathematical Modelling and Computational Experiments. 1993.</w:t>
      </w:r>
    </w:p>
    <w:p>
      <w:pPr>
        <w:ind w:left="360"/>
      </w:pPr>
      <w:r>
        <w:rPr>
          <w:b/>
          <w:color w:val="1D5A6B"/>
        </w:rPr>
        <w:t xml:space="preserve">Use in v4.0.0: </w:t>
      </w:r>
      <w:r>
        <w:t>Foundational reference for Sobol variance decomposition.</w:t>
      </w:r>
    </w:p>
    <w:p>
      <w:r>
        <w:rPr>
          <w:b/>
        </w:rPr>
        <w:t>38. Saltelli A. Making best use of model evaluations to compute sensitivity indices. Computer Physics Communications. 2002.</w:t>
      </w:r>
    </w:p>
    <w:p>
      <w:pPr>
        <w:ind w:left="360"/>
      </w:pPr>
      <w:r>
        <w:rPr>
          <w:b/>
          <w:color w:val="1D5A6B"/>
        </w:rPr>
        <w:t xml:space="preserve">Use in v4.0.0: </w:t>
      </w:r>
      <w:r>
        <w:t>Supports efficient computation and interpretation of first- and total-order Sobol indices.</w:t>
      </w:r>
    </w:p>
    <w:p>
      <w:r>
        <w:rPr>
          <w:b/>
        </w:rPr>
        <w:t>39. Saltelli A et al. Variance based sensitivity analysis of model output. Design and estimator for the total sensitivity index. Computer Physics Communications. 2010.</w:t>
      </w:r>
    </w:p>
    <w:p>
      <w:pPr>
        <w:ind w:left="360"/>
      </w:pPr>
      <w:r>
        <w:rPr>
          <w:b/>
          <w:color w:val="1D5A6B"/>
        </w:rPr>
        <w:t xml:space="preserve">Use in v4.0.0: </w:t>
      </w:r>
      <w:r>
        <w:t>Supports total-order sensitivity estimation and interaction-aware interpretation.</w:t>
      </w:r>
    </w:p>
    <w:p>
      <w:r>
        <w:rPr>
          <w:b/>
        </w:rPr>
        <w:t>40. Efron B, Tibshirani RJ. An Introduction to the Bootstrap. Chapman &amp; Hall/CRC. 1993.</w:t>
      </w:r>
    </w:p>
    <w:p>
      <w:pPr>
        <w:ind w:left="360"/>
      </w:pPr>
      <w:r>
        <w:rPr>
          <w:b/>
          <w:color w:val="1D5A6B"/>
        </w:rPr>
        <w:t xml:space="preserve">Use in v4.0.0: </w:t>
      </w:r>
      <w:r>
        <w:t>Methodological basis for bootstrap confidence intervals around sensitivity and performance estimates.</w:t>
      </w:r>
    </w:p>
    <w:p>
      <w:r>
        <w:rPr>
          <w:b/>
        </w:rPr>
        <w:t>41. Virtanen P et al. SciPy 1.0: fundamental algorithms for scientific computing in Python. Nature Methods. 2020.</w:t>
      </w:r>
    </w:p>
    <w:p>
      <w:pPr>
        <w:ind w:left="360"/>
      </w:pPr>
      <w:r>
        <w:rPr>
          <w:b/>
          <w:color w:val="1D5A6B"/>
        </w:rPr>
        <w:t xml:space="preserve">Use in v4.0.0: </w:t>
      </w:r>
      <w:r>
        <w:t>Documents the numerical optimization, integration and scientific-computing ecosystem used by the implementation.</w:t>
      </w:r>
    </w:p>
    <w:p>
      <w:r>
        <w:rPr>
          <w:b/>
        </w:rPr>
        <w:t>42. Harris CR et al. Array programming with NumPy. Nature. 2020.</w:t>
      </w:r>
    </w:p>
    <w:p>
      <w:pPr>
        <w:ind w:left="360"/>
      </w:pPr>
      <w:r>
        <w:rPr>
          <w:b/>
          <w:color w:val="1D5A6B"/>
        </w:rPr>
        <w:t xml:space="preserve">Use in v4.0.0: </w:t>
      </w:r>
      <w:r>
        <w:t>Core numerical array and random-sampling infrastructure used throughout the computational pipeline.</w:t>
      </w:r>
    </w:p>
    <w:p>
      <w:r>
        <w:rPr>
          <w:b/>
        </w:rPr>
        <w:t>43. Hunter JD. Matplotlib: A 2D Graphics Environment. Computing in Science &amp; Engineering. 2007.</w:t>
      </w:r>
    </w:p>
    <w:p>
      <w:pPr>
        <w:ind w:left="360"/>
      </w:pPr>
      <w:r>
        <w:rPr>
          <w:b/>
          <w:color w:val="1D5A6B"/>
        </w:rPr>
        <w:t xml:space="preserve">Use in v4.0.0: </w:t>
      </w:r>
      <w:r>
        <w:t>Basis for reproducible scientific visualization and publication-ready figures.</w:t>
      </w:r>
    </w:p>
    <w:p>
      <w:r>
        <w:rPr>
          <w:b/>
        </w:rPr>
        <w:t>44. Pedregosa F et al. Scikit-learn: Machine Learning in Python. Journal of Machine Learning Research. 2011.</w:t>
      </w:r>
    </w:p>
    <w:p>
      <w:pPr>
        <w:ind w:left="360"/>
      </w:pPr>
      <w:r>
        <w:rPr>
          <w:b/>
          <w:color w:val="1D5A6B"/>
        </w:rPr>
        <w:t xml:space="preserve">Use in v4.0.0: </w:t>
      </w:r>
      <w:r>
        <w:t>Supports regression metrics, preprocessing or calibration utilities where used; not evidence for biological validity.</w:t>
      </w:r>
    </w:p>
    <w:p>
      <w:r>
        <w:rPr>
          <w:b/>
        </w:rPr>
        <w:t>45. Hairer E, Nørsett SP, Wanner G. Solving Ordinary Differential Equations I. Springer.</w:t>
      </w:r>
    </w:p>
    <w:p>
      <w:pPr>
        <w:ind w:left="360"/>
      </w:pPr>
      <w:r>
        <w:rPr>
          <w:b/>
          <w:color w:val="1D5A6B"/>
        </w:rPr>
        <w:t xml:space="preserve">Use in v4.0.0: </w:t>
      </w:r>
      <w:r>
        <w:t>Numerical-analysis basis for deterministic ODE integration and solver-quality considerations.</w:t>
      </w:r>
    </w:p>
    <w:p>
      <w:r>
        <w:rPr>
          <w:b/>
        </w:rPr>
        <w:t>46. Kloeden PE, Platen E. Numerical Solution of Stochastic Differential Equations. Springer. 1992.</w:t>
      </w:r>
    </w:p>
    <w:p>
      <w:pPr>
        <w:ind w:left="360"/>
      </w:pPr>
      <w:r>
        <w:rPr>
          <w:b/>
          <w:color w:val="1D5A6B"/>
        </w:rPr>
        <w:t xml:space="preserve">Use in v4.0.0: </w:t>
      </w:r>
      <w:r>
        <w:t>Methodological basis for discretizing SDEs and interpreting stochastic simulation error.</w:t>
      </w:r>
    </w:p>
    <w:p>
      <w:r>
        <w:rPr>
          <w:b/>
        </w:rPr>
        <w:t>47. Evans LC. Partial Differential Equations. American Mathematical Society.</w:t>
      </w:r>
    </w:p>
    <w:p>
      <w:pPr>
        <w:ind w:left="360"/>
      </w:pPr>
      <w:r>
        <w:rPr>
          <w:b/>
          <w:color w:val="1D5A6B"/>
        </w:rPr>
        <w:t xml:space="preserve">Use in v4.0.0: </w:t>
      </w:r>
      <w:r>
        <w:t>Mathematical basis for diffusion PDE formulation, boundary conditions and spatial concentration modeling.</w:t>
      </w:r>
    </w:p>
    <w:p>
      <w:r>
        <w:rPr>
          <w:b/>
        </w:rPr>
        <w:t>48. Crank J. The Mathematics of Diffusion. Oxford University Press.</w:t>
      </w:r>
    </w:p>
    <w:p>
      <w:pPr>
        <w:ind w:left="360"/>
      </w:pPr>
      <w:r>
        <w:rPr>
          <w:b/>
          <w:color w:val="1D5A6B"/>
        </w:rPr>
        <w:t xml:space="preserve">Use in v4.0.0: </w:t>
      </w:r>
      <w:r>
        <w:t>Classical diffusion reference supporting the spatial transport formulation and interpretation of diffusion fields.</w:t>
      </w:r>
    </w:p>
    <w:p>
      <w:r>
        <w:rPr>
          <w:b/>
        </w:rPr>
        <w:t>49. Pontryagin LS et al. The Mathematical Theory of Optimal Processes. 1962.</w:t>
      </w:r>
    </w:p>
    <w:p>
      <w:pPr>
        <w:ind w:left="360"/>
      </w:pPr>
      <w:r>
        <w:rPr>
          <w:b/>
          <w:color w:val="1D5A6B"/>
        </w:rPr>
        <w:t xml:space="preserve">Use in v4.0.0: </w:t>
      </w:r>
      <w:r>
        <w:t>Foundational optimal-control theory underlying the idea of optimizing time-dependent therapeutic input.</w:t>
      </w:r>
    </w:p>
    <w:p>
      <w:r>
        <w:rPr>
          <w:b/>
        </w:rPr>
        <w:t>50. Kirk DE. Optimal Control Theory: An Introduction. Dover.</w:t>
      </w:r>
    </w:p>
    <w:p>
      <w:pPr>
        <w:ind w:left="360"/>
      </w:pPr>
      <w:r>
        <w:rPr>
          <w:b/>
          <w:color w:val="1D5A6B"/>
        </w:rPr>
        <w:t xml:space="preserve">Use in v4.0.0: </w:t>
      </w:r>
      <w:r>
        <w:t>Practical optimal-control reference used to structure the dosing objective and constraints.</w:t>
      </w:r>
    </w:p>
    <w:p>
      <w:r>
        <w:rPr>
          <w:b/>
        </w:rPr>
        <w:t>51. Nocedal J, Wright SJ. Numerical Optimization. Springer.</w:t>
      </w:r>
    </w:p>
    <w:p>
      <w:pPr>
        <w:ind w:left="360"/>
      </w:pPr>
      <w:r>
        <w:rPr>
          <w:b/>
          <w:color w:val="1D5A6B"/>
        </w:rPr>
        <w:t xml:space="preserve">Use in v4.0.0: </w:t>
      </w:r>
      <w:r>
        <w:t>Supports constrained numerical optimization and the interpretation of optimizer convergence.</w:t>
      </w:r>
    </w:p>
    <w:p>
      <w:r>
        <w:rPr>
          <w:b/>
        </w:rPr>
        <w:t>52. Akaike H. A new look at the statistical model identification. IEEE Transactions on Automatic Control. 1974.</w:t>
      </w:r>
    </w:p>
    <w:p>
      <w:pPr>
        <w:ind w:left="360"/>
      </w:pPr>
      <w:r>
        <w:rPr>
          <w:b/>
          <w:color w:val="1D5A6B"/>
        </w:rPr>
        <w:t xml:space="preserve">Use in v4.0.0: </w:t>
      </w:r>
      <w:r>
        <w:t>General model-selection context; useful when comparing alternative dynamic formulations without rewarding unnecessary complexity.</w:t>
      </w:r>
    </w:p>
    <w:p>
      <w:r>
        <w:rPr>
          <w:b/>
        </w:rPr>
        <w:t>53. Burnham KP, Anderson DR. Model Selection and Multimodel Inference. Springer.</w:t>
      </w:r>
    </w:p>
    <w:p>
      <w:pPr>
        <w:ind w:left="360"/>
      </w:pPr>
      <w:r>
        <w:rPr>
          <w:b/>
          <w:color w:val="1D5A6B"/>
        </w:rPr>
        <w:t xml:space="preserve">Use in v4.0.0: </w:t>
      </w:r>
      <w:r>
        <w:t>Supports explicit comparison of competing model structures and cautions against interpreting a single fitted model as uniquely correct.</w:t>
      </w:r>
    </w:p>
    <w:p>
      <w:r>
        <w:rPr>
          <w:b/>
        </w:rPr>
        <w:t>54. The Cancer Genome Atlas / NCI Genomic Data Commons. TCGA-PAAD project.</w:t>
      </w:r>
    </w:p>
    <w:p>
      <w:pPr>
        <w:ind w:left="360"/>
      </w:pPr>
      <w:r>
        <w:rPr>
          <w:b/>
          <w:color w:val="1D5A6B"/>
        </w:rPr>
        <w:t xml:space="preserve">Use in v4.0.0: </w:t>
      </w:r>
      <w:r>
        <w:t>Primary public tumor genomics/transcriptomics resource proposed for PDAC molecular calibration/context. Specific files must be cited by release and accession when actually processed.</w:t>
      </w:r>
    </w:p>
    <w:p>
      <w:r>
        <w:rPr>
          <w:b/>
        </w:rPr>
        <w:t>55. GTEx Consortium. The GTEx Consortium atlas of genetic regulatory effects across human tissues. Science. 2020.</w:t>
      </w:r>
    </w:p>
    <w:p>
      <w:pPr>
        <w:ind w:left="360"/>
      </w:pPr>
      <w:r>
        <w:rPr>
          <w:b/>
          <w:color w:val="1D5A6B"/>
        </w:rPr>
        <w:t xml:space="preserve">Use in v4.0.0: </w:t>
      </w:r>
      <w:r>
        <w:t>Supports use of GTEx as a non-diseased tissue expression reference and documents the tissue-expression resource.</w:t>
      </w:r>
    </w:p>
    <w:p>
      <w:r>
        <w:rPr>
          <w:b/>
        </w:rPr>
        <w:t>56. GTEx Portal, Adult GTEx open-access datasets.</w:t>
      </w:r>
    </w:p>
    <w:p>
      <w:pPr>
        <w:ind w:left="360"/>
      </w:pPr>
      <w:r>
        <w:rPr>
          <w:b/>
          <w:color w:val="1D5A6B"/>
        </w:rPr>
        <w:t xml:space="preserve">Use in v4.0.0: </w:t>
      </w:r>
      <w:r>
        <w:t>Operational source for non-diseased pancreatic expression reference data; protected raw data require the appropriate controlled-access process.</w:t>
      </w:r>
    </w:p>
    <w:p>
      <w:r>
        <w:rPr>
          <w:b/>
        </w:rPr>
        <w:t>57. NCBI Gene Expression Omnibus (GEO).</w:t>
      </w:r>
    </w:p>
    <w:p>
      <w:pPr>
        <w:ind w:left="360"/>
      </w:pPr>
      <w:r>
        <w:rPr>
          <w:b/>
          <w:color w:val="1D5A6B"/>
        </w:rPr>
        <w:t xml:space="preserve">Use in v4.0.0: </w:t>
      </w:r>
      <w:r>
        <w:t>Repository used to identify independent PDAC expression, single-cell, organoid and spatial cohorts for external validation.</w:t>
      </w:r>
    </w:p>
    <w:p>
      <w:r>
        <w:t>58. Hwang WL, Jagadeesh KA, Guo JA, et al. (2022). Single-nucleus and spatial transcriptome profiling of pancreatic cancer identifies multicellular dynamics associated with neoadjuvant treatment. Nature Genetics 54:1178–1191. DOI: 10.1038/s41588-022-01134-8. GEO GSE199102 corresponds to the GeoMx/DSP component; GSE202051 corresponds to snRNA-seq.</w:t>
      </w:r>
    </w:p>
    <w:p>
      <w:pPr>
        <w:ind w:left="360"/>
      </w:pPr>
      <w:r>
        <w:rPr>
          <w:b/>
          <w:color w:val="1D5A6B"/>
        </w:rPr>
        <w:t xml:space="preserve">Use in v4.0.0: </w:t>
      </w:r>
      <w:r>
        <w:t>Candidate spatial PDAC validation resource for studying malignant/stromal programs and treatment-associated microenvironmental structure.</w:t>
      </w:r>
    </w:p>
    <w:p>
      <w:r>
        <w:t>59. NCBI Gene Expression Omnibus. GEO Series GSE132956: Gene Expression Data of Pancreatic Ductal Adenocarcinoma and Normal Tissue. Dataset (10 PDAC and 5 normal samples); GEO lists no associated publication. Cite as a dataset and record retrieval date for any future use.</w:t>
      </w:r>
    </w:p>
    <w:p>
      <w:pPr>
        <w:ind w:left="360"/>
      </w:pPr>
      <w:r>
        <w:rPr>
          <w:b/>
          <w:color w:val="1D5A6B"/>
        </w:rPr>
        <w:t xml:space="preserve">Use in v4.0.0: </w:t>
      </w:r>
      <w:r>
        <w:t>Candidate tumor-versus-normal expression cohort for independent checks of expression proxies; small sample size requires cautious interpretation.</w:t>
      </w:r>
    </w:p>
    <w:p>
      <w:r>
        <w:t>60. Cao L, Huang C, Zhou DC, et al.; Clinical Proteomic Tumor Analysis Consortium. (2021). Proteogenomic characterization of pancreatic ductal adenocarcinoma. Cell 184(19):5031–5052.e26. DOI: 10.1016/j.cell.2021.08.023.</w:t>
      </w:r>
    </w:p>
    <w:p>
      <w:pPr>
        <w:ind w:left="360"/>
      </w:pPr>
      <w:r>
        <w:rPr>
          <w:b/>
          <w:color w:val="1D5A6B"/>
        </w:rPr>
        <w:t xml:space="preserve">Use in v4.0.0: </w:t>
      </w:r>
      <w:r>
        <w:t>Proteomic and proteogenomic source proposed for anchoring transcript proxies to protein-level measurements and for independent multi-omic validation.</w:t>
      </w:r>
    </w:p>
    <w:p>
      <w:pPr>
        <w:pStyle w:val="Heading1"/>
      </w:pPr>
      <w:r>
        <w:t>20. Data-Reuse and Citation Note</w:t>
      </w:r>
    </w:p>
    <w:p>
      <w:r>
        <w:t>TCGA/GDC, GTEx, GEO and CPTAC/PDC are repository families, not interchangeable datasets. Any future v4 analysis using human data should record the exact project/accession, release date, data type, preprocessing pipeline, sample selection criteria and access status. Controlled-access files should not be redistributed in the Zenodo package. Only derived, legally redistributable outputs should be archived, together with provenance sufficient to reproduce the acquisition from the original repository.</w:t>
      </w:r>
    </w:p>
    <w:p>
      <w:pPr>
        <w:pStyle w:val="Heading1"/>
      </w:pPr>
      <w:r>
        <w:t>21. Recommended Zenodo Package Contents</w:t>
      </w:r>
    </w:p>
    <w:p>
      <w:pPr>
        <w:pStyle w:val="ListBullet"/>
      </w:pPr>
      <w:r>
        <w:t>Source-code archive for v4.0.0.</w:t>
      </w:r>
    </w:p>
    <w:p>
      <w:pPr>
        <w:pStyle w:val="ListBullet"/>
      </w:pPr>
      <w:r>
        <w:t>README with installation and reproduction commands.</w:t>
      </w:r>
    </w:p>
    <w:p>
      <w:pPr>
        <w:pStyle w:val="ListBullet"/>
      </w:pPr>
      <w:r>
        <w:t>This extended project manuscript.</w:t>
      </w:r>
    </w:p>
    <w:p>
      <w:pPr>
        <w:pStyle w:val="ListBullet"/>
      </w:pPr>
      <w:r>
        <w:t>METHODS / MODEL_EQUATIONS / VALIDATION documentation.</w:t>
      </w:r>
    </w:p>
    <w:p>
      <w:pPr>
        <w:pStyle w:val="ListBullet"/>
      </w:pPr>
      <w:r>
        <w:t>CHANGELOG and CITATION.cff.</w:t>
      </w:r>
    </w:p>
    <w:p>
      <w:pPr>
        <w:pStyle w:val="ListBullet"/>
      </w:pPr>
      <w:r>
        <w:t>License file consistent with the license declared in the Zenodo metadata.</w:t>
      </w:r>
    </w:p>
    <w:p>
      <w:pPr>
        <w:pStyle w:val="ListBullet"/>
      </w:pPr>
      <w:r>
        <w:t>Unit tests and test instructions.</w:t>
      </w:r>
    </w:p>
    <w:p>
      <w:pPr>
        <w:pStyle w:val="ListBullet"/>
      </w:pPr>
      <w:r>
        <w:t>Machine-readable sensitivity, calibration and benchmark outputs.</w:t>
      </w:r>
    </w:p>
    <w:p>
      <w:pPr>
        <w:pStyle w:val="ListBullet"/>
      </w:pPr>
      <w:r>
        <w:t>Scientific figures and both landscape/portrait infographics as supplementary communication material.</w:t>
      </w:r>
    </w:p>
    <w:p>
      <w:pPr>
        <w:pStyle w:val="ListBullet"/>
      </w:pPr>
      <w:r>
        <w:t>Annotated bibliography and data-provenance table.</w:t>
      </w:r>
    </w:p>
    <w:p>
      <w:pPr>
        <w:pStyle w:val="ListBullet"/>
      </w:pPr>
      <w:r>
        <w:t>SHA256 checksums for the archived release.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PDAC Nanotherapeutic Architecture v4.0.0  |  DOI 10.5281/zenodo.22764930  |  Computational Proof of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5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E3B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pPr>
    <w:rPr>
      <w:rFonts w:ascii="Cambria Math" w:hAnsi="Cambria Math"/>
      <w:sz w:val="22"/>
    </w:rPr>
  </w:style>
  <w:style w:type="paragraph" w:customStyle="1" w:styleId="CaptionNote">
    <w:name w:val="CaptionNote"/>
    <w:rPr>
      <w:rFonts w:ascii="Aptos" w:hAnsi="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