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80"/>
        </w:rPr>
        <w:t>KNOWTIFY</w:t>
      </w:r>
    </w:p>
    <w:p>
      <w:pPr>
        <w:jc w:val="center"/>
      </w:pPr>
      <w:r>
        <w:rPr>
          <w:color w:val="7C3AED"/>
          <w:sz w:val="32"/>
        </w:rPr>
        <w:t>Plataforma Educativa de Calificación Inteligente</w:t>
      </w:r>
    </w:p>
    <w:p/>
    <w:p>
      <w:pPr>
        <w:jc w:val="center"/>
      </w:pPr>
      <w:r>
        <w:rPr>
          <w:b/>
          <w:color w:val="1E293B"/>
          <w:sz w:val="30"/>
        </w:rPr>
        <w:t>INFORME DE CONSTRUCCIÓN DEL SOFTWARE</w:t>
        <w:br/>
        <w:t>Backend y Frontend — Énfasis en la Fase de Diseño</w:t>
      </w:r>
    </w:p>
    <w:p/>
    <w:p/>
    <w:p/>
    <w:p/>
    <w:p/>
    <w:p/>
    <w:p>
      <w:pPr>
        <w:jc w:val="center"/>
      </w:pPr>
      <w:r>
        <w:rPr>
          <w:b/>
          <w:color w:val="1E293B"/>
        </w:rPr>
        <w:t xml:space="preserve">Proyecto: </w:t>
      </w:r>
      <w:r>
        <w:t>KNOWTIFY (nombre técnico interno: edu-grade-mocavi)</w:t>
      </w:r>
    </w:p>
    <w:p>
      <w:pPr>
        <w:jc w:val="center"/>
      </w:pPr>
      <w:r>
        <w:rPr>
          <w:b/>
          <w:color w:val="1E293B"/>
        </w:rPr>
        <w:t xml:space="preserve">Tipo de sistema: </w:t>
      </w:r>
      <w:r>
        <w:t>Aplicación web full-stack (cliente-servidor)</w:t>
      </w:r>
    </w:p>
    <w:p>
      <w:pPr>
        <w:jc w:val="center"/>
      </w:pPr>
      <w:r>
        <w:rPr>
          <w:b/>
          <w:color w:val="1E293B"/>
        </w:rPr>
        <w:t xml:space="preserve">Documento: </w:t>
      </w:r>
      <w:r>
        <w:t>Informe del proceso de construcción y diseño</w:t>
      </w:r>
    </w:p>
    <w:p>
      <w:pPr>
        <w:jc w:val="center"/>
      </w:pPr>
      <w:r>
        <w:rPr>
          <w:b/>
          <w:color w:val="1E293B"/>
        </w:rPr>
        <w:t xml:space="preserve">Fecha: </w:t>
      </w:r>
      <w:r>
        <w:t>21 de mayo de 2026</w:t>
      </w:r>
    </w:p>
    <w:p>
      <w:pPr>
        <w:jc w:val="center"/>
      </w:pPr>
      <w:r>
        <w:rPr>
          <w:b/>
          <w:color w:val="1E293B"/>
        </w:rPr>
        <w:t xml:space="preserve">Versión del informe: </w:t>
      </w:r>
      <w:r>
        <w:t>1.0</w:t>
      </w:r>
    </w:p>
    <w:p>
      <w:r>
        <w:br w:type="page"/>
      </w:r>
    </w:p>
    <w:p>
      <w:pPr>
        <w:pStyle w:val="Heading1"/>
        <w:spacing w:before="280"/>
      </w:pPr>
      <w:r>
        <w:rPr>
          <w:color w:val="4F46E5"/>
          <w:sz w:val="36"/>
        </w:rPr>
        <w:t>Tabla de contenido</w:t>
      </w:r>
    </w:p>
    <w:p>
      <w:r>
        <w:rPr>
          <w:b w:val="0"/>
          <w:i/>
          <w:color w:val="64748B"/>
          <w:sz w:val="19"/>
        </w:rPr>
        <w:t>Para actualizar la numeración de páginas: haga clic derecho sobre la tabla y seleccione «Actualizar campos» (o seleccione todo y pulse F9).</w:t>
      </w:r>
    </w:p>
    <w:p>
      <w:r>
        <w:fldChar w:fldCharType="begin"/>
        <w:instrText xml:space="preserve">TOC \o "1-3" \h \z \u</w:instrText>
        <w:fldChar w:fldCharType="separate"/>
        <w:t>Actualice este campo para ver la tabla de contenido.</w:t>
        <w:fldChar w:fldCharType="end"/>
      </w:r>
    </w:p>
    <w:p>
      <w:r>
        <w:br w:type="page"/>
      </w:r>
    </w:p>
    <w:p>
      <w:pPr>
        <w:pStyle w:val="Heading1"/>
        <w:spacing w:before="280"/>
      </w:pPr>
      <w:r>
        <w:rPr>
          <w:color w:val="4F46E5"/>
          <w:sz w:val="36"/>
        </w:rPr>
        <w:t>1. Introducción</w:t>
      </w:r>
    </w:p>
    <w:p>
      <w:pPr>
        <w:pStyle w:val="Heading2"/>
      </w:pPr>
      <w:r>
        <w:rPr>
          <w:color w:val="1E293B"/>
          <w:sz w:val="28"/>
        </w:rPr>
        <w:t>1.1 Contexto y justificación</w:t>
      </w:r>
    </w:p>
    <w:p>
      <w:r>
        <w:rPr>
          <w:b w:val="0"/>
          <w:i w:val="0"/>
          <w:sz w:val="22"/>
        </w:rPr>
        <w:t>KNOWTIFY es una plataforma educativa web desarrollada para resolver una necesidad concreta de las instituciones educativas: la calificación de evaluaciones consume gran parte del tiempo del docente y la información de desempeño llega tarde y de forma poco clara al estudiante. El proyecto integra, en una sola herramienta, tres ejes que normalmente están separados: (1) la calificación masiva de exámenes mediante visión por computador e inteligencia artificial, (2) la gestión de notas por periodo y dimensión (Saber, Hacer, Ser), y (3) la comunicación y seguimiento del desempeño entre docente y estudiante.</w:t>
      </w:r>
    </w:p>
    <w:p>
      <w:r>
        <w:rPr>
          <w:b w:val="0"/>
          <w:i w:val="0"/>
          <w:sz w:val="22"/>
        </w:rPr>
        <w:t>Este informe documenta el proceso de construcción del software de extremo a extremo —tanto el backend (servidor y lógica de negocio) como el frontend (interfaz de usuario)— con especial énfasis en la fase de diseño, que es donde se tomaron las decisiones arquitectónicas, de modelo de datos y de experiencia de usuario que sostienen todo el sistema.</w:t>
      </w:r>
    </w:p>
    <w:p>
      <w:pPr>
        <w:pStyle w:val="Heading2"/>
      </w:pPr>
      <w:r>
        <w:rPr>
          <w:color w:val="1E293B"/>
          <w:sz w:val="28"/>
        </w:rPr>
        <w:t>1.2 Descripción general del sistema</w:t>
      </w:r>
    </w:p>
    <w:p>
      <w:r>
        <w:rPr>
          <w:b w:val="0"/>
          <w:i w:val="0"/>
          <w:sz w:val="22"/>
        </w:rPr>
        <w:t>El sistema se compone de dos grandes aplicaciones que se comunican mediante una API REST sobre HTTP:</w:t>
      </w:r>
    </w:p>
    <w:p>
      <w:pPr>
        <w:pStyle w:val="ListBullet"/>
      </w:pPr>
      <w:r>
        <w:rPr>
          <w:b/>
        </w:rPr>
        <w:t xml:space="preserve">Backend (FastAPI + PostgreSQL): </w:t>
      </w:r>
      <w:r>
        <w:t>expone la lógica de negocio, la persistencia de datos, la autenticación y la integración con los servicios de IA y de visión por computador.</w:t>
      </w:r>
    </w:p>
    <w:p>
      <w:pPr>
        <w:pStyle w:val="ListBullet"/>
      </w:pPr>
      <w:r>
        <w:rPr>
          <w:b/>
        </w:rPr>
        <w:t xml:space="preserve">Frontend (Next.js + React): </w:t>
      </w:r>
      <w:r>
        <w:t>ofrece dos portales diferenciados —Docente y Estudiante— además de un sitio público de presentación.</w:t>
      </w:r>
    </w:p>
    <w:p>
      <w:r>
        <w:rPr>
          <w:b w:val="0"/>
          <w:i w:val="0"/>
          <w:sz w:val="22"/>
        </w:rPr>
        <w:t>KNOWTIFY ofrece un portal público (presentación, secciones informativas y suscripción al boletín), un Portal del Docente (gestión de notas, calificador masivo OMR/IA y calendario académico) y un Portal del Estudiante (tablero de desempeño, detalle por periodo y mensajería con el docente).</w:t>
      </w:r>
    </w:p>
    <w:p>
      <w:pPr>
        <w:pStyle w:val="Heading1"/>
        <w:spacing w:before="280"/>
      </w:pPr>
      <w:r>
        <w:rPr>
          <w:color w:val="4F46E5"/>
          <w:sz w:val="36"/>
        </w:rPr>
        <w:t>2. Objetivos</w:t>
      </w:r>
    </w:p>
    <w:p>
      <w:pPr>
        <w:pStyle w:val="Heading2"/>
      </w:pPr>
      <w:r>
        <w:rPr>
          <w:color w:val="1E293B"/>
          <w:sz w:val="28"/>
        </w:rPr>
        <w:t>2.1 Objetivo general</w:t>
      </w:r>
    </w:p>
    <w:p>
      <w:r>
        <w:rPr>
          <w:b w:val="0"/>
          <w:i w:val="0"/>
          <w:sz w:val="22"/>
        </w:rPr>
        <w:t>Construir una plataforma web que automatice la calificación de evaluaciones y centralice la gestión académica de notas, comunicación y seguimiento del desempeño, reduciendo el tiempo operativo del docente y mejorando la retroalimentación al estudiante.</w:t>
      </w:r>
    </w:p>
    <w:p>
      <w:pPr>
        <w:pStyle w:val="Heading2"/>
      </w:pPr>
      <w:r>
        <w:rPr>
          <w:color w:val="1E293B"/>
          <w:sz w:val="28"/>
        </w:rPr>
        <w:t>2.2 Objetivos específicos</w:t>
      </w:r>
    </w:p>
    <w:p>
      <w:pPr>
        <w:pStyle w:val="ListNumber"/>
      </w:pPr>
      <w:r>
        <w:t>Diseñar una arquitectura cliente-servidor desacoplada mediante una API REST.</w:t>
      </w:r>
    </w:p>
    <w:p>
      <w:pPr>
        <w:pStyle w:val="ListNumber"/>
      </w:pPr>
      <w:r>
        <w:t>Modelar la información académica (estudiantes, notas por periodo y dimensión, exámenes y resultados).</w:t>
      </w:r>
    </w:p>
    <w:p>
      <w:pPr>
        <w:pStyle w:val="ListNumber"/>
      </w:pPr>
      <w:r>
        <w:t>Implementar un motor de calificación óptica de marcas (OMR) con OpenCV para leer hojas de respuesta.</w:t>
      </w:r>
    </w:p>
    <w:p>
      <w:pPr>
        <w:pStyle w:val="ListNumber"/>
      </w:pPr>
      <w:r>
        <w:t>Identificar automáticamente al estudiante a partir del nombre manuscrito usando IA de visión.</w:t>
      </w:r>
    </w:p>
    <w:p>
      <w:pPr>
        <w:pStyle w:val="ListNumber"/>
      </w:pPr>
      <w:r>
        <w:t>Integrar un modelo de IA generativa (Gemini) para generar exámenes y asistir al estudiante.</w:t>
      </w:r>
    </w:p>
    <w:p>
      <w:pPr>
        <w:pStyle w:val="ListNumber"/>
      </w:pPr>
      <w:r>
        <w:t>Garantizar la seguridad mediante autenticación JWT, cifrado de contraseñas y limitación de tasa.</w:t>
      </w:r>
    </w:p>
    <w:p>
      <w:pPr>
        <w:pStyle w:val="ListNumber"/>
      </w:pPr>
      <w:r>
        <w:t>Diseñar una interfaz moderna, accesible y responsive con ayuda contextual integrada.</w:t>
      </w:r>
    </w:p>
    <w:p>
      <w:pPr>
        <w:pStyle w:val="Heading1"/>
        <w:spacing w:before="280"/>
      </w:pPr>
      <w:r>
        <w:rPr>
          <w:color w:val="4F46E5"/>
          <w:sz w:val="36"/>
        </w:rPr>
        <w:t>3. Alcance del sistema</w:t>
      </w:r>
    </w:p>
    <w:p>
      <w:r>
        <w:rPr>
          <w:b w:val="0"/>
          <w:i w:val="0"/>
          <w:sz w:val="22"/>
        </w:rPr>
        <w:t>El sistema cubre el ciclo completo de calificación y seguimiento académico de un grupo-clase. A continuación se detallan las funcionalidades incluidas, organizadas por módulo.</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9"/>
              </w:rPr>
              <w:t>Módulo</w:t>
            </w:r>
          </w:p>
        </w:tc>
        <w:tc>
          <w:tcPr>
            <w:tcW w:type="dxa" w:w="6768"/>
          </w:tcPr>
          <w:p>
            <w:r>
              <w:rPr>
                <w:b/>
                <w:sz w:val="19"/>
              </w:rPr>
              <w:t>Funcionalidades incluidas</w:t>
            </w:r>
          </w:p>
        </w:tc>
      </w:tr>
      <w:tr>
        <w:tc>
          <w:tcPr>
            <w:tcW w:type="dxa" w:w="2304"/>
          </w:tcPr>
          <w:p>
            <w:r>
              <w:rPr>
                <w:sz w:val="19"/>
              </w:rPr>
              <w:t>Sitio público</w:t>
            </w:r>
          </w:p>
        </w:tc>
        <w:tc>
          <w:tcPr>
            <w:tcW w:type="dxa" w:w="6768"/>
          </w:tcPr>
          <w:p>
            <w:r>
              <w:rPr>
                <w:sz w:val="19"/>
              </w:rPr>
              <w:t>Landing, secciones (Sobre nosotros, Cursos, Precios, Guía, Contacto), demo animada y suscripción al boletín.</w:t>
            </w:r>
          </w:p>
        </w:tc>
      </w:tr>
      <w:tr>
        <w:tc>
          <w:tcPr>
            <w:tcW w:type="dxa" w:w="2304"/>
          </w:tcPr>
          <w:p>
            <w:r>
              <w:rPr>
                <w:sz w:val="19"/>
              </w:rPr>
              <w:t>Autenticación</w:t>
            </w:r>
          </w:p>
        </w:tc>
        <w:tc>
          <w:tcPr>
            <w:tcW w:type="dxa" w:w="6768"/>
          </w:tcPr>
          <w:p>
            <w:r>
              <w:rPr>
                <w:sz w:val="19"/>
              </w:rPr>
              <w:t>Inicio de sesión de docente (usuario/contraseña + JWT) y de estudiante (documento).</w:t>
            </w:r>
          </w:p>
        </w:tc>
      </w:tr>
      <w:tr>
        <w:tc>
          <w:tcPr>
            <w:tcW w:type="dxa" w:w="2304"/>
          </w:tcPr>
          <w:p>
            <w:r>
              <w:rPr>
                <w:sz w:val="19"/>
              </w:rPr>
              <w:t>Gestión de notas</w:t>
            </w:r>
          </w:p>
        </w:tc>
        <w:tc>
          <w:tcPr>
            <w:tcW w:type="dxa" w:w="6768"/>
          </w:tcPr>
          <w:p>
            <w:r>
              <w:rPr>
                <w:sz w:val="19"/>
              </w:rPr>
              <w:t>Registro por dimensión (Saber/Hacer/Ser), cálculo de nota final y nivel de desempeño por periodo.</w:t>
            </w:r>
          </w:p>
        </w:tc>
      </w:tr>
      <w:tr>
        <w:tc>
          <w:tcPr>
            <w:tcW w:type="dxa" w:w="2304"/>
          </w:tcPr>
          <w:p>
            <w:r>
              <w:rPr>
                <w:sz w:val="19"/>
              </w:rPr>
              <w:t>Calificador masivo</w:t>
            </w:r>
          </w:p>
        </w:tc>
        <w:tc>
          <w:tcPr>
            <w:tcW w:type="dxa" w:w="6768"/>
          </w:tcPr>
          <w:p>
            <w:r>
              <w:rPr>
                <w:sz w:val="19"/>
              </w:rPr>
              <w:t>Lector OMR (OpenCV) e IA (Gemini); identificación del estudiante por nombre; guardado por periodo.</w:t>
            </w:r>
          </w:p>
        </w:tc>
      </w:tr>
      <w:tr>
        <w:tc>
          <w:tcPr>
            <w:tcW w:type="dxa" w:w="2304"/>
          </w:tcPr>
          <w:p>
            <w:r>
              <w:rPr>
                <w:sz w:val="19"/>
              </w:rPr>
              <w:t>Exámenes con IA</w:t>
            </w:r>
          </w:p>
        </w:tc>
        <w:tc>
          <w:tcPr>
            <w:tcW w:type="dxa" w:w="6768"/>
          </w:tcPr>
          <w:p>
            <w:r>
              <w:rPr>
                <w:sz w:val="19"/>
              </w:rPr>
              <w:t>Generación de exámenes de opción múltiple y su clave de respuestas.</w:t>
            </w:r>
          </w:p>
        </w:tc>
      </w:tr>
      <w:tr>
        <w:tc>
          <w:tcPr>
            <w:tcW w:type="dxa" w:w="2304"/>
          </w:tcPr>
          <w:p>
            <w:r>
              <w:rPr>
                <w:sz w:val="19"/>
              </w:rPr>
              <w:t>Calendario</w:t>
            </w:r>
          </w:p>
        </w:tc>
        <w:tc>
          <w:tcPr>
            <w:tcW w:type="dxa" w:w="6768"/>
          </w:tcPr>
          <w:p>
            <w:r>
              <w:rPr>
                <w:sz w:val="19"/>
              </w:rPr>
              <w:t>Eventos académicos (evaluaciones, actividades) por grado y grupo.</w:t>
            </w:r>
          </w:p>
        </w:tc>
      </w:tr>
      <w:tr>
        <w:tc>
          <w:tcPr>
            <w:tcW w:type="dxa" w:w="2304"/>
          </w:tcPr>
          <w:p>
            <w:r>
              <w:rPr>
                <w:sz w:val="19"/>
              </w:rPr>
              <w:t>Portal estudiante</w:t>
            </w:r>
          </w:p>
        </w:tc>
        <w:tc>
          <w:tcPr>
            <w:tcW w:type="dxa" w:w="6768"/>
          </w:tcPr>
          <w:p>
            <w:r>
              <w:rPr>
                <w:sz w:val="19"/>
              </w:rPr>
              <w:t>Tablero de desempeño, gráfica de evolución, detalle por periodo y mensajería.</w:t>
            </w:r>
          </w:p>
        </w:tc>
      </w:tr>
      <w:tr>
        <w:tc>
          <w:tcPr>
            <w:tcW w:type="dxa" w:w="2304"/>
          </w:tcPr>
          <w:p>
            <w:r>
              <w:rPr>
                <w:sz w:val="19"/>
              </w:rPr>
              <w:t>Mensajería</w:t>
            </w:r>
          </w:p>
        </w:tc>
        <w:tc>
          <w:tcPr>
            <w:tcW w:type="dxa" w:w="6768"/>
          </w:tcPr>
          <w:p>
            <w:r>
              <w:rPr>
                <w:sz w:val="19"/>
              </w:rPr>
              <w:t>Comunicación docente–estudiante con conteo de no leídos.</w:t>
            </w:r>
          </w:p>
        </w:tc>
      </w:tr>
    </w:tbl>
    <w:p>
      <w:pPr>
        <w:jc w:val="center"/>
      </w:pPr>
      <w:r>
        <w:rPr>
          <w:i/>
          <w:color w:val="64748B"/>
          <w:sz w:val="18"/>
        </w:rPr>
        <w:t>Tabla 1. Alcance funcional del sistema por módulo.</w:t>
      </w:r>
    </w:p>
    <w:p>
      <w:pPr>
        <w:pStyle w:val="Heading1"/>
        <w:spacing w:before="280"/>
      </w:pPr>
      <w:r>
        <w:rPr>
          <w:color w:val="4F46E5"/>
          <w:sz w:val="36"/>
        </w:rPr>
        <w:t>4. Metodología de desarrollo</w:t>
      </w:r>
    </w:p>
    <w:p>
      <w:r>
        <w:rPr>
          <w:b w:val="0"/>
          <w:i w:val="0"/>
          <w:sz w:val="22"/>
        </w:rPr>
        <w:t>El desarrollo siguió un modelo incremental e iterativo: el producto se construyó por incrementos funcionales, partiendo de una base estable y agregando módulos verificables en cada iteración. Este enfoque permitió validar cada funcionalidad de forma temprana y mantener un sistema siempre ejecutable.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Pr>
                <w:b/>
                <w:sz w:val="19"/>
              </w:rPr>
              <w:t>Fase</w:t>
            </w:r>
          </w:p>
        </w:tc>
        <w:tc>
          <w:tcPr>
            <w:tcW w:type="dxa" w:w="5040"/>
          </w:tcPr>
          <w:p>
            <w:r>
              <w:rPr>
                <w:b/>
                <w:sz w:val="19"/>
              </w:rPr>
              <w:t>Actividades principales</w:t>
            </w:r>
          </w:p>
        </w:tc>
        <w:tc>
          <w:tcPr>
            <w:tcW w:type="dxa" w:w="2448"/>
          </w:tcPr>
          <w:p>
            <w:r>
              <w:rPr>
                <w:b/>
                <w:sz w:val="19"/>
              </w:rPr>
              <w:t>Productos</w:t>
            </w:r>
          </w:p>
        </w:tc>
      </w:tr>
      <w:tr>
        <w:tc>
          <w:tcPr>
            <w:tcW w:type="dxa" w:w="1584"/>
          </w:tcPr>
          <w:p>
            <w:r>
              <w:rPr>
                <w:sz w:val="19"/>
              </w:rPr>
              <w:t>Análisis</w:t>
            </w:r>
          </w:p>
        </w:tc>
        <w:tc>
          <w:tcPr>
            <w:tcW w:type="dxa" w:w="5040"/>
          </w:tcPr>
          <w:p>
            <w:r>
              <w:rPr>
                <w:sz w:val="19"/>
              </w:rPr>
              <w:t>Identificación de requisitos, actores y casos de uso.</w:t>
            </w:r>
          </w:p>
        </w:tc>
        <w:tc>
          <w:tcPr>
            <w:tcW w:type="dxa" w:w="2448"/>
          </w:tcPr>
          <w:p>
            <w:r>
              <w:rPr>
                <w:sz w:val="19"/>
              </w:rPr>
              <w:t>Requisitos funcionales y no funcionales.</w:t>
            </w:r>
          </w:p>
        </w:tc>
      </w:tr>
      <w:tr>
        <w:tc>
          <w:tcPr>
            <w:tcW w:type="dxa" w:w="1584"/>
          </w:tcPr>
          <w:p>
            <w:r>
              <w:rPr>
                <w:sz w:val="19"/>
              </w:rPr>
              <w:t>Diseño</w:t>
            </w:r>
          </w:p>
        </w:tc>
        <w:tc>
          <w:tcPr>
            <w:tcW w:type="dxa" w:w="5040"/>
          </w:tcPr>
          <w:p>
            <w:r>
              <w:rPr>
                <w:sz w:val="19"/>
              </w:rPr>
              <w:t>Arquitectura, modelo de datos, API, UI/UX, motor OMR, seguridad.</w:t>
            </w:r>
          </w:p>
        </w:tc>
        <w:tc>
          <w:tcPr>
            <w:tcW w:type="dxa" w:w="2448"/>
          </w:tcPr>
          <w:p>
            <w:r>
              <w:rPr>
                <w:sz w:val="19"/>
              </w:rPr>
              <w:t>Diagramas y especificaciones.</w:t>
            </w:r>
          </w:p>
        </w:tc>
      </w:tr>
      <w:tr>
        <w:tc>
          <w:tcPr>
            <w:tcW w:type="dxa" w:w="1584"/>
          </w:tcPr>
          <w:p>
            <w:r>
              <w:rPr>
                <w:sz w:val="19"/>
              </w:rPr>
              <w:t>Desarrollo</w:t>
            </w:r>
          </w:p>
        </w:tc>
        <w:tc>
          <w:tcPr>
            <w:tcW w:type="dxa" w:w="5040"/>
          </w:tcPr>
          <w:p>
            <w:r>
              <w:rPr>
                <w:sz w:val="19"/>
              </w:rPr>
              <w:t>Codificación del backend y del frontend por incrementos.</w:t>
            </w:r>
          </w:p>
        </w:tc>
        <w:tc>
          <w:tcPr>
            <w:tcW w:type="dxa" w:w="2448"/>
          </w:tcPr>
          <w:p>
            <w:r>
              <w:rPr>
                <w:sz w:val="19"/>
              </w:rPr>
              <w:t>Código fuente versionado.</w:t>
            </w:r>
          </w:p>
        </w:tc>
      </w:tr>
      <w:tr>
        <w:tc>
          <w:tcPr>
            <w:tcW w:type="dxa" w:w="1584"/>
          </w:tcPr>
          <w:p>
            <w:r>
              <w:rPr>
                <w:sz w:val="19"/>
              </w:rPr>
              <w:t>Pruebas</w:t>
            </w:r>
          </w:p>
        </w:tc>
        <w:tc>
          <w:tcPr>
            <w:tcW w:type="dxa" w:w="5040"/>
          </w:tcPr>
          <w:p>
            <w:r>
              <w:rPr>
                <w:sz w:val="19"/>
              </w:rPr>
              <w:t>Verificación funcional y de extremo a extremo (E2E).</w:t>
            </w:r>
          </w:p>
        </w:tc>
        <w:tc>
          <w:tcPr>
            <w:tcW w:type="dxa" w:w="2448"/>
          </w:tcPr>
          <w:p>
            <w:r>
              <w:rPr>
                <w:sz w:val="19"/>
              </w:rPr>
              <w:t>Evidencias de pruebas.</w:t>
            </w:r>
          </w:p>
        </w:tc>
      </w:tr>
      <w:tr>
        <w:tc>
          <w:tcPr>
            <w:tcW w:type="dxa" w:w="1584"/>
          </w:tcPr>
          <w:p>
            <w:r>
              <w:rPr>
                <w:sz w:val="19"/>
              </w:rPr>
              <w:t>Despliegue</w:t>
            </w:r>
          </w:p>
        </w:tc>
        <w:tc>
          <w:tcPr>
            <w:tcW w:type="dxa" w:w="5040"/>
          </w:tcPr>
          <w:p>
            <w:r>
              <w:rPr>
                <w:sz w:val="19"/>
              </w:rPr>
              <w:t>Puesta en marcha de servidores y base de datos.</w:t>
            </w:r>
          </w:p>
        </w:tc>
        <w:tc>
          <w:tcPr>
            <w:tcW w:type="dxa" w:w="2448"/>
          </w:tcPr>
          <w:p>
            <w:r>
              <w:rPr>
                <w:sz w:val="19"/>
              </w:rPr>
              <w:t>Sistema en ejecución.</w:t>
            </w:r>
          </w:p>
        </w:tc>
      </w:tr>
    </w:tbl>
    <w:p>
      <w:pPr>
        <w:jc w:val="center"/>
      </w:pPr>
      <w:r>
        <w:rPr>
          <w:i/>
          <w:color w:val="64748B"/>
          <w:sz w:val="18"/>
        </w:rPr>
        <w:t>Tabla 2. Fases de la metodología incremental aplicada.</w:t>
      </w:r>
    </w:p>
    <w:p>
      <w:pPr>
        <w:pStyle w:val="Heading1"/>
        <w:spacing w:before="280"/>
      </w:pPr>
      <w:r>
        <w:rPr>
          <w:color w:val="4F46E5"/>
          <w:sz w:val="36"/>
        </w:rPr>
        <w:t>5. Fase de Análisis</w:t>
      </w:r>
    </w:p>
    <w:p>
      <w:pPr>
        <w:pStyle w:val="Heading2"/>
      </w:pPr>
      <w:r>
        <w:rPr>
          <w:color w:val="1E293B"/>
          <w:sz w:val="28"/>
        </w:rPr>
        <w:t>5.1 Actores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19"/>
              </w:rPr>
              <w:t>Actor</w:t>
            </w:r>
          </w:p>
        </w:tc>
        <w:tc>
          <w:tcPr>
            <w:tcW w:type="dxa" w:w="5472"/>
          </w:tcPr>
          <w:p>
            <w:r>
              <w:rPr>
                <w:b/>
                <w:sz w:val="19"/>
              </w:rPr>
              <w:t>Descripción</w:t>
            </w:r>
          </w:p>
        </w:tc>
        <w:tc>
          <w:tcPr>
            <w:tcW w:type="dxa" w:w="1728"/>
          </w:tcPr>
          <w:p>
            <w:r>
              <w:rPr>
                <w:b/>
                <w:sz w:val="19"/>
              </w:rPr>
              <w:t>Acceso</w:t>
            </w:r>
          </w:p>
        </w:tc>
      </w:tr>
      <w:tr>
        <w:tc>
          <w:tcPr>
            <w:tcW w:type="dxa" w:w="1872"/>
          </w:tcPr>
          <w:p>
            <w:r>
              <w:rPr>
                <w:sz w:val="19"/>
              </w:rPr>
              <w:t>Visitante</w:t>
            </w:r>
          </w:p>
        </w:tc>
        <w:tc>
          <w:tcPr>
            <w:tcW w:type="dxa" w:w="5472"/>
          </w:tcPr>
          <w:p>
            <w:r>
              <w:rPr>
                <w:sz w:val="19"/>
              </w:rPr>
              <w:t>Usuario no autenticado que explora el sitio público.</w:t>
            </w:r>
          </w:p>
        </w:tc>
        <w:tc>
          <w:tcPr>
            <w:tcW w:type="dxa" w:w="1728"/>
          </w:tcPr>
          <w:p>
            <w:r>
              <w:rPr>
                <w:sz w:val="19"/>
              </w:rPr>
              <w:t>Público</w:t>
            </w:r>
          </w:p>
        </w:tc>
      </w:tr>
      <w:tr>
        <w:tc>
          <w:tcPr>
            <w:tcW w:type="dxa" w:w="1872"/>
          </w:tcPr>
          <w:p>
            <w:r>
              <w:rPr>
                <w:sz w:val="19"/>
              </w:rPr>
              <w:t>Docente</w:t>
            </w:r>
          </w:p>
        </w:tc>
        <w:tc>
          <w:tcPr>
            <w:tcW w:type="dxa" w:w="5472"/>
          </w:tcPr>
          <w:p>
            <w:r>
              <w:rPr>
                <w:sz w:val="19"/>
              </w:rPr>
              <w:t>Gestiona notas, califica exámenes y administra el calendario.</w:t>
            </w:r>
          </w:p>
        </w:tc>
        <w:tc>
          <w:tcPr>
            <w:tcW w:type="dxa" w:w="1728"/>
          </w:tcPr>
          <w:p>
            <w:r>
              <w:rPr>
                <w:sz w:val="19"/>
              </w:rPr>
              <w:t>JWT (rol teacher)</w:t>
            </w:r>
          </w:p>
        </w:tc>
      </w:tr>
      <w:tr>
        <w:tc>
          <w:tcPr>
            <w:tcW w:type="dxa" w:w="1872"/>
          </w:tcPr>
          <w:p>
            <w:r>
              <w:rPr>
                <w:sz w:val="19"/>
              </w:rPr>
              <w:t>Estudiante</w:t>
            </w:r>
          </w:p>
        </w:tc>
        <w:tc>
          <w:tcPr>
            <w:tcW w:type="dxa" w:w="5472"/>
          </w:tcPr>
          <w:p>
            <w:r>
              <w:rPr>
                <w:sz w:val="19"/>
              </w:rPr>
              <w:t>Consulta su desempeño y se comunica con el docente.</w:t>
            </w:r>
          </w:p>
        </w:tc>
        <w:tc>
          <w:tcPr>
            <w:tcW w:type="dxa" w:w="1728"/>
          </w:tcPr>
          <w:p>
            <w:r>
              <w:rPr>
                <w:sz w:val="19"/>
              </w:rPr>
              <w:t>JWT (rol student)</w:t>
            </w:r>
          </w:p>
        </w:tc>
      </w:tr>
      <w:tr>
        <w:tc>
          <w:tcPr>
            <w:tcW w:type="dxa" w:w="1872"/>
          </w:tcPr>
          <w:p>
            <w:r>
              <w:rPr>
                <w:sz w:val="19"/>
              </w:rPr>
              <w:t>Servicios de IA</w:t>
            </w:r>
          </w:p>
        </w:tc>
        <w:tc>
          <w:tcPr>
            <w:tcW w:type="dxa" w:w="5472"/>
          </w:tcPr>
          <w:p>
            <w:r>
              <w:rPr>
                <w:sz w:val="19"/>
              </w:rPr>
              <w:t>Gemini (generación/visión) como actor externo del sistema.</w:t>
            </w:r>
          </w:p>
        </w:tc>
        <w:tc>
          <w:tcPr>
            <w:tcW w:type="dxa" w:w="1728"/>
          </w:tcPr>
          <w:p>
            <w:r>
              <w:rPr>
                <w:sz w:val="19"/>
              </w:rPr>
              <w:t>API externa</w:t>
            </w:r>
          </w:p>
        </w:tc>
      </w:tr>
    </w:tbl>
    <w:p>
      <w:pPr>
        <w:jc w:val="center"/>
      </w:pPr>
      <w:r>
        <w:rPr>
          <w:i/>
          <w:color w:val="64748B"/>
          <w:sz w:val="18"/>
        </w:rPr>
        <w:t>Tabla 3. Actores que interactúan con el sistema.</w:t>
      </w:r>
    </w:p>
    <w:p>
      <w:pPr>
        <w:pStyle w:val="Heading2"/>
      </w:pPr>
      <w:r>
        <w:rPr>
          <w:color w:val="1E293B"/>
          <w:sz w:val="28"/>
        </w:rPr>
        <w:t>5.2 Requisitos funcionales</w:t>
      </w:r>
    </w:p>
    <w:p>
      <w:pPr>
        <w:pStyle w:val="ListBullet"/>
      </w:pPr>
      <w:r>
        <w:t>RF-01: El docente debe autenticarse con usuario y contraseña.</w:t>
      </w:r>
    </w:p>
    <w:p>
      <w:pPr>
        <w:pStyle w:val="ListBullet"/>
      </w:pPr>
      <w:r>
        <w:t>RF-02: El estudiante debe autenticarse con su número de documento.</w:t>
      </w:r>
    </w:p>
    <w:p>
      <w:pPr>
        <w:pStyle w:val="ListBullet"/>
      </w:pPr>
      <w:r>
        <w:t>RF-03: El sistema debe registrar y calcular notas por dimensión y periodo.</w:t>
      </w:r>
    </w:p>
    <w:p>
      <w:pPr>
        <w:pStyle w:val="ListBullet"/>
      </w:pPr>
      <w:r>
        <w:t>RF-04: El sistema debe calificar hojas de respuesta mediante lectura óptica (OMR).</w:t>
      </w:r>
    </w:p>
    <w:p>
      <w:pPr>
        <w:pStyle w:val="ListBullet"/>
      </w:pPr>
      <w:r>
        <w:t>RF-05: El sistema debe identificar al estudiante por su nombre escrito en la hoja.</w:t>
      </w:r>
    </w:p>
    <w:p>
      <w:pPr>
        <w:pStyle w:val="ListBullet"/>
      </w:pPr>
      <w:r>
        <w:t>RF-06: El docente debe poder elegir el periodo donde se guarda el examen calificado.</w:t>
      </w:r>
    </w:p>
    <w:p>
      <w:pPr>
        <w:pStyle w:val="ListBullet"/>
      </w:pPr>
      <w:r>
        <w:t>RF-07: El sistema debe generar exámenes de opción múltiple con IA.</w:t>
      </w:r>
    </w:p>
    <w:p>
      <w:pPr>
        <w:pStyle w:val="ListBullet"/>
      </w:pPr>
      <w:r>
        <w:t>RF-08: El estudiante debe visualizar su evolución y el detalle de notas por periodo.</w:t>
      </w:r>
    </w:p>
    <w:p>
      <w:pPr>
        <w:pStyle w:val="ListBullet"/>
      </w:pPr>
      <w:r>
        <w:t>RF-09: El sistema debe permitir mensajería entre docente y estudiante.</w:t>
      </w:r>
    </w:p>
    <w:p>
      <w:pPr>
        <w:pStyle w:val="ListBullet"/>
      </w:pPr>
      <w:r>
        <w:t>RF-10: El sistema debe gestionar un calendario de eventos académicos.</w:t>
      </w:r>
    </w:p>
    <w:p>
      <w:pPr>
        <w:pStyle w:val="ListBullet"/>
      </w:pPr>
      <w:r>
        <w:t>RF-11: El sistema debe permitir exportar las notas a Excel y PDF.</w:t>
      </w:r>
    </w:p>
    <w:p>
      <w:pPr>
        <w:pStyle w:val="ListBullet"/>
      </w:pPr>
      <w:r>
        <w:t>RF-12: El sitio público debe permitir la suscripción al boletín.</w:t>
      </w:r>
    </w:p>
    <w:p>
      <w:pPr>
        <w:pStyle w:val="Heading2"/>
      </w:pPr>
      <w:r>
        <w:rPr>
          <w:color w:val="1E293B"/>
          <w:sz w:val="28"/>
        </w:rPr>
        <w:t>5.3 Requisitos no funcionales</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19"/>
              </w:rPr>
              <w:t>Atributo</w:t>
            </w:r>
          </w:p>
        </w:tc>
        <w:tc>
          <w:tcPr>
            <w:tcW w:type="dxa" w:w="6912"/>
          </w:tcPr>
          <w:p>
            <w:r>
              <w:rPr>
                <w:b/>
                <w:sz w:val="19"/>
              </w:rPr>
              <w:t>Especificación</w:t>
            </w:r>
          </w:p>
        </w:tc>
      </w:tr>
      <w:tr>
        <w:tc>
          <w:tcPr>
            <w:tcW w:type="dxa" w:w="2160"/>
          </w:tcPr>
          <w:p>
            <w:r>
              <w:rPr>
                <w:sz w:val="19"/>
              </w:rPr>
              <w:t>Seguridad</w:t>
            </w:r>
          </w:p>
        </w:tc>
        <w:tc>
          <w:tcPr>
            <w:tcW w:type="dxa" w:w="6912"/>
          </w:tcPr>
          <w:p>
            <w:r>
              <w:rPr>
                <w:sz w:val="19"/>
              </w:rPr>
              <w:t>Autenticación con JWT, contraseñas cifradas con bcrypt y limitación de tasa (rate limiting).</w:t>
            </w:r>
          </w:p>
        </w:tc>
      </w:tr>
      <w:tr>
        <w:tc>
          <w:tcPr>
            <w:tcW w:type="dxa" w:w="2160"/>
          </w:tcPr>
          <w:p>
            <w:r>
              <w:rPr>
                <w:sz w:val="19"/>
              </w:rPr>
              <w:t>Rendimiento</w:t>
            </w:r>
          </w:p>
        </w:tc>
        <w:tc>
          <w:tcPr>
            <w:tcW w:type="dxa" w:w="6912"/>
          </w:tcPr>
          <w:p>
            <w:r>
              <w:rPr>
                <w:sz w:val="19"/>
              </w:rPr>
              <w:t>La lectura OMR procesa cada hoja localmente en ~30 ms; respuestas comprimidas con GZip.</w:t>
            </w:r>
          </w:p>
        </w:tc>
      </w:tr>
      <w:tr>
        <w:tc>
          <w:tcPr>
            <w:tcW w:type="dxa" w:w="2160"/>
          </w:tcPr>
          <w:p>
            <w:r>
              <w:rPr>
                <w:sz w:val="19"/>
              </w:rPr>
              <w:t>Usabilidad</w:t>
            </w:r>
          </w:p>
        </w:tc>
        <w:tc>
          <w:tcPr>
            <w:tcW w:type="dxa" w:w="6912"/>
          </w:tcPr>
          <w:p>
            <w:r>
              <w:rPr>
                <w:sz w:val="19"/>
              </w:rPr>
              <w:t>Interfaz responsive, modo claro/oscuro y ayuda contextual integrada (HelpTip).</w:t>
            </w:r>
          </w:p>
        </w:tc>
      </w:tr>
      <w:tr>
        <w:tc>
          <w:tcPr>
            <w:tcW w:type="dxa" w:w="2160"/>
          </w:tcPr>
          <w:p>
            <w:r>
              <w:rPr>
                <w:sz w:val="19"/>
              </w:rPr>
              <w:t>Mantenibilidad</w:t>
            </w:r>
          </w:p>
        </w:tc>
        <w:tc>
          <w:tcPr>
            <w:tcW w:type="dxa" w:w="6912"/>
          </w:tcPr>
          <w:p>
            <w:r>
              <w:rPr>
                <w:sz w:val="19"/>
              </w:rPr>
              <w:t>Separación por capas y cliente HTTP central único en el frontend.</w:t>
            </w:r>
          </w:p>
        </w:tc>
      </w:tr>
      <w:tr>
        <w:tc>
          <w:tcPr>
            <w:tcW w:type="dxa" w:w="2160"/>
          </w:tcPr>
          <w:p>
            <w:r>
              <w:rPr>
                <w:sz w:val="19"/>
              </w:rPr>
              <w:t>Disponibilidad</w:t>
            </w:r>
          </w:p>
        </w:tc>
        <w:tc>
          <w:tcPr>
            <w:tcW w:type="dxa" w:w="6912"/>
          </w:tcPr>
          <w:p>
            <w:r>
              <w:rPr>
                <w:sz w:val="19"/>
              </w:rPr>
              <w:t>Arquitectura desacoplada que permite escalar backend y frontend por separado.</w:t>
            </w:r>
          </w:p>
        </w:tc>
      </w:tr>
    </w:tbl>
    <w:p>
      <w:pPr>
        <w:jc w:val="center"/>
      </w:pPr>
      <w:r>
        <w:rPr>
          <w:i/>
          <w:color w:val="64748B"/>
          <w:sz w:val="18"/>
        </w:rPr>
        <w:t>Tabla 4. Requisitos no funcionales del sistema.</w:t>
      </w:r>
    </w:p>
    <w:p>
      <w:r>
        <w:br w:type="page"/>
      </w:r>
    </w:p>
    <w:p>
      <w:pPr>
        <w:pStyle w:val="Heading1"/>
        <w:spacing w:before="280"/>
      </w:pPr>
      <w:r>
        <w:rPr>
          <w:color w:val="4F46E5"/>
          <w:sz w:val="36"/>
        </w:rPr>
        <w:t>6. Fase de Diseño</w:t>
      </w:r>
    </w:p>
    <w:p>
      <w:r>
        <w:rPr>
          <w:b w:val="0"/>
          <w:i w:val="0"/>
          <w:sz w:val="22"/>
        </w:rPr>
        <w:t>La fase de diseño es el núcleo de este informe. En ella se definieron la arquitectura, el modelo de datos, el contrato de la API, el diseño de la interfaz y los algoritmos clave (motor OMR e identificación por IA). Las decisiones aquí tomadas determinan la calidad, la seguridad y la mantenibilidad de todo el software.</w:t>
      </w:r>
    </w:p>
    <w:p>
      <w:pPr>
        <w:pStyle w:val="Heading2"/>
      </w:pPr>
      <w:r>
        <w:rPr>
          <w:color w:val="1E293B"/>
          <w:sz w:val="28"/>
        </w:rPr>
        <w:t>6.1 Arquitectura general</w:t>
      </w:r>
    </w:p>
    <w:p>
      <w:r>
        <w:rPr>
          <w:b w:val="0"/>
          <w:i w:val="0"/>
          <w:sz w:val="22"/>
        </w:rPr>
        <w:t>Se adoptó una arquitectura cliente-servidor de tres capas, con separación estricta entre la presentación (frontend), la lógica de negocio (backend) y la persistencia (base de datos). La comunicación entre cliente y servidor se realiza exclusivamente mediante una API REST en formato JSON, autenticada con tokens JWT.</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        HTTPS / JSON        ┌──────────────────────────┐</w:t>
            </w:r>
            <w:r>
              <w:br/>
            </w:r>
            <w:r>
              <w:rPr>
                <w:rFonts w:ascii="Consolas" w:hAnsi="Consolas"/>
                <w:color w:val="E2E8F0"/>
                <w:sz w:val="17"/>
              </w:rPr>
              <w:t>│   FRONTEND (Next.js 16)   │  ───────────────────────▶  │   BACKEND (FastAPI)       │</w:t>
            </w:r>
            <w:r>
              <w:br/>
            </w:r>
            <w:r>
              <w:rPr>
                <w:rFonts w:ascii="Consolas" w:hAnsi="Consolas"/>
                <w:color w:val="E2E8F0"/>
                <w:sz w:val="17"/>
              </w:rPr>
              <w:t>│   React 19 · Tailwind v4  │   API REST (JWT Bearer)    │   Lógica de negocio       │</w:t>
            </w:r>
            <w:r>
              <w:br/>
            </w:r>
            <w:r>
              <w:rPr>
                <w:rFonts w:ascii="Consolas" w:hAnsi="Consolas"/>
                <w:color w:val="E2E8F0"/>
                <w:sz w:val="17"/>
              </w:rPr>
              <w:t>│   Portales Docente/Alumno │  ◀───────────────────────  │   Autenticación · OMR · IA│</w:t>
            </w:r>
            <w:r>
              <w:br/>
            </w:r>
            <w:r>
              <w:rPr>
                <w:rFonts w:ascii="Consolas" w:hAnsi="Consolas"/>
                <w:color w:val="E2E8F0"/>
                <w:sz w:val="17"/>
              </w:rPr>
              <w:t>└──────────────────────────┘                            └─────────────┬────────────┘</w:t>
            </w:r>
            <w:r>
              <w:br/>
            </w:r>
            <w:r>
              <w:rPr>
                <w:rFonts w:ascii="Consolas" w:hAnsi="Consolas"/>
                <w:color w:val="E2E8F0"/>
                <w:sz w:val="17"/>
              </w:rPr>
              <w:t xml:space="preserve">                                                                       │ SQLAlchemy ORM</w:t>
            </w:r>
            <w:r>
              <w:br/>
            </w:r>
            <w:r>
              <w:rPr>
                <w:rFonts w:ascii="Consolas" w:hAnsi="Consolas"/>
                <w:color w:val="E2E8F0"/>
                <w:sz w:val="17"/>
              </w:rPr>
              <w:t xml:space="preserve">                                              ┌────────────────────────┴────────────┐</w:t>
            </w:r>
            <w:r>
              <w:br/>
            </w:r>
            <w:r>
              <w:rPr>
                <w:rFonts w:ascii="Consolas" w:hAnsi="Consolas"/>
                <w:color w:val="E2E8F0"/>
                <w:sz w:val="17"/>
              </w:rPr>
              <w:t xml:space="preserve">                                              │   PostgreSQL  (7 tablas)              │</w:t>
            </w:r>
            <w:r>
              <w:br/>
            </w:r>
            <w:r>
              <w:rPr>
                <w:rFonts w:ascii="Consolas" w:hAnsi="Consolas"/>
                <w:color w:val="E2E8F0"/>
                <w:sz w:val="17"/>
              </w:rPr>
              <w:t xml:space="preserve">                                              └───────────────────────────────────────┘</w:t>
            </w:r>
            <w:r>
              <w:br/>
            </w:r>
            <w:r>
              <w:rPr>
                <w:rFonts w:ascii="Consolas" w:hAnsi="Consolas"/>
                <w:color w:val="E2E8F0"/>
                <w:sz w:val="17"/>
              </w:rPr>
              <w:t xml:space="preserve">   Servicios externos:  Google Gemini (generación de exámenes + visión para leer nombres)</w:t>
            </w:r>
          </w:p>
        </w:tc>
      </w:tr>
    </w:tbl>
    <w:p>
      <w:pPr>
        <w:spacing w:after="40"/>
      </w:pPr>
    </w:p>
    <w:p>
      <w:r>
        <w:rPr>
          <w:b w:val="0"/>
          <w:i w:val="0"/>
          <w:sz w:val="22"/>
        </w:rPr>
        <w:t>Esta separación permite que el frontend y el backend evolucionen y se desplieguen de forma independiente, y que la lógica sensible (validación, seguridad, IA) resida siempre en el servidor, nunca en el navegador.</w:t>
      </w:r>
    </w:p>
    <w:p>
      <w:pPr>
        <w:pStyle w:val="Heading2"/>
      </w:pPr>
      <w:r>
        <w:rPr>
          <w:color w:val="1E293B"/>
          <w:sz w:val="28"/>
        </w:rPr>
        <w:t>6.2 Diseño del modelo de datos</w:t>
      </w:r>
    </w:p>
    <w:p>
      <w:r>
        <w:rPr>
          <w:b w:val="0"/>
          <w:i w:val="0"/>
          <w:sz w:val="22"/>
        </w:rPr>
        <w:t>El modelo de datos se diseñó alrededor de siete entidades persistentes implementadas con el ORM SQLAlchemy sobre PostgreSQL. Se emplean identificadores UUID como clave primaria y tipos JSONB para almacenar estructuras flexibles (respuestas y claves de examen).</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Pr>
                <w:b/>
                <w:sz w:val="19"/>
              </w:rPr>
              <w:t>Entidad (tabla)</w:t>
            </w:r>
          </w:p>
        </w:tc>
        <w:tc>
          <w:tcPr>
            <w:tcW w:type="dxa" w:w="3168"/>
          </w:tcPr>
          <w:p>
            <w:r>
              <w:rPr>
                <w:b/>
                <w:sz w:val="19"/>
              </w:rPr>
              <w:t>Propósito</w:t>
            </w:r>
          </w:p>
        </w:tc>
        <w:tc>
          <w:tcPr>
            <w:tcW w:type="dxa" w:w="3168"/>
          </w:tcPr>
          <w:p>
            <w:r>
              <w:rPr>
                <w:b/>
                <w:sz w:val="19"/>
              </w:rPr>
              <w:t>Campos clave</w:t>
            </w:r>
          </w:p>
        </w:tc>
      </w:tr>
      <w:tr>
        <w:tc>
          <w:tcPr>
            <w:tcW w:type="dxa" w:w="2736"/>
          </w:tcPr>
          <w:p>
            <w:r>
              <w:rPr>
                <w:sz w:val="19"/>
              </w:rPr>
              <w:t>Student (students)</w:t>
            </w:r>
          </w:p>
        </w:tc>
        <w:tc>
          <w:tcPr>
            <w:tcW w:type="dxa" w:w="3168"/>
          </w:tcPr>
          <w:p>
            <w:r>
              <w:rPr>
                <w:sz w:val="19"/>
              </w:rPr>
              <w:t>Estudiantes inscritos.</w:t>
            </w:r>
          </w:p>
        </w:tc>
        <w:tc>
          <w:tcPr>
            <w:tcW w:type="dxa" w:w="3168"/>
          </w:tcPr>
          <w:p>
            <w:r>
              <w:rPr>
                <w:sz w:val="19"/>
              </w:rPr>
              <w:t>full_name, document_id, email, grade, grupo</w:t>
            </w:r>
          </w:p>
        </w:tc>
      </w:tr>
      <w:tr>
        <w:tc>
          <w:tcPr>
            <w:tcW w:type="dxa" w:w="2736"/>
          </w:tcPr>
          <w:p>
            <w:r>
              <w:rPr>
                <w:sz w:val="19"/>
              </w:rPr>
              <w:t>User (users)</w:t>
            </w:r>
          </w:p>
        </w:tc>
        <w:tc>
          <w:tcPr>
            <w:tcW w:type="dxa" w:w="3168"/>
          </w:tcPr>
          <w:p>
            <w:r>
              <w:rPr>
                <w:sz w:val="19"/>
              </w:rPr>
              <w:t>Docentes/administradores.</w:t>
            </w:r>
          </w:p>
        </w:tc>
        <w:tc>
          <w:tcPr>
            <w:tcW w:type="dxa" w:w="3168"/>
          </w:tcPr>
          <w:p>
            <w:r>
              <w:rPr>
                <w:sz w:val="19"/>
              </w:rPr>
              <w:t>username, hashed_password, full_name</w:t>
            </w:r>
          </w:p>
        </w:tc>
      </w:tr>
      <w:tr>
        <w:tc>
          <w:tcPr>
            <w:tcW w:type="dxa" w:w="2736"/>
          </w:tcPr>
          <w:p>
            <w:r>
              <w:rPr>
                <w:sz w:val="19"/>
              </w:rPr>
              <w:t>Grade (grades)</w:t>
            </w:r>
          </w:p>
        </w:tc>
        <w:tc>
          <w:tcPr>
            <w:tcW w:type="dxa" w:w="3168"/>
          </w:tcPr>
          <w:p>
            <w:r>
              <w:rPr>
                <w:sz w:val="19"/>
              </w:rPr>
              <w:t>Notas por periodo y dimensión.</w:t>
            </w:r>
          </w:p>
        </w:tc>
        <w:tc>
          <w:tcPr>
            <w:tcW w:type="dxa" w:w="3168"/>
          </w:tcPr>
          <w:p>
            <w:r>
              <w:rPr>
                <w:sz w:val="19"/>
              </w:rPr>
              <w:t>period_id, score_saber/hacer/ser, final_period_score, performance_level</w:t>
            </w:r>
          </w:p>
        </w:tc>
      </w:tr>
      <w:tr>
        <w:tc>
          <w:tcPr>
            <w:tcW w:type="dxa" w:w="2736"/>
          </w:tcPr>
          <w:p>
            <w:r>
              <w:rPr>
                <w:sz w:val="19"/>
              </w:rPr>
              <w:t>Exam (exams)</w:t>
            </w:r>
          </w:p>
        </w:tc>
        <w:tc>
          <w:tcPr>
            <w:tcW w:type="dxa" w:w="3168"/>
          </w:tcPr>
          <w:p>
            <w:r>
              <w:rPr>
                <w:sz w:val="19"/>
              </w:rPr>
              <w:t>Exámenes creados/calificados.</w:t>
            </w:r>
          </w:p>
        </w:tc>
        <w:tc>
          <w:tcPr>
            <w:tcW w:type="dxa" w:w="3168"/>
          </w:tcPr>
          <w:p>
            <w:r>
              <w:rPr>
                <w:sz w:val="19"/>
              </w:rPr>
              <w:t>title, subject, grade, grupo, period_id, answer_key (JSONB)</w:t>
            </w:r>
          </w:p>
        </w:tc>
      </w:tr>
      <w:tr>
        <w:tc>
          <w:tcPr>
            <w:tcW w:type="dxa" w:w="2736"/>
          </w:tcPr>
          <w:p>
            <w:r>
              <w:rPr>
                <w:sz w:val="19"/>
              </w:rPr>
              <w:t>ExamResult (exam_results)</w:t>
            </w:r>
          </w:p>
        </w:tc>
        <w:tc>
          <w:tcPr>
            <w:tcW w:type="dxa" w:w="3168"/>
          </w:tcPr>
          <w:p>
            <w:r>
              <w:rPr>
                <w:sz w:val="19"/>
              </w:rPr>
              <w:t>Resultado de un estudiante en un examen.</w:t>
            </w:r>
          </w:p>
        </w:tc>
        <w:tc>
          <w:tcPr>
            <w:tcW w:type="dxa" w:w="3168"/>
          </w:tcPr>
          <w:p>
            <w:r>
              <w:rPr>
                <w:sz w:val="19"/>
              </w:rPr>
              <w:t>exam_id, student_id, answers (JSONB), score</w:t>
            </w:r>
          </w:p>
        </w:tc>
      </w:tr>
      <w:tr>
        <w:tc>
          <w:tcPr>
            <w:tcW w:type="dxa" w:w="2736"/>
          </w:tcPr>
          <w:p>
            <w:r>
              <w:rPr>
                <w:sz w:val="19"/>
              </w:rPr>
              <w:t>Message (messages)</w:t>
            </w:r>
          </w:p>
        </w:tc>
        <w:tc>
          <w:tcPr>
            <w:tcW w:type="dxa" w:w="3168"/>
          </w:tcPr>
          <w:p>
            <w:r>
              <w:rPr>
                <w:sz w:val="19"/>
              </w:rPr>
              <w:t>Mensajería docente–estudiante.</w:t>
            </w:r>
          </w:p>
        </w:tc>
        <w:tc>
          <w:tcPr>
            <w:tcW w:type="dxa" w:w="3168"/>
          </w:tcPr>
          <w:p>
            <w:r>
              <w:rPr>
                <w:sz w:val="19"/>
              </w:rPr>
              <w:t>sender/receiver, content, is_read</w:t>
            </w:r>
          </w:p>
        </w:tc>
      </w:tr>
      <w:tr>
        <w:tc>
          <w:tcPr>
            <w:tcW w:type="dxa" w:w="2736"/>
          </w:tcPr>
          <w:p>
            <w:r>
              <w:rPr>
                <w:sz w:val="19"/>
              </w:rPr>
              <w:t>CalendarEvent (calendar_events)</w:t>
            </w:r>
          </w:p>
        </w:tc>
        <w:tc>
          <w:tcPr>
            <w:tcW w:type="dxa" w:w="3168"/>
          </w:tcPr>
          <w:p>
            <w:r>
              <w:rPr>
                <w:sz w:val="19"/>
              </w:rPr>
              <w:t>Eventos del calendario.</w:t>
            </w:r>
          </w:p>
        </w:tc>
        <w:tc>
          <w:tcPr>
            <w:tcW w:type="dxa" w:w="3168"/>
          </w:tcPr>
          <w:p>
            <w:r>
              <w:rPr>
                <w:sz w:val="19"/>
              </w:rPr>
              <w:t>title, event_date, event_type, grade, grupo</w:t>
            </w:r>
          </w:p>
        </w:tc>
      </w:tr>
      <w:tr>
        <w:tc>
          <w:tcPr>
            <w:tcW w:type="dxa" w:w="2736"/>
          </w:tcPr>
          <w:p>
            <w:r>
              <w:rPr>
                <w:sz w:val="19"/>
              </w:rPr>
              <w:t>NewsletterSubscriber</w:t>
            </w:r>
          </w:p>
        </w:tc>
        <w:tc>
          <w:tcPr>
            <w:tcW w:type="dxa" w:w="3168"/>
          </w:tcPr>
          <w:p>
            <w:r>
              <w:rPr>
                <w:sz w:val="19"/>
              </w:rPr>
              <w:t>Suscriptores del boletín.</w:t>
            </w:r>
          </w:p>
        </w:tc>
        <w:tc>
          <w:tcPr>
            <w:tcW w:type="dxa" w:w="3168"/>
          </w:tcPr>
          <w:p>
            <w:r>
              <w:rPr>
                <w:sz w:val="19"/>
              </w:rPr>
              <w:t>email (único), is_active</w:t>
            </w:r>
          </w:p>
        </w:tc>
      </w:tr>
    </w:tbl>
    <w:p>
      <w:pPr>
        <w:jc w:val="center"/>
      </w:pPr>
      <w:r>
        <w:rPr>
          <w:i/>
          <w:color w:val="64748B"/>
          <w:sz w:val="18"/>
        </w:rPr>
        <w:t>Tabla 5. Entidades del modelo de datos y sus campos principales.</w:t>
      </w:r>
    </w:p>
    <w:p>
      <w:r>
        <w:rPr>
          <w:b w:val="0"/>
          <w:i w:val="0"/>
          <w:sz w:val="22"/>
        </w:rPr>
        <w:t>Ejemplo de definición de una entidad con SQLAlchemy (entidad Grade, que almacena las notas por dimensión y la nota final calculada):</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class Grade(Base):</w:t>
            </w:r>
            <w:r>
              <w:br/>
            </w:r>
            <w:r>
              <w:rPr>
                <w:rFonts w:ascii="Consolas" w:hAnsi="Consolas"/>
                <w:color w:val="E2E8F0"/>
                <w:sz w:val="17"/>
              </w:rPr>
              <w:t xml:space="preserve">    __tablename__ = "grades"</w:t>
            </w:r>
            <w:r>
              <w:br/>
            </w:r>
            <w:r>
              <w:rPr>
                <w:rFonts w:ascii="Consolas" w:hAnsi="Consolas"/>
                <w:color w:val="E2E8F0"/>
                <w:sz w:val="17"/>
              </w:rPr>
              <w:t xml:space="preserve">    id = Column(UUID(as_uuid=True), primary_key=True, default=uuid.uuid4)</w:t>
            </w:r>
            <w:r>
              <w:br/>
            </w:r>
            <w:r>
              <w:rPr>
                <w:rFonts w:ascii="Consolas" w:hAnsi="Consolas"/>
                <w:color w:val="E2E8F0"/>
                <w:sz w:val="17"/>
              </w:rPr>
              <w:t xml:space="preserve">    enrollment_id = Column(UUID(as_uuid=True), nullable=False, index=True)</w:t>
            </w:r>
            <w:r>
              <w:br/>
            </w:r>
            <w:r>
              <w:rPr>
                <w:rFonts w:ascii="Consolas" w:hAnsi="Consolas"/>
                <w:color w:val="E2E8F0"/>
                <w:sz w:val="17"/>
              </w:rPr>
              <w:t xml:space="preserve">    period_id = Column(Integer, nullable=False, index=True)</w:t>
            </w:r>
            <w:r>
              <w:br/>
            </w:r>
            <w:r>
              <w:rPr>
                <w:rFonts w:ascii="Consolas" w:hAnsi="Consolas"/>
                <w:color w:val="E2E8F0"/>
                <w:sz w:val="17"/>
              </w:rPr>
              <w:t xml:space="preserve">    score_saber = Column(Numeric(3, 2), default=1.0)</w:t>
            </w:r>
            <w:r>
              <w:br/>
            </w:r>
            <w:r>
              <w:rPr>
                <w:rFonts w:ascii="Consolas" w:hAnsi="Consolas"/>
                <w:color w:val="E2E8F0"/>
                <w:sz w:val="17"/>
              </w:rPr>
              <w:t xml:space="preserve">    score_hacer = Column(Numeric(3, 2), default=1.0)</w:t>
            </w:r>
            <w:r>
              <w:br/>
            </w:r>
            <w:r>
              <w:rPr>
                <w:rFonts w:ascii="Consolas" w:hAnsi="Consolas"/>
                <w:color w:val="E2E8F0"/>
                <w:sz w:val="17"/>
              </w:rPr>
              <w:t xml:space="preserve">    score_ser   = Column(Numeric(3, 2), default=1.0)</w:t>
            </w:r>
            <w:r>
              <w:br/>
            </w:r>
            <w:r>
              <w:rPr>
                <w:rFonts w:ascii="Consolas" w:hAnsi="Consolas"/>
                <w:color w:val="E2E8F0"/>
                <w:sz w:val="17"/>
              </w:rPr>
              <w:t xml:space="preserve">    final_period_score = Column(Numeric(3, 2))</w:t>
            </w:r>
            <w:r>
              <w:br/>
            </w:r>
            <w:r>
              <w:rPr>
                <w:rFonts w:ascii="Consolas" w:hAnsi="Consolas"/>
                <w:color w:val="E2E8F0"/>
                <w:sz w:val="17"/>
              </w:rPr>
              <w:t xml:space="preserve">    performance_level  = Column(String)      # SUPERIOR | ALTO | BÁSICO | BAJO</w:t>
            </w:r>
            <w:r>
              <w:br/>
            </w:r>
            <w:r>
              <w:rPr>
                <w:rFonts w:ascii="Consolas" w:hAnsi="Consolas"/>
                <w:color w:val="E2E8F0"/>
                <w:sz w:val="17"/>
              </w:rPr>
              <w:t xml:space="preserve">    updated_at = Column(DateTime, server_default=func.now())</w:t>
            </w:r>
          </w:p>
        </w:tc>
      </w:tr>
    </w:tbl>
    <w:p>
      <w:pPr>
        <w:spacing w:after="40"/>
      </w:pPr>
    </w:p>
    <w:p>
      <w:pPr>
        <w:pStyle w:val="Heading2"/>
      </w:pPr>
      <w:r>
        <w:rPr>
          <w:color w:val="1E293B"/>
          <w:sz w:val="28"/>
        </w:rPr>
        <w:t>6.3 Diseño de la API REST</w:t>
      </w:r>
    </w:p>
    <w:p>
      <w:r>
        <w:rPr>
          <w:b w:val="0"/>
          <w:i w:val="0"/>
          <w:sz w:val="22"/>
        </w:rPr>
        <w:t>El contrato de la API se diseñó siguiendo principios REST: rutas orientadas a recursos, verbos HTTP semánticos (GET/POST/PUT/DELETE) y respuestas JSON validadas con Pydantic. La API expone alrededor de 30 endpoints. La siguiente tabla resume los más representativos.</w:t>
      </w:r>
    </w:p>
    <w:tbl>
      <w:tblPr>
        <w:tblStyle w:val="LightGrid-Accent1"/>
        <w:tblW w:type="auto" w:w="0"/>
        <w:jc w:val="center"/>
        <w:tblLook w:firstColumn="1" w:firstRow="1" w:lastColumn="0" w:lastRow="0" w:noHBand="0" w:noVBand="1" w:val="04A0"/>
      </w:tblPr>
      <w:tblGrid>
        <w:gridCol w:w="4320"/>
        <w:gridCol w:w="4320"/>
      </w:tblGrid>
      <w:tr>
        <w:tc>
          <w:tcPr>
            <w:tcW w:type="dxa" w:w="3888"/>
          </w:tcPr>
          <w:p>
            <w:r>
              <w:rPr>
                <w:b/>
                <w:sz w:val="19"/>
              </w:rPr>
              <w:t>Método y ruta</w:t>
            </w:r>
          </w:p>
        </w:tc>
        <w:tc>
          <w:tcPr>
            <w:tcW w:type="dxa" w:w="5184"/>
          </w:tcPr>
          <w:p>
            <w:r>
              <w:rPr>
                <w:b/>
                <w:sz w:val="19"/>
              </w:rPr>
              <w:t>Función</w:t>
            </w:r>
          </w:p>
        </w:tc>
      </w:tr>
      <w:tr>
        <w:tc>
          <w:tcPr>
            <w:tcW w:type="dxa" w:w="3888"/>
          </w:tcPr>
          <w:p>
            <w:r>
              <w:rPr>
                <w:sz w:val="19"/>
              </w:rPr>
              <w:t>POST /login/teacher</w:t>
            </w:r>
          </w:p>
        </w:tc>
        <w:tc>
          <w:tcPr>
            <w:tcW w:type="dxa" w:w="5184"/>
          </w:tcPr>
          <w:p>
            <w:r>
              <w:rPr>
                <w:sz w:val="19"/>
              </w:rPr>
              <w:t>Autenticación del docente (devuelve JWT).</w:t>
            </w:r>
          </w:p>
        </w:tc>
      </w:tr>
      <w:tr>
        <w:tc>
          <w:tcPr>
            <w:tcW w:type="dxa" w:w="3888"/>
          </w:tcPr>
          <w:p>
            <w:r>
              <w:rPr>
                <w:sz w:val="19"/>
              </w:rPr>
              <w:t>POST /login/student</w:t>
            </w:r>
          </w:p>
        </w:tc>
        <w:tc>
          <w:tcPr>
            <w:tcW w:type="dxa" w:w="5184"/>
          </w:tcPr>
          <w:p>
            <w:r>
              <w:rPr>
                <w:sz w:val="19"/>
              </w:rPr>
              <w:t>Autenticación del estudiante por documento.</w:t>
            </w:r>
          </w:p>
        </w:tc>
      </w:tr>
      <w:tr>
        <w:tc>
          <w:tcPr>
            <w:tcW w:type="dxa" w:w="3888"/>
          </w:tcPr>
          <w:p>
            <w:r>
              <w:rPr>
                <w:sz w:val="19"/>
              </w:rPr>
              <w:t>GET /grades/</w:t>
            </w:r>
          </w:p>
        </w:tc>
        <w:tc>
          <w:tcPr>
            <w:tcW w:type="dxa" w:w="5184"/>
          </w:tcPr>
          <w:p>
            <w:r>
              <w:rPr>
                <w:sz w:val="19"/>
              </w:rPr>
              <w:t>Lista de notas por grado/grupo/periodo.</w:t>
            </w:r>
          </w:p>
        </w:tc>
      </w:tr>
      <w:tr>
        <w:tc>
          <w:tcPr>
            <w:tcW w:type="dxa" w:w="3888"/>
          </w:tcPr>
          <w:p>
            <w:r>
              <w:rPr>
                <w:sz w:val="19"/>
              </w:rPr>
              <w:t>POST /grades/</w:t>
            </w:r>
          </w:p>
        </w:tc>
        <w:tc>
          <w:tcPr>
            <w:tcW w:type="dxa" w:w="5184"/>
          </w:tcPr>
          <w:p>
            <w:r>
              <w:rPr>
                <w:sz w:val="19"/>
              </w:rPr>
              <w:t>Registro/actualización de notas.</w:t>
            </w:r>
          </w:p>
        </w:tc>
      </w:tr>
      <w:tr>
        <w:tc>
          <w:tcPr>
            <w:tcW w:type="dxa" w:w="3888"/>
          </w:tcPr>
          <w:p>
            <w:r>
              <w:rPr>
                <w:sz w:val="19"/>
              </w:rPr>
              <w:t>GET /answer-sheet</w:t>
            </w:r>
          </w:p>
        </w:tc>
        <w:tc>
          <w:tcPr>
            <w:tcW w:type="dxa" w:w="5184"/>
          </w:tcPr>
          <w:p>
            <w:r>
              <w:rPr>
                <w:sz w:val="19"/>
              </w:rPr>
              <w:t>Genera la hoja de respuestas imprimible (PDF).</w:t>
            </w:r>
          </w:p>
        </w:tc>
      </w:tr>
      <w:tr>
        <w:tc>
          <w:tcPr>
            <w:tcW w:type="dxa" w:w="3888"/>
          </w:tcPr>
          <w:p>
            <w:r>
              <w:rPr>
                <w:sz w:val="19"/>
              </w:rPr>
              <w:t>POST /upload-exams-omr</w:t>
            </w:r>
          </w:p>
        </w:tc>
        <w:tc>
          <w:tcPr>
            <w:tcW w:type="dxa" w:w="5184"/>
          </w:tcPr>
          <w:p>
            <w:r>
              <w:rPr>
                <w:sz w:val="19"/>
              </w:rPr>
              <w:t>Califica hojas con OMR e identifica al estudiante por nombre.</w:t>
            </w:r>
          </w:p>
        </w:tc>
      </w:tr>
      <w:tr>
        <w:tc>
          <w:tcPr>
            <w:tcW w:type="dxa" w:w="3888"/>
          </w:tcPr>
          <w:p>
            <w:r>
              <w:rPr>
                <w:sz w:val="19"/>
              </w:rPr>
              <w:t>POST /grades/apply-omr</w:t>
            </w:r>
          </w:p>
        </w:tc>
        <w:tc>
          <w:tcPr>
            <w:tcW w:type="dxa" w:w="5184"/>
          </w:tcPr>
          <w:p>
            <w:r>
              <w:rPr>
                <w:sz w:val="19"/>
              </w:rPr>
              <w:t>Guarda las notas del OMR en una dimensión y periodo.</w:t>
            </w:r>
          </w:p>
        </w:tc>
      </w:tr>
      <w:tr>
        <w:tc>
          <w:tcPr>
            <w:tcW w:type="dxa" w:w="3888"/>
          </w:tcPr>
          <w:p>
            <w:r>
              <w:rPr>
                <w:sz w:val="19"/>
              </w:rPr>
              <w:t>POST /ai/generate-exam</w:t>
            </w:r>
          </w:p>
        </w:tc>
        <w:tc>
          <w:tcPr>
            <w:tcW w:type="dxa" w:w="5184"/>
          </w:tcPr>
          <w:p>
            <w:r>
              <w:rPr>
                <w:sz w:val="19"/>
              </w:rPr>
              <w:t>Genera un examen de opción múltiple con IA.</w:t>
            </w:r>
          </w:p>
        </w:tc>
      </w:tr>
      <w:tr>
        <w:tc>
          <w:tcPr>
            <w:tcW w:type="dxa" w:w="3888"/>
          </w:tcPr>
          <w:p>
            <w:r>
              <w:rPr>
                <w:sz w:val="19"/>
              </w:rPr>
              <w:t>GET /students/{id}/exam-results</w:t>
            </w:r>
          </w:p>
        </w:tc>
        <w:tc>
          <w:tcPr>
            <w:tcW w:type="dxa" w:w="5184"/>
          </w:tcPr>
          <w:p>
            <w:r>
              <w:rPr>
                <w:sz w:val="19"/>
              </w:rPr>
              <w:t>Resultados de exámenes de un estudiante (por periodo).</w:t>
            </w:r>
          </w:p>
        </w:tc>
      </w:tr>
      <w:tr>
        <w:tc>
          <w:tcPr>
            <w:tcW w:type="dxa" w:w="3888"/>
          </w:tcPr>
          <w:p>
            <w:r>
              <w:rPr>
                <w:sz w:val="19"/>
              </w:rPr>
              <w:t>POST /chatbot</w:t>
            </w:r>
          </w:p>
        </w:tc>
        <w:tc>
          <w:tcPr>
            <w:tcW w:type="dxa" w:w="5184"/>
          </w:tcPr>
          <w:p>
            <w:r>
              <w:rPr>
                <w:sz w:val="19"/>
              </w:rPr>
              <w:t>Asistente de IA (tutor) para el estudiante.</w:t>
            </w:r>
          </w:p>
        </w:tc>
      </w:tr>
      <w:tr>
        <w:tc>
          <w:tcPr>
            <w:tcW w:type="dxa" w:w="3888"/>
          </w:tcPr>
          <w:p>
            <w:r>
              <w:rPr>
                <w:sz w:val="19"/>
              </w:rPr>
              <w:t>POST /messages/ · GET /messages/</w:t>
            </w:r>
          </w:p>
        </w:tc>
        <w:tc>
          <w:tcPr>
            <w:tcW w:type="dxa" w:w="5184"/>
          </w:tcPr>
          <w:p>
            <w:r>
              <w:rPr>
                <w:sz w:val="19"/>
              </w:rPr>
              <w:t>Mensajería docente–estudiante.</w:t>
            </w:r>
          </w:p>
        </w:tc>
      </w:tr>
      <w:tr>
        <w:tc>
          <w:tcPr>
            <w:tcW w:type="dxa" w:w="3888"/>
          </w:tcPr>
          <w:p>
            <w:r>
              <w:rPr>
                <w:sz w:val="19"/>
              </w:rPr>
              <w:t>GET/POST/PUT/DELETE /events/</w:t>
            </w:r>
          </w:p>
        </w:tc>
        <w:tc>
          <w:tcPr>
            <w:tcW w:type="dxa" w:w="5184"/>
          </w:tcPr>
          <w:p>
            <w:r>
              <w:rPr>
                <w:sz w:val="19"/>
              </w:rPr>
              <w:t>Gestión del calendario académico.</w:t>
            </w:r>
          </w:p>
        </w:tc>
      </w:tr>
      <w:tr>
        <w:tc>
          <w:tcPr>
            <w:tcW w:type="dxa" w:w="3888"/>
          </w:tcPr>
          <w:p>
            <w:r>
              <w:rPr>
                <w:sz w:val="19"/>
              </w:rPr>
              <w:t>POST /newsletter</w:t>
            </w:r>
          </w:p>
        </w:tc>
        <w:tc>
          <w:tcPr>
            <w:tcW w:type="dxa" w:w="5184"/>
          </w:tcPr>
          <w:p>
            <w:r>
              <w:rPr>
                <w:sz w:val="19"/>
              </w:rPr>
              <w:t>Suscripción al boletín (público).</w:t>
            </w:r>
          </w:p>
        </w:tc>
      </w:tr>
    </w:tbl>
    <w:p>
      <w:pPr>
        <w:jc w:val="center"/>
      </w:pPr>
      <w:r>
        <w:rPr>
          <w:i/>
          <w:color w:val="64748B"/>
          <w:sz w:val="18"/>
        </w:rPr>
        <w:t>Tabla 6. Endpoints representativos de la API REST.</w:t>
      </w:r>
    </w:p>
    <w:p>
      <w:pPr>
        <w:pStyle w:val="Heading2"/>
      </w:pPr>
      <w:r>
        <w:rPr>
          <w:color w:val="1E293B"/>
          <w:sz w:val="28"/>
        </w:rPr>
        <w:t>6.4 Diseño de seguridad</w:t>
      </w:r>
    </w:p>
    <w:p>
      <w:r>
        <w:rPr>
          <w:b w:val="0"/>
          <w:i w:val="0"/>
          <w:sz w:val="22"/>
        </w:rPr>
        <w:t>La seguridad se diseñó como una preocupación transversal. Las decisiones principales fueron:</w:t>
      </w:r>
    </w:p>
    <w:p>
      <w:pPr>
        <w:pStyle w:val="ListBullet"/>
      </w:pPr>
      <w:r>
        <w:rPr>
          <w:b/>
        </w:rPr>
        <w:t xml:space="preserve">JWT: </w:t>
      </w:r>
      <w:r>
        <w:t>autenticación sin estado mediante tokens firmados (HS256) con expiración.</w:t>
      </w:r>
    </w:p>
    <w:p>
      <w:pPr>
        <w:pStyle w:val="ListBullet"/>
      </w:pPr>
      <w:r>
        <w:rPr>
          <w:b/>
        </w:rPr>
        <w:t xml:space="preserve">bcrypt: </w:t>
      </w:r>
      <w:r>
        <w:t>las contraseñas nunca se almacenan en claro; se cifran con bcrypt (12 rondas de sal).</w:t>
      </w:r>
    </w:p>
    <w:p>
      <w:pPr>
        <w:pStyle w:val="ListBullet"/>
      </w:pPr>
      <w:r>
        <w:rPr>
          <w:b/>
        </w:rPr>
        <w:t xml:space="preserve">Rate limiting: </w:t>
      </w:r>
      <w:r>
        <w:t>limitación de tasa por IP (slowapi) en los endpoints sensibles (login 5/min, IA 10–12/min).</w:t>
      </w:r>
    </w:p>
    <w:p>
      <w:pPr>
        <w:pStyle w:val="ListBullet"/>
      </w:pPr>
      <w:r>
        <w:rPr>
          <w:b/>
        </w:rPr>
        <w:t xml:space="preserve">Validación: </w:t>
      </w:r>
      <w:r>
        <w:t>validación de entrada con Pydantic (tipos, longitudes, formato de correo).</w:t>
      </w:r>
    </w:p>
    <w:p>
      <w:pPr>
        <w:pStyle w:val="ListBullet"/>
      </w:pPr>
      <w:r>
        <w:rPr>
          <w:b/>
        </w:rPr>
        <w:t xml:space="preserve">Defensa: </w:t>
      </w:r>
      <w:r>
        <w:t>mensajes de error que no revelan si el usuario existe; logout automático ante 401.</w:t>
      </w:r>
    </w:p>
    <w:p>
      <w:r>
        <w:rPr>
          <w:b w:val="0"/>
          <w:i w:val="0"/>
          <w:sz w:val="22"/>
        </w:rPr>
        <w:t>Cifrado de contraseñas y emisión del token (módulo auth):</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def hash_password(password: str) -&gt; str:</w:t>
            </w:r>
            <w:r>
              <w:br/>
            </w:r>
            <w:r>
              <w:rPr>
                <w:rFonts w:ascii="Consolas" w:hAnsi="Consolas"/>
                <w:color w:val="E2E8F0"/>
                <w:sz w:val="17"/>
              </w:rPr>
              <w:t xml:space="preserve">    salt = bcrypt.gensalt(rounds=12)</w:t>
            </w:r>
            <w:r>
              <w:br/>
            </w:r>
            <w:r>
              <w:rPr>
                <w:rFonts w:ascii="Consolas" w:hAnsi="Consolas"/>
                <w:color w:val="E2E8F0"/>
                <w:sz w:val="17"/>
              </w:rPr>
              <w:t xml:space="preserve">    return bcrypt.hashpw(password.encode('utf-8'), salt).decode('utf-8')</w:t>
            </w:r>
            <w:r>
              <w:br/>
            </w:r>
            <w:r>
              <w:rPr>
                <w:rFonts w:ascii="Consolas" w:hAnsi="Consolas"/>
                <w:color w:val="E2E8F0"/>
                <w:sz w:val="17"/>
              </w:rPr>
            </w:r>
            <w:r>
              <w:br/>
            </w:r>
            <w:r>
              <w:rPr>
                <w:rFonts w:ascii="Consolas" w:hAnsi="Consolas"/>
                <w:color w:val="E2E8F0"/>
                <w:sz w:val="17"/>
              </w:rPr>
              <w:t>def create_access_token(data: dict, expires_delta: Optional[timedelta] = None) -&gt; str:</w:t>
            </w:r>
            <w:r>
              <w:br/>
            </w:r>
            <w:r>
              <w:rPr>
                <w:rFonts w:ascii="Consolas" w:hAnsi="Consolas"/>
                <w:color w:val="E2E8F0"/>
                <w:sz w:val="17"/>
              </w:rPr>
              <w:t xml:space="preserve">    to_encode = data.copy()</w:t>
            </w:r>
            <w:r>
              <w:br/>
            </w:r>
            <w:r>
              <w:rPr>
                <w:rFonts w:ascii="Consolas" w:hAnsi="Consolas"/>
                <w:color w:val="E2E8F0"/>
                <w:sz w:val="17"/>
              </w:rPr>
              <w:t xml:space="preserve">    expire = datetime.utcnow() + (expires_delta or timedelta(minutes=JWT_EXPIRATION_MINUTES))</w:t>
            </w:r>
            <w:r>
              <w:br/>
            </w:r>
            <w:r>
              <w:rPr>
                <w:rFonts w:ascii="Consolas" w:hAnsi="Consolas"/>
                <w:color w:val="E2E8F0"/>
                <w:sz w:val="17"/>
              </w:rPr>
              <w:t xml:space="preserve">    to_encode.update({"exp": expire})</w:t>
            </w:r>
            <w:r>
              <w:br/>
            </w:r>
            <w:r>
              <w:rPr>
                <w:rFonts w:ascii="Consolas" w:hAnsi="Consolas"/>
                <w:color w:val="E2E8F0"/>
                <w:sz w:val="17"/>
              </w:rPr>
              <w:t xml:space="preserve">    return jwt.encode(to_encode, JWT_SECRET_KEY, algorithm=JWT_ALGORITHM)</w:t>
            </w:r>
          </w:p>
        </w:tc>
      </w:tr>
    </w:tbl>
    <w:p>
      <w:pPr>
        <w:spacing w:after="40"/>
      </w:pPr>
    </w:p>
    <w:p>
      <w:pPr>
        <w:pStyle w:val="Heading2"/>
      </w:pPr>
      <w:r>
        <w:rPr>
          <w:color w:val="1E293B"/>
          <w:sz w:val="28"/>
        </w:rPr>
        <w:t>6.5 Diseño del motor OMR (visión por computador)</w:t>
      </w:r>
    </w:p>
    <w:p>
      <w:r>
        <w:rPr>
          <w:b w:val="0"/>
          <w:i w:val="0"/>
          <w:sz w:val="22"/>
        </w:rPr>
        <w:t>El módulo de calificación óptica de marcas (OMR) se diseñó para leer hojas de respuesta de forma rápida, offline y sin coste por hoja, usando OpenCV. El diseño se basa en una hoja patrón con cuatro cuadrados fiduciales en las esquinas que permiten corregir la perspectiva de una foto y normalizar la imagen a un lienzo fijo (1000×1414 px, proporción A4).</w:t>
      </w:r>
    </w:p>
    <w:p>
      <w:r>
        <w:rPr>
          <w:b w:val="0"/>
          <w:i w:val="0"/>
          <w:sz w:val="22"/>
        </w:rPr>
        <w:t>Flujo de diseño del motor OMR:</w:t>
      </w:r>
    </w:p>
    <w:p>
      <w:pPr>
        <w:pStyle w:val="ListNumber"/>
      </w:pPr>
      <w:r>
        <w:t>Decodificar la imagen o renderizar la página del PDF.</w:t>
      </w:r>
    </w:p>
    <w:p>
      <w:pPr>
        <w:pStyle w:val="ListNumber"/>
      </w:pPr>
      <w:r>
        <w:t>Detectar los cuatro fiduciales y corregir la perspectiva (warp) a un lienzo normalizado.</w:t>
      </w:r>
    </w:p>
    <w:p>
      <w:pPr>
        <w:pStyle w:val="ListNumber"/>
      </w:pPr>
      <w:r>
        <w:t>Recortar la franja del nombre para identificar al estudiante mediante IA de visión.</w:t>
      </w:r>
    </w:p>
    <w:p>
      <w:pPr>
        <w:pStyle w:val="ListNumber"/>
      </w:pPr>
      <w:r>
        <w:t>Medir el porcentaje de relleno de cada burbuja A/B/C/D.</w:t>
      </w:r>
    </w:p>
    <w:p>
      <w:pPr>
        <w:pStyle w:val="ListNumber"/>
      </w:pPr>
      <w:r>
        <w:t>Comparar con la clave y calcular la nota en escala 1.0–5.0.</w:t>
      </w:r>
    </w:p>
    <w:p>
      <w:r>
        <w:rPr>
          <w:b w:val="0"/>
          <w:i w:val="0"/>
          <w:sz w:val="22"/>
        </w:rPr>
        <w:t>La geometría de la hoja es la única fuente de verdad: el mismo archivo genera la plantilla imprimible y lee las marcas, de modo que plantilla y lector nunca se desincronizan.</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 Geometría del lienzo normalizado (proporción A4 vertical)</w:t>
            </w:r>
            <w:r>
              <w:br/>
            </w:r>
            <w:r>
              <w:rPr>
                <w:rFonts w:ascii="Consolas" w:hAnsi="Consolas"/>
                <w:color w:val="E2E8F0"/>
                <w:sz w:val="17"/>
              </w:rPr>
              <w:t>SHEET_W, SHEET_H = 1000, 1414</w:t>
            </w:r>
            <w:r>
              <w:br/>
            </w:r>
            <w:r>
              <w:rPr>
                <w:rFonts w:ascii="Consolas" w:hAnsi="Consolas"/>
                <w:color w:val="E2E8F0"/>
                <w:sz w:val="17"/>
              </w:rPr>
              <w:t>MARGIN, FIDUCIAL = 55, 46            # cuadrados de las esquinas</w:t>
            </w:r>
            <w:r>
              <w:br/>
            </w:r>
            <w:r>
              <w:rPr>
                <w:rFonts w:ascii="Consolas" w:hAnsi="Consolas"/>
                <w:color w:val="E2E8F0"/>
                <w:sz w:val="17"/>
              </w:rPr>
              <w:t>NAME_X0, NAME_X1 = 150, 900          # franja del nombre (se recorta para la IA)</w:t>
            </w:r>
            <w:r>
              <w:br/>
            </w:r>
            <w:r>
              <w:rPr>
                <w:rFonts w:ascii="Consolas" w:hAnsi="Consolas"/>
                <w:color w:val="E2E8F0"/>
                <w:sz w:val="17"/>
              </w:rPr>
              <w:t>NAME_TOP, NAME_BOT = 198, 280</w:t>
            </w:r>
            <w:r>
              <w:br/>
            </w:r>
            <w:r>
              <w:rPr>
                <w:rFonts w:ascii="Consolas" w:hAnsi="Consolas"/>
                <w:color w:val="E2E8F0"/>
                <w:sz w:val="17"/>
              </w:rPr>
              <w:t>GRID_TOP, ROW_H, BUBBLE_R = 380, 50, 16   # cuadrícula de respuestas</w:t>
            </w:r>
            <w:r>
              <w:br/>
            </w:r>
            <w:r>
              <w:rPr>
                <w:rFonts w:ascii="Consolas" w:hAnsi="Consolas"/>
                <w:color w:val="E2E8F0"/>
                <w:sz w:val="17"/>
              </w:rPr>
            </w:r>
            <w:r>
              <w:br/>
            </w:r>
            <w:r>
              <w:rPr>
                <w:rFonts w:ascii="Consolas" w:hAnsi="Consolas"/>
                <w:color w:val="E2E8F0"/>
                <w:sz w:val="17"/>
              </w:rPr>
              <w:t>def name_region(warped):</w:t>
            </w:r>
            <w:r>
              <w:br/>
            </w:r>
            <w:r>
              <w:rPr>
                <w:rFonts w:ascii="Consolas" w:hAnsi="Consolas"/>
                <w:color w:val="E2E8F0"/>
                <w:sz w:val="17"/>
              </w:rPr>
              <w:t xml:space="preserve">    """Recorta la franja del NOMBRE y la devuelve como PNG para la IA de visión."""</w:t>
            </w:r>
            <w:r>
              <w:br/>
            </w:r>
            <w:r>
              <w:rPr>
                <w:rFonts w:ascii="Consolas" w:hAnsi="Consolas"/>
                <w:color w:val="E2E8F0"/>
                <w:sz w:val="17"/>
              </w:rPr>
              <w:t xml:space="preserve">    crop = warped[NAME_TOP+4:NAME_BOT-4, NAME_X0+4:NAME_X1-4]</w:t>
            </w:r>
            <w:r>
              <w:br/>
            </w:r>
            <w:r>
              <w:rPr>
                <w:rFonts w:ascii="Consolas" w:hAnsi="Consolas"/>
                <w:color w:val="E2E8F0"/>
                <w:sz w:val="17"/>
              </w:rPr>
              <w:t xml:space="preserve">    ok, png = cv2.imencode(".png", crop)</w:t>
            </w:r>
            <w:r>
              <w:br/>
            </w:r>
            <w:r>
              <w:rPr>
                <w:rFonts w:ascii="Consolas" w:hAnsi="Consolas"/>
                <w:color w:val="E2E8F0"/>
                <w:sz w:val="17"/>
              </w:rPr>
              <w:t xml:space="preserve">    return png.tobytes() if ok else b""</w:t>
            </w:r>
            <w:r>
              <w:br/>
            </w:r>
            <w:r>
              <w:rPr>
                <w:rFonts w:ascii="Consolas" w:hAnsi="Consolas"/>
                <w:color w:val="E2E8F0"/>
                <w:sz w:val="17"/>
              </w:rPr>
            </w:r>
            <w:r>
              <w:br/>
            </w:r>
            <w:r>
              <w:rPr>
                <w:rFonts w:ascii="Consolas" w:hAnsi="Consolas"/>
                <w:color w:val="E2E8F0"/>
                <w:sz w:val="17"/>
              </w:rPr>
              <w:t># Cálculo de la nota a partir de aciertos (escala 1.0 - 5.0)</w:t>
            </w:r>
            <w:r>
              <w:br/>
            </w:r>
            <w:r>
              <w:rPr>
                <w:rFonts w:ascii="Consolas" w:hAnsi="Consolas"/>
                <w:color w:val="E2E8F0"/>
                <w:sz w:val="17"/>
              </w:rPr>
              <w:t>score = round(correct / num_q * 4 + 1, 2)</w:t>
            </w:r>
          </w:p>
        </w:tc>
      </w:tr>
    </w:tbl>
    <w:p>
      <w:pPr>
        <w:spacing w:after="40"/>
      </w:pPr>
    </w:p>
    <w:p>
      <w:r>
        <w:rPr>
          <w:b w:val="0"/>
          <w:i w:val="0"/>
          <w:sz w:val="22"/>
        </w:rPr>
        <w:t>La hoja de respuestas generada por el sistema (con sus fiduciales, la caja del nombre y la cuadrícula de respuestas) se muestra en la sección de resultados.</w:t>
      </w:r>
    </w:p>
    <w:p>
      <w:pPr>
        <w:pStyle w:val="Heading2"/>
      </w:pPr>
      <w:r>
        <w:rPr>
          <w:color w:val="1E293B"/>
          <w:sz w:val="28"/>
        </w:rPr>
        <w:t>6.6 Diseño de la identificación por nombre con IA</w:t>
      </w:r>
    </w:p>
    <w:p>
      <w:r>
        <w:rPr>
          <w:b w:val="0"/>
          <w:i w:val="0"/>
          <w:sz w:val="22"/>
        </w:rPr>
        <w:t>Una decisión de diseño relevante fue cómo asignar cada hoja a su estudiante sin pérdida de tiempo. Tras evaluar alternativas (selección manual de una lista o una rejilla de número de documento), se optó por reconocer el nombre manuscrito mediante IA de visión (Gemini). El recorte del nombre se envía junto con la lista exacta de la clase, y el modelo devuelve la coincidencia. El emparejamiento final normaliza acentos y mayúsculas; si no hay coincidencia clara, la hoja queda para asignación manual (respaldo). Este diseño combina automatización (cero clics en el caso común) con robustez (la IA elige de una lista cerrada, no texto libre).</w:t>
      </w:r>
    </w:p>
    <w:p>
      <w:pPr>
        <w:pStyle w:val="Heading2"/>
      </w:pPr>
      <w:r>
        <w:rPr>
          <w:color w:val="1E293B"/>
          <w:sz w:val="28"/>
        </w:rPr>
        <w:t>6.7 Diseño de la interfaz (UI/UX)</w:t>
      </w:r>
    </w:p>
    <w:p>
      <w:r>
        <w:rPr>
          <w:b w:val="0"/>
          <w:i w:val="0"/>
          <w:sz w:val="22"/>
        </w:rPr>
        <w:t>La interfaz se diseñó con un sistema visual coherente basado en Tailwind CSS v4. Las decisiones de diseño visual y de experiencia fueron:</w:t>
      </w:r>
    </w:p>
    <w:p>
      <w:pPr>
        <w:pStyle w:val="ListBullet"/>
      </w:pPr>
      <w:r>
        <w:rPr>
          <w:b/>
        </w:rPr>
        <w:t xml:space="preserve">Identidad: </w:t>
      </w:r>
      <w:r>
        <w:t>violeta/índigo como colores de marca, con tarjetas redondeadas y sombras suaves.</w:t>
      </w:r>
    </w:p>
    <w:p>
      <w:pPr>
        <w:pStyle w:val="ListBullet"/>
      </w:pPr>
      <w:r>
        <w:rPr>
          <w:b/>
        </w:rPr>
        <w:t xml:space="preserve">Temas: </w:t>
      </w:r>
      <w:r>
        <w:t>modo claro y oscuro conmutables (next-themes), respetando el contraste.</w:t>
      </w:r>
    </w:p>
    <w:p>
      <w:pPr>
        <w:pStyle w:val="ListBullet"/>
      </w:pPr>
      <w:r>
        <w:rPr>
          <w:b/>
        </w:rPr>
        <w:t xml:space="preserve">Portales: </w:t>
      </w:r>
      <w:r>
        <w:t>dos portales claramente diferenciados por color (docente índigo, estudiante violeta).</w:t>
      </w:r>
    </w:p>
    <w:p>
      <w:pPr>
        <w:pStyle w:val="ListBullet"/>
      </w:pPr>
      <w:r>
        <w:rPr>
          <w:b/>
        </w:rPr>
        <w:t xml:space="preserve">Ayuda: </w:t>
      </w:r>
      <w:r>
        <w:t>ayuda contextual integrada (componente HelpTip) junto a cada control complejo.</w:t>
      </w:r>
    </w:p>
    <w:p>
      <w:pPr>
        <w:pStyle w:val="ListBullet"/>
      </w:pPr>
      <w:r>
        <w:rPr>
          <w:b/>
        </w:rPr>
        <w:t xml:space="preserve">Datos: </w:t>
      </w:r>
      <w:r>
        <w:t>visualización de datos con gráficas (recharts) para la evolución del promedio.</w:t>
      </w:r>
    </w:p>
    <w:p>
      <w:pPr>
        <w:pStyle w:val="ListBullet"/>
      </w:pPr>
      <w:r>
        <w:rPr>
          <w:b/>
        </w:rPr>
        <w:t xml:space="preserve">Responsive: </w:t>
      </w:r>
      <w:r>
        <w:t>diseño responsive y animaciones sutiles para reforzar la jerarquía visual.</w:t>
      </w:r>
    </w:p>
    <w:p>
      <w:r>
        <w:rPr>
          <w:b w:val="0"/>
          <w:i w:val="0"/>
          <w:sz w:val="22"/>
        </w:rPr>
        <w:t>El detalle del diseño final de cada pantalla se documenta con capturas en la sección 8.</w:t>
      </w:r>
    </w:p>
    <w:p>
      <w:r>
        <w:br w:type="page"/>
      </w:r>
    </w:p>
    <w:p>
      <w:pPr>
        <w:pStyle w:val="Heading1"/>
        <w:spacing w:before="280"/>
      </w:pPr>
      <w:r>
        <w:rPr>
          <w:color w:val="4F46E5"/>
          <w:sz w:val="36"/>
        </w:rPr>
        <w:t>7. Fase de Desarrollo y Construcción</w:t>
      </w:r>
    </w:p>
    <w:p>
      <w:pPr>
        <w:pStyle w:val="Heading2"/>
      </w:pPr>
      <w:r>
        <w:rPr>
          <w:color w:val="1E293B"/>
          <w:sz w:val="28"/>
        </w:rPr>
        <w:t>7.1 Stack tecnológico</w:t>
      </w:r>
    </w:p>
    <w:p>
      <w:r>
        <w:rPr>
          <w:b w:val="0"/>
          <w:i w:val="0"/>
          <w:sz w:val="22"/>
        </w:rPr>
        <w:t>Tecnologías del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Pr>
                <w:b/>
                <w:sz w:val="19"/>
              </w:rPr>
              <w:t>Tecnología</w:t>
            </w:r>
          </w:p>
        </w:tc>
        <w:tc>
          <w:tcPr>
            <w:tcW w:type="dxa" w:w="2016"/>
          </w:tcPr>
          <w:p>
            <w:r>
              <w:rPr>
                <w:b/>
                <w:sz w:val="19"/>
              </w:rPr>
              <w:t>Versión</w:t>
            </w:r>
          </w:p>
        </w:tc>
        <w:tc>
          <w:tcPr>
            <w:tcW w:type="dxa" w:w="3744"/>
          </w:tcPr>
          <w:p>
            <w:r>
              <w:rPr>
                <w:b/>
                <w:sz w:val="19"/>
              </w:rPr>
              <w:t>Rol</w:t>
            </w:r>
          </w:p>
        </w:tc>
      </w:tr>
      <w:tr>
        <w:tc>
          <w:tcPr>
            <w:tcW w:type="dxa" w:w="3312"/>
          </w:tcPr>
          <w:p>
            <w:r>
              <w:rPr>
                <w:sz w:val="19"/>
              </w:rPr>
              <w:t>FastAPI</w:t>
            </w:r>
          </w:p>
        </w:tc>
        <w:tc>
          <w:tcPr>
            <w:tcW w:type="dxa" w:w="2016"/>
          </w:tcPr>
          <w:p>
            <w:r>
              <w:rPr>
                <w:sz w:val="19"/>
              </w:rPr>
              <w:t>0.104.1</w:t>
            </w:r>
          </w:p>
        </w:tc>
        <w:tc>
          <w:tcPr>
            <w:tcW w:type="dxa" w:w="3744"/>
          </w:tcPr>
          <w:p>
            <w:r>
              <w:rPr>
                <w:sz w:val="19"/>
              </w:rPr>
              <w:t>Framework web / API REST</w:t>
            </w:r>
          </w:p>
        </w:tc>
      </w:tr>
      <w:tr>
        <w:tc>
          <w:tcPr>
            <w:tcW w:type="dxa" w:w="3312"/>
          </w:tcPr>
          <w:p>
            <w:r>
              <w:rPr>
                <w:sz w:val="19"/>
              </w:rPr>
              <w:t>SQLAlchemy</w:t>
            </w:r>
          </w:p>
        </w:tc>
        <w:tc>
          <w:tcPr>
            <w:tcW w:type="dxa" w:w="2016"/>
          </w:tcPr>
          <w:p>
            <w:r>
              <w:rPr>
                <w:sz w:val="19"/>
              </w:rPr>
              <w:t>2.0.23</w:t>
            </w:r>
          </w:p>
        </w:tc>
        <w:tc>
          <w:tcPr>
            <w:tcW w:type="dxa" w:w="3744"/>
          </w:tcPr>
          <w:p>
            <w:r>
              <w:rPr>
                <w:sz w:val="19"/>
              </w:rPr>
              <w:t>ORM de acceso a datos</w:t>
            </w:r>
          </w:p>
        </w:tc>
      </w:tr>
      <w:tr>
        <w:tc>
          <w:tcPr>
            <w:tcW w:type="dxa" w:w="3312"/>
          </w:tcPr>
          <w:p>
            <w:r>
              <w:rPr>
                <w:sz w:val="19"/>
              </w:rPr>
              <w:t>PostgreSQL (psycopg2)</w:t>
            </w:r>
          </w:p>
        </w:tc>
        <w:tc>
          <w:tcPr>
            <w:tcW w:type="dxa" w:w="2016"/>
          </w:tcPr>
          <w:p>
            <w:r>
              <w:rPr>
                <w:sz w:val="19"/>
              </w:rPr>
              <w:t>2.9.9</w:t>
            </w:r>
          </w:p>
        </w:tc>
        <w:tc>
          <w:tcPr>
            <w:tcW w:type="dxa" w:w="3744"/>
          </w:tcPr>
          <w:p>
            <w:r>
              <w:rPr>
                <w:sz w:val="19"/>
              </w:rPr>
              <w:t>Base de datos relacional</w:t>
            </w:r>
          </w:p>
        </w:tc>
      </w:tr>
      <w:tr>
        <w:tc>
          <w:tcPr>
            <w:tcW w:type="dxa" w:w="3312"/>
          </w:tcPr>
          <w:p>
            <w:r>
              <w:rPr>
                <w:sz w:val="19"/>
              </w:rPr>
              <w:t>Pydantic</w:t>
            </w:r>
          </w:p>
        </w:tc>
        <w:tc>
          <w:tcPr>
            <w:tcW w:type="dxa" w:w="2016"/>
          </w:tcPr>
          <w:p>
            <w:r>
              <w:rPr>
                <w:sz w:val="19"/>
              </w:rPr>
              <w:t>2.5.0</w:t>
            </w:r>
          </w:p>
        </w:tc>
        <w:tc>
          <w:tcPr>
            <w:tcW w:type="dxa" w:w="3744"/>
          </w:tcPr>
          <w:p>
            <w:r>
              <w:rPr>
                <w:sz w:val="19"/>
              </w:rPr>
              <w:t>Validación de datos y esquemas</w:t>
            </w:r>
          </w:p>
        </w:tc>
      </w:tr>
      <w:tr>
        <w:tc>
          <w:tcPr>
            <w:tcW w:type="dxa" w:w="3312"/>
          </w:tcPr>
          <w:p>
            <w:r>
              <w:rPr>
                <w:sz w:val="19"/>
              </w:rPr>
              <w:t>PyJWT</w:t>
            </w:r>
          </w:p>
        </w:tc>
        <w:tc>
          <w:tcPr>
            <w:tcW w:type="dxa" w:w="2016"/>
          </w:tcPr>
          <w:p>
            <w:r>
              <w:rPr>
                <w:sz w:val="19"/>
              </w:rPr>
              <w:t>2.8.1</w:t>
            </w:r>
          </w:p>
        </w:tc>
        <w:tc>
          <w:tcPr>
            <w:tcW w:type="dxa" w:w="3744"/>
          </w:tcPr>
          <w:p>
            <w:r>
              <w:rPr>
                <w:sz w:val="19"/>
              </w:rPr>
              <w:t>Tokens de autenticación</w:t>
            </w:r>
          </w:p>
        </w:tc>
      </w:tr>
      <w:tr>
        <w:tc>
          <w:tcPr>
            <w:tcW w:type="dxa" w:w="3312"/>
          </w:tcPr>
          <w:p>
            <w:r>
              <w:rPr>
                <w:sz w:val="19"/>
              </w:rPr>
              <w:t>bcrypt</w:t>
            </w:r>
          </w:p>
        </w:tc>
        <w:tc>
          <w:tcPr>
            <w:tcW w:type="dxa" w:w="2016"/>
          </w:tcPr>
          <w:p>
            <w:r>
              <w:rPr>
                <w:sz w:val="19"/>
              </w:rPr>
              <w:t>4.1.1</w:t>
            </w:r>
          </w:p>
        </w:tc>
        <w:tc>
          <w:tcPr>
            <w:tcW w:type="dxa" w:w="3744"/>
          </w:tcPr>
          <w:p>
            <w:r>
              <w:rPr>
                <w:sz w:val="19"/>
              </w:rPr>
              <w:t>Cifrado de contraseñas</w:t>
            </w:r>
          </w:p>
        </w:tc>
      </w:tr>
      <w:tr>
        <w:tc>
          <w:tcPr>
            <w:tcW w:type="dxa" w:w="3312"/>
          </w:tcPr>
          <w:p>
            <w:r>
              <w:rPr>
                <w:sz w:val="19"/>
              </w:rPr>
              <w:t>slowapi</w:t>
            </w:r>
          </w:p>
        </w:tc>
        <w:tc>
          <w:tcPr>
            <w:tcW w:type="dxa" w:w="2016"/>
          </w:tcPr>
          <w:p>
            <w:r>
              <w:rPr>
                <w:sz w:val="19"/>
              </w:rPr>
              <w:t>0.1.9</w:t>
            </w:r>
          </w:p>
        </w:tc>
        <w:tc>
          <w:tcPr>
            <w:tcW w:type="dxa" w:w="3744"/>
          </w:tcPr>
          <w:p>
            <w:r>
              <w:rPr>
                <w:sz w:val="19"/>
              </w:rPr>
              <w:t>Limitación de tasa</w:t>
            </w:r>
          </w:p>
        </w:tc>
      </w:tr>
      <w:tr>
        <w:tc>
          <w:tcPr>
            <w:tcW w:type="dxa" w:w="3312"/>
          </w:tcPr>
          <w:p>
            <w:r>
              <w:rPr>
                <w:sz w:val="19"/>
              </w:rPr>
              <w:t>google-genai</w:t>
            </w:r>
          </w:p>
        </w:tc>
        <w:tc>
          <w:tcPr>
            <w:tcW w:type="dxa" w:w="2016"/>
          </w:tcPr>
          <w:p>
            <w:r>
              <w:rPr>
                <w:sz w:val="19"/>
              </w:rPr>
              <w:t>0.3.0</w:t>
            </w:r>
          </w:p>
        </w:tc>
        <w:tc>
          <w:tcPr>
            <w:tcW w:type="dxa" w:w="3744"/>
          </w:tcPr>
          <w:p>
            <w:r>
              <w:rPr>
                <w:sz w:val="19"/>
              </w:rPr>
              <w:t>Integración con Gemini (IA)</w:t>
            </w:r>
          </w:p>
        </w:tc>
      </w:tr>
      <w:tr>
        <w:tc>
          <w:tcPr>
            <w:tcW w:type="dxa" w:w="3312"/>
          </w:tcPr>
          <w:p>
            <w:r>
              <w:rPr>
                <w:sz w:val="19"/>
              </w:rPr>
              <w:t>OpenCV (headless)</w:t>
            </w:r>
          </w:p>
        </w:tc>
        <w:tc>
          <w:tcPr>
            <w:tcW w:type="dxa" w:w="2016"/>
          </w:tcPr>
          <w:p>
            <w:r>
              <w:rPr>
                <w:sz w:val="19"/>
              </w:rPr>
              <w:t>4.13.0</w:t>
            </w:r>
          </w:p>
        </w:tc>
        <w:tc>
          <w:tcPr>
            <w:tcW w:type="dxa" w:w="3744"/>
          </w:tcPr>
          <w:p>
            <w:r>
              <w:rPr>
                <w:sz w:val="19"/>
              </w:rPr>
              <w:t>Visión por computador (OMR)</w:t>
            </w:r>
          </w:p>
        </w:tc>
      </w:tr>
      <w:tr>
        <w:tc>
          <w:tcPr>
            <w:tcW w:type="dxa" w:w="3312"/>
          </w:tcPr>
          <w:p>
            <w:r>
              <w:rPr>
                <w:sz w:val="19"/>
              </w:rPr>
              <w:t>NumPy</w:t>
            </w:r>
          </w:p>
        </w:tc>
        <w:tc>
          <w:tcPr>
            <w:tcW w:type="dxa" w:w="2016"/>
          </w:tcPr>
          <w:p>
            <w:r>
              <w:rPr>
                <w:sz w:val="19"/>
              </w:rPr>
              <w:t>2.4.4</w:t>
            </w:r>
          </w:p>
        </w:tc>
        <w:tc>
          <w:tcPr>
            <w:tcW w:type="dxa" w:w="3744"/>
          </w:tcPr>
          <w:p>
            <w:r>
              <w:rPr>
                <w:sz w:val="19"/>
              </w:rPr>
              <w:t>Cálculo numérico (OMR)</w:t>
            </w:r>
          </w:p>
        </w:tc>
      </w:tr>
      <w:tr>
        <w:tc>
          <w:tcPr>
            <w:tcW w:type="dxa" w:w="3312"/>
          </w:tcPr>
          <w:p>
            <w:r>
              <w:rPr>
                <w:sz w:val="19"/>
              </w:rPr>
              <w:t>PyMuPDF</w:t>
            </w:r>
          </w:p>
        </w:tc>
        <w:tc>
          <w:tcPr>
            <w:tcW w:type="dxa" w:w="2016"/>
          </w:tcPr>
          <w:p>
            <w:r>
              <w:rPr>
                <w:sz w:val="19"/>
              </w:rPr>
              <w:t>1.27.2</w:t>
            </w:r>
          </w:p>
        </w:tc>
        <w:tc>
          <w:tcPr>
            <w:tcW w:type="dxa" w:w="3744"/>
          </w:tcPr>
          <w:p>
            <w:r>
              <w:rPr>
                <w:sz w:val="19"/>
              </w:rPr>
              <w:t>PDF ↔ imagen y plantilla OMR</w:t>
            </w:r>
          </w:p>
        </w:tc>
      </w:tr>
      <w:tr>
        <w:tc>
          <w:tcPr>
            <w:tcW w:type="dxa" w:w="3312"/>
          </w:tcPr>
          <w:p>
            <w:r>
              <w:rPr>
                <w:sz w:val="19"/>
              </w:rPr>
              <w:t>pandas / openpyxl</w:t>
            </w:r>
          </w:p>
        </w:tc>
        <w:tc>
          <w:tcPr>
            <w:tcW w:type="dxa" w:w="2016"/>
          </w:tcPr>
          <w:p>
            <w:r>
              <w:rPr>
                <w:sz w:val="19"/>
              </w:rPr>
              <w:t>2.1.3 / 3.1.2</w:t>
            </w:r>
          </w:p>
        </w:tc>
        <w:tc>
          <w:tcPr>
            <w:tcW w:type="dxa" w:w="3744"/>
          </w:tcPr>
          <w:p>
            <w:r>
              <w:rPr>
                <w:sz w:val="19"/>
              </w:rPr>
              <w:t>Exportación a Excel</w:t>
            </w:r>
          </w:p>
        </w:tc>
      </w:tr>
    </w:tbl>
    <w:p>
      <w:pPr>
        <w:jc w:val="center"/>
      </w:pPr>
      <w:r>
        <w:rPr>
          <w:i/>
          <w:color w:val="64748B"/>
          <w:sz w:val="18"/>
        </w:rPr>
        <w:t>Tabla 7. Componentes del stack del backend.</w:t>
      </w:r>
    </w:p>
    <w:p>
      <w:r>
        <w:rPr>
          <w:b w:val="0"/>
          <w:i w:val="0"/>
          <w:sz w:val="22"/>
        </w:rPr>
        <w:t>Tecnologías del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Pr>
                <w:b/>
                <w:sz w:val="19"/>
              </w:rPr>
              <w:t>Tecnología</w:t>
            </w:r>
          </w:p>
        </w:tc>
        <w:tc>
          <w:tcPr>
            <w:tcW w:type="dxa" w:w="2016"/>
          </w:tcPr>
          <w:p>
            <w:r>
              <w:rPr>
                <w:b/>
                <w:sz w:val="19"/>
              </w:rPr>
              <w:t>Versión</w:t>
            </w:r>
          </w:p>
        </w:tc>
        <w:tc>
          <w:tcPr>
            <w:tcW w:type="dxa" w:w="3744"/>
          </w:tcPr>
          <w:p>
            <w:r>
              <w:rPr>
                <w:b/>
                <w:sz w:val="19"/>
              </w:rPr>
              <w:t>Rol</w:t>
            </w:r>
          </w:p>
        </w:tc>
      </w:tr>
      <w:tr>
        <w:tc>
          <w:tcPr>
            <w:tcW w:type="dxa" w:w="3312"/>
          </w:tcPr>
          <w:p>
            <w:r>
              <w:rPr>
                <w:sz w:val="19"/>
              </w:rPr>
              <w:t>Next.js</w:t>
            </w:r>
          </w:p>
        </w:tc>
        <w:tc>
          <w:tcPr>
            <w:tcW w:type="dxa" w:w="2016"/>
          </w:tcPr>
          <w:p>
            <w:r>
              <w:rPr>
                <w:sz w:val="19"/>
              </w:rPr>
              <w:t>16.2.2</w:t>
            </w:r>
          </w:p>
        </w:tc>
        <w:tc>
          <w:tcPr>
            <w:tcW w:type="dxa" w:w="3744"/>
          </w:tcPr>
          <w:p>
            <w:r>
              <w:rPr>
                <w:sz w:val="19"/>
              </w:rPr>
              <w:t>Framework React (App Router)</w:t>
            </w:r>
          </w:p>
        </w:tc>
      </w:tr>
      <w:tr>
        <w:tc>
          <w:tcPr>
            <w:tcW w:type="dxa" w:w="3312"/>
          </w:tcPr>
          <w:p>
            <w:r>
              <w:rPr>
                <w:sz w:val="19"/>
              </w:rPr>
              <w:t>React</w:t>
            </w:r>
          </w:p>
        </w:tc>
        <w:tc>
          <w:tcPr>
            <w:tcW w:type="dxa" w:w="2016"/>
          </w:tcPr>
          <w:p>
            <w:r>
              <w:rPr>
                <w:sz w:val="19"/>
              </w:rPr>
              <w:t>19.2.4</w:t>
            </w:r>
          </w:p>
        </w:tc>
        <w:tc>
          <w:tcPr>
            <w:tcW w:type="dxa" w:w="3744"/>
          </w:tcPr>
          <w:p>
            <w:r>
              <w:rPr>
                <w:sz w:val="19"/>
              </w:rPr>
              <w:t>Librería de interfaz</w:t>
            </w:r>
          </w:p>
        </w:tc>
      </w:tr>
      <w:tr>
        <w:tc>
          <w:tcPr>
            <w:tcW w:type="dxa" w:w="3312"/>
          </w:tcPr>
          <w:p>
            <w:r>
              <w:rPr>
                <w:sz w:val="19"/>
              </w:rPr>
              <w:t>Tailwind CSS</w:t>
            </w:r>
          </w:p>
        </w:tc>
        <w:tc>
          <w:tcPr>
            <w:tcW w:type="dxa" w:w="2016"/>
          </w:tcPr>
          <w:p>
            <w:r>
              <w:rPr>
                <w:sz w:val="19"/>
              </w:rPr>
              <w:t>v4</w:t>
            </w:r>
          </w:p>
        </w:tc>
        <w:tc>
          <w:tcPr>
            <w:tcW w:type="dxa" w:w="3744"/>
          </w:tcPr>
          <w:p>
            <w:r>
              <w:rPr>
                <w:sz w:val="19"/>
              </w:rPr>
              <w:t>Estilos utilitarios</w:t>
            </w:r>
          </w:p>
        </w:tc>
      </w:tr>
      <w:tr>
        <w:tc>
          <w:tcPr>
            <w:tcW w:type="dxa" w:w="3312"/>
          </w:tcPr>
          <w:p>
            <w:r>
              <w:rPr>
                <w:sz w:val="19"/>
              </w:rPr>
              <w:t>recharts</w:t>
            </w:r>
          </w:p>
        </w:tc>
        <w:tc>
          <w:tcPr>
            <w:tcW w:type="dxa" w:w="2016"/>
          </w:tcPr>
          <w:p>
            <w:r>
              <w:rPr>
                <w:sz w:val="19"/>
              </w:rPr>
              <w:t>3.8.1</w:t>
            </w:r>
          </w:p>
        </w:tc>
        <w:tc>
          <w:tcPr>
            <w:tcW w:type="dxa" w:w="3744"/>
          </w:tcPr>
          <w:p>
            <w:r>
              <w:rPr>
                <w:sz w:val="19"/>
              </w:rPr>
              <w:t>Gráficas de datos</w:t>
            </w:r>
          </w:p>
        </w:tc>
      </w:tr>
      <w:tr>
        <w:tc>
          <w:tcPr>
            <w:tcW w:type="dxa" w:w="3312"/>
          </w:tcPr>
          <w:p>
            <w:r>
              <w:rPr>
                <w:sz w:val="19"/>
              </w:rPr>
              <w:t>lucide-react</w:t>
            </w:r>
          </w:p>
        </w:tc>
        <w:tc>
          <w:tcPr>
            <w:tcW w:type="dxa" w:w="2016"/>
          </w:tcPr>
          <w:p>
            <w:r>
              <w:rPr>
                <w:sz w:val="19"/>
              </w:rPr>
              <w:t>1.7.0</w:t>
            </w:r>
          </w:p>
        </w:tc>
        <w:tc>
          <w:tcPr>
            <w:tcW w:type="dxa" w:w="3744"/>
          </w:tcPr>
          <w:p>
            <w:r>
              <w:rPr>
                <w:sz w:val="19"/>
              </w:rPr>
              <w:t>Iconografía</w:t>
            </w:r>
          </w:p>
        </w:tc>
      </w:tr>
      <w:tr>
        <w:tc>
          <w:tcPr>
            <w:tcW w:type="dxa" w:w="3312"/>
          </w:tcPr>
          <w:p>
            <w:r>
              <w:rPr>
                <w:sz w:val="19"/>
              </w:rPr>
              <w:t>next-themes</w:t>
            </w:r>
          </w:p>
        </w:tc>
        <w:tc>
          <w:tcPr>
            <w:tcW w:type="dxa" w:w="2016"/>
          </w:tcPr>
          <w:p>
            <w:r>
              <w:rPr>
                <w:sz w:val="19"/>
              </w:rPr>
              <w:t>0.4.6</w:t>
            </w:r>
          </w:p>
        </w:tc>
        <w:tc>
          <w:tcPr>
            <w:tcW w:type="dxa" w:w="3744"/>
          </w:tcPr>
          <w:p>
            <w:r>
              <w:rPr>
                <w:sz w:val="19"/>
              </w:rPr>
              <w:t>Modo claro/oscuro</w:t>
            </w:r>
          </w:p>
        </w:tc>
      </w:tr>
      <w:tr>
        <w:tc>
          <w:tcPr>
            <w:tcW w:type="dxa" w:w="3312"/>
          </w:tcPr>
          <w:p>
            <w:r>
              <w:rPr>
                <w:sz w:val="19"/>
              </w:rPr>
              <w:t>lottie-react</w:t>
            </w:r>
          </w:p>
        </w:tc>
        <w:tc>
          <w:tcPr>
            <w:tcW w:type="dxa" w:w="2016"/>
          </w:tcPr>
          <w:p>
            <w:r>
              <w:rPr>
                <w:sz w:val="19"/>
              </w:rPr>
              <w:t>2.4.1</w:t>
            </w:r>
          </w:p>
        </w:tc>
        <w:tc>
          <w:tcPr>
            <w:tcW w:type="dxa" w:w="3744"/>
          </w:tcPr>
          <w:p>
            <w:r>
              <w:rPr>
                <w:sz w:val="19"/>
              </w:rPr>
              <w:t>Animaciones (demo)</w:t>
            </w:r>
          </w:p>
        </w:tc>
      </w:tr>
    </w:tbl>
    <w:p>
      <w:pPr>
        <w:jc w:val="center"/>
      </w:pPr>
      <w:r>
        <w:rPr>
          <w:i/>
          <w:color w:val="64748B"/>
          <w:sz w:val="18"/>
        </w:rPr>
        <w:t>Tabla 8. Componentes del stack del frontend.</w:t>
      </w:r>
    </w:p>
    <w:p>
      <w:pPr>
        <w:pStyle w:val="Heading2"/>
      </w:pPr>
      <w:r>
        <w:rPr>
          <w:color w:val="1E293B"/>
          <w:sz w:val="28"/>
        </w:rPr>
        <w:t>7.2 Estructura del proyecto</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Software/</w:t>
            </w:r>
            <w:r>
              <w:br/>
            </w:r>
            <w:r>
              <w:rPr>
                <w:rFonts w:ascii="Consolas" w:hAnsi="Consolas"/>
                <w:color w:val="E2E8F0"/>
                <w:sz w:val="17"/>
              </w:rPr>
              <w:t>├── edu-grade-mocavi/          # BACKEND (FastAPI)</w:t>
            </w:r>
            <w:r>
              <w:br/>
            </w:r>
            <w:r>
              <w:rPr>
                <w:rFonts w:ascii="Consolas" w:hAnsi="Consolas"/>
                <w:color w:val="E2E8F0"/>
                <w:sz w:val="17"/>
              </w:rPr>
              <w:t>│   └── app/</w:t>
            </w:r>
            <w:r>
              <w:br/>
            </w:r>
            <w:r>
              <w:rPr>
                <w:rFonts w:ascii="Consolas" w:hAnsi="Consolas"/>
                <w:color w:val="E2E8F0"/>
                <w:sz w:val="17"/>
              </w:rPr>
              <w:t>│       ├── main.py            # endpoints de la API (~30 rutas)</w:t>
            </w:r>
            <w:r>
              <w:br/>
            </w:r>
            <w:r>
              <w:rPr>
                <w:rFonts w:ascii="Consolas" w:hAnsi="Consolas"/>
                <w:color w:val="E2E8F0"/>
                <w:sz w:val="17"/>
              </w:rPr>
              <w:t>│       ├── models.py          # entidades SQLAlchemy (modelo de datos)</w:t>
            </w:r>
            <w:r>
              <w:br/>
            </w:r>
            <w:r>
              <w:rPr>
                <w:rFonts w:ascii="Consolas" w:hAnsi="Consolas"/>
                <w:color w:val="E2E8F0"/>
                <w:sz w:val="17"/>
              </w:rPr>
              <w:t>│       ├── schemas.py         # esquemas Pydantic (validación)</w:t>
            </w:r>
            <w:r>
              <w:br/>
            </w:r>
            <w:r>
              <w:rPr>
                <w:rFonts w:ascii="Consolas" w:hAnsi="Consolas"/>
                <w:color w:val="E2E8F0"/>
                <w:sz w:val="17"/>
              </w:rPr>
              <w:t>│       ├── auth.py            # JWT + bcrypt + dependencias de rol</w:t>
            </w:r>
            <w:r>
              <w:br/>
            </w:r>
            <w:r>
              <w:rPr>
                <w:rFonts w:ascii="Consolas" w:hAnsi="Consolas"/>
                <w:color w:val="E2E8F0"/>
                <w:sz w:val="17"/>
              </w:rPr>
              <w:t>│       ├── omr.py             # motor de visión por computador (OMR)</w:t>
            </w:r>
            <w:r>
              <w:br/>
            </w:r>
            <w:r>
              <w:rPr>
                <w:rFonts w:ascii="Consolas" w:hAnsi="Consolas"/>
                <w:color w:val="E2E8F0"/>
                <w:sz w:val="17"/>
              </w:rPr>
              <w:t>│       └── database.py        # conexión y sesión de base de datos</w:t>
            </w:r>
            <w:r>
              <w:br/>
            </w:r>
            <w:r>
              <w:rPr>
                <w:rFonts w:ascii="Consolas" w:hAnsi="Consolas"/>
                <w:color w:val="E2E8F0"/>
                <w:sz w:val="17"/>
              </w:rPr>
              <w:t>└── frontend/                  # FRONTEND (Next.js)</w:t>
            </w:r>
            <w:r>
              <w:br/>
            </w:r>
            <w:r>
              <w:rPr>
                <w:rFonts w:ascii="Consolas" w:hAnsi="Consolas"/>
                <w:color w:val="E2E8F0"/>
                <w:sz w:val="17"/>
              </w:rPr>
              <w:t xml:space="preserve">    └── src/</w:t>
            </w:r>
            <w:r>
              <w:br/>
            </w:r>
            <w:r>
              <w:rPr>
                <w:rFonts w:ascii="Consolas" w:hAnsi="Consolas"/>
                <w:color w:val="E2E8F0"/>
                <w:sz w:val="17"/>
              </w:rPr>
              <w:t xml:space="preserve">        ├── app/               # rutas (App Router)</w:t>
            </w:r>
            <w:r>
              <w:br/>
            </w:r>
            <w:r>
              <w:rPr>
                <w:rFonts w:ascii="Consolas" w:hAnsi="Consolas"/>
                <w:color w:val="E2E8F0"/>
                <w:sz w:val="17"/>
              </w:rPr>
              <w:t xml:space="preserve">        │   ├── page.js                 # landing</w:t>
            </w:r>
            <w:r>
              <w:br/>
            </w:r>
            <w:r>
              <w:rPr>
                <w:rFonts w:ascii="Consolas" w:hAnsi="Consolas"/>
                <w:color w:val="E2E8F0"/>
                <w:sz w:val="17"/>
              </w:rPr>
              <w:t xml:space="preserve">        │   ├── login/                  # login + portal docente</w:t>
            </w:r>
            <w:r>
              <w:br/>
            </w:r>
            <w:r>
              <w:rPr>
                <w:rFonts w:ascii="Consolas" w:hAnsi="Consolas"/>
                <w:color w:val="E2E8F0"/>
                <w:sz w:val="17"/>
              </w:rPr>
              <w:t xml:space="preserve">        │   └── dashboard/estudiante/   # portal del estudiante</w:t>
            </w:r>
            <w:r>
              <w:br/>
            </w:r>
            <w:r>
              <w:rPr>
                <w:rFonts w:ascii="Consolas" w:hAnsi="Consolas"/>
                <w:color w:val="E2E8F0"/>
                <w:sz w:val="17"/>
              </w:rPr>
              <w:t xml:space="preserve">        ├── components/        # componentes reutilizables (HelpTip, charts...)</w:t>
            </w:r>
            <w:r>
              <w:br/>
            </w:r>
            <w:r>
              <w:rPr>
                <w:rFonts w:ascii="Consolas" w:hAnsi="Consolas"/>
                <w:color w:val="E2E8F0"/>
                <w:sz w:val="17"/>
              </w:rPr>
              <w:t xml:space="preserve">        └── lib/api.js         # cliente HTTP central (JWT, errores, 401)</w:t>
            </w:r>
          </w:p>
        </w:tc>
      </w:tr>
    </w:tbl>
    <w:p>
      <w:pPr>
        <w:spacing w:after="40"/>
      </w:pPr>
    </w:p>
    <w:p>
      <w:pPr>
        <w:pStyle w:val="Heading2"/>
      </w:pPr>
      <w:r>
        <w:rPr>
          <w:color w:val="1E293B"/>
          <w:sz w:val="28"/>
        </w:rPr>
        <w:t>7.3 Construcción del backend</w:t>
      </w:r>
    </w:p>
    <w:p>
      <w:r>
        <w:rPr>
          <w:b w:val="0"/>
          <w:i w:val="0"/>
          <w:sz w:val="22"/>
        </w:rPr>
        <w:t>El backend centraliza la lógica de negocio. Un ejemplo representativo es el endpoint que califica hojas con OMR: lee las marcas, identifica al estudiante por su nombre mediante IA y persiste el resultado en el periodo elegido por el docente, de modo que aparezca en el detalle del estudiante.</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@app.post("/upload-exams-omr")</w:t>
            </w:r>
            <w:r>
              <w:br/>
            </w:r>
            <w:r>
              <w:rPr>
                <w:rFonts w:ascii="Consolas" w:hAnsi="Consolas"/>
                <w:color w:val="E2E8F0"/>
                <w:sz w:val="17"/>
              </w:rPr>
              <w:t>@limiter.limit("30/minute")</w:t>
            </w:r>
            <w:r>
              <w:br/>
            </w:r>
            <w:r>
              <w:rPr>
                <w:rFonts w:ascii="Consolas" w:hAnsi="Consolas"/>
                <w:color w:val="E2E8F0"/>
                <w:sz w:val="17"/>
              </w:rPr>
              <w:t>async def upload_exams_omr(file: UploadFile, answer_key: str = Form(...),</w:t>
            </w:r>
            <w:r>
              <w:br/>
            </w:r>
            <w:r>
              <w:rPr>
                <w:rFonts w:ascii="Consolas" w:hAnsi="Consolas"/>
                <w:color w:val="E2E8F0"/>
                <w:sz w:val="17"/>
              </w:rPr>
              <w:t xml:space="preserve">                          grade=Form(None), grupo=Form(None), period_id=Form(None), ...):</w:t>
            </w:r>
            <w:r>
              <w:br/>
            </w:r>
            <w:r>
              <w:rPr>
                <w:rFonts w:ascii="Consolas" w:hAnsi="Consolas"/>
                <w:color w:val="E2E8F0"/>
                <w:sz w:val="17"/>
              </w:rPr>
              <w:t xml:space="preserve">    pages = await asyncio.to_thread(omr.read_marks, content, ct, num_q, 4)</w:t>
            </w:r>
            <w:r>
              <w:br/>
            </w:r>
            <w:r>
              <w:rPr>
                <w:rFonts w:ascii="Consolas" w:hAnsi="Consolas"/>
                <w:color w:val="E2E8F0"/>
                <w:sz w:val="17"/>
              </w:rPr>
              <w:t xml:space="preserve">    roster = db.query(models.Student).filter_by(grade=grade, grupo=grupo).all()</w:t>
            </w:r>
            <w:r>
              <w:br/>
            </w:r>
            <w:r>
              <w:rPr>
                <w:rFonts w:ascii="Consolas" w:hAnsi="Consolas"/>
                <w:color w:val="E2E8F0"/>
                <w:sz w:val="17"/>
              </w:rPr>
              <w:t xml:space="preserve">    # Identificación automática del estudiante por el NOMBRE manuscrito (IA de visión)</w:t>
            </w:r>
            <w:r>
              <w:br/>
            </w:r>
            <w:r>
              <w:rPr>
                <w:rFonts w:ascii="Consolas" w:hAnsi="Consolas"/>
                <w:color w:val="E2E8F0"/>
                <w:sz w:val="17"/>
              </w:rPr>
              <w:t xml:space="preserve">    identified = await _identify_names_by_ai([p["name_img"] for p in pages], roster)</w:t>
            </w:r>
            <w:r>
              <w:br/>
            </w:r>
            <w:r>
              <w:rPr>
                <w:rFonts w:ascii="Consolas" w:hAnsi="Consolas"/>
                <w:color w:val="E2E8F0"/>
                <w:sz w:val="17"/>
              </w:rPr>
              <w:t xml:space="preserve">    for idx, pg in enumerate(pages):</w:t>
            </w:r>
            <w:r>
              <w:br/>
            </w:r>
            <w:r>
              <w:rPr>
                <w:rFonts w:ascii="Consolas" w:hAnsi="Consolas"/>
                <w:color w:val="E2E8F0"/>
                <w:sz w:val="17"/>
              </w:rPr>
              <w:t xml:space="preserve">        score = round(correct / num_q * 4 + 1, 2)</w:t>
            </w:r>
            <w:r>
              <w:br/>
            </w:r>
            <w:r>
              <w:rPr>
                <w:rFonts w:ascii="Consolas" w:hAnsi="Consolas"/>
                <w:color w:val="E2E8F0"/>
                <w:sz w:val="17"/>
              </w:rPr>
              <w:t xml:space="preserve">        matched = identified[idx]</w:t>
            </w:r>
            <w:r>
              <w:br/>
            </w:r>
            <w:r>
              <w:rPr>
                <w:rFonts w:ascii="Consolas" w:hAnsi="Consolas"/>
                <w:color w:val="E2E8F0"/>
                <w:sz w:val="17"/>
              </w:rPr>
              <w:t xml:space="preserve">        if matched:                       # se persiste para el detalle del estudiante</w:t>
            </w:r>
            <w:r>
              <w:br/>
            </w:r>
            <w:r>
              <w:rPr>
                <w:rFonts w:ascii="Consolas" w:hAnsi="Consolas"/>
                <w:color w:val="E2E8F0"/>
                <w:sz w:val="17"/>
              </w:rPr>
              <w:t xml:space="preserve">            db.add(models.ExamResult(exam_id=db_exam.id, student_id=matched.id,</w:t>
            </w:r>
            <w:r>
              <w:br/>
            </w:r>
            <w:r>
              <w:rPr>
                <w:rFonts w:ascii="Consolas" w:hAnsi="Consolas"/>
                <w:color w:val="E2E8F0"/>
                <w:sz w:val="17"/>
              </w:rPr>
              <w:t xml:space="preserve">                                     answers=answers_detail, score=score))</w:t>
            </w:r>
          </w:p>
        </w:tc>
      </w:tr>
    </w:tbl>
    <w:p>
      <w:pPr>
        <w:spacing w:after="40"/>
      </w:pPr>
    </w:p>
    <w:p>
      <w:pPr>
        <w:pStyle w:val="Heading2"/>
      </w:pPr>
      <w:r>
        <w:rPr>
          <w:color w:val="1E293B"/>
          <w:sz w:val="28"/>
        </w:rPr>
        <w:t>7.4 Construcción del frontend</w:t>
      </w:r>
    </w:p>
    <w:p>
      <w:r>
        <w:rPr>
          <w:b w:val="0"/>
          <w:i w:val="0"/>
          <w:sz w:val="22"/>
        </w:rPr>
        <w:t>Toda la comunicación con el backend pasa por un cliente HTTP central (api.js) que inyecta el token JWT, normaliza los errores y dispara el cierre de sesión automático ante un 401. Esto evita repetir lógica de red en cada componente y unifica el manejo de errores.</w:t>
      </w:r>
    </w:p>
    <w:tbl>
      <w:tblPr>
        <w:tblW w:type="auto" w:w="0"/>
        <w:jc w:val="center"/>
        <w:tblLook w:firstColumn="1" w:firstRow="1" w:lastColumn="0" w:lastRow="0" w:noHBand="0" w:noVBand="1" w:val="04A0"/>
      </w:tblPr>
      <w:tblGrid>
        <w:gridCol w:w="8640"/>
      </w:tblGrid>
      <w:tr>
        <w:tc>
          <w:tcPr>
            <w:tcW w:type="dxa" w:w="9072"/>
            <w:shd w:val="clear" w:color="auto" w:fill="1E293B"/>
          </w:tcPr>
          <w:p>
            <w:pPr>
              <w:spacing w:after="0" w:line="240" w:lineRule="auto"/>
            </w:pPr>
            <w:r>
              <w:rPr>
                <w:rFonts w:ascii="Consolas" w:hAnsi="Consolas"/>
                <w:color w:val="E2E8F0"/>
                <w:sz w:val="17"/>
              </w:rPr>
              <w:t>async function request(path, { method = "GET", body, headers = {}, isForm = false } = {}) {</w:t>
            </w:r>
            <w:r>
              <w:br/>
            </w:r>
            <w:r>
              <w:rPr>
                <w:rFonts w:ascii="Consolas" w:hAnsi="Consolas"/>
                <w:color w:val="E2E8F0"/>
                <w:sz w:val="17"/>
              </w:rPr>
              <w:t xml:space="preserve">  const finalHeaders = { ...headers };</w:t>
            </w:r>
            <w:r>
              <w:br/>
            </w:r>
            <w:r>
              <w:rPr>
                <w:rFonts w:ascii="Consolas" w:hAnsi="Consolas"/>
                <w:color w:val="E2E8F0"/>
                <w:sz w:val="17"/>
              </w:rPr>
              <w:t xml:space="preserve">  const token = getToken();</w:t>
            </w:r>
            <w:r>
              <w:br/>
            </w:r>
            <w:r>
              <w:rPr>
                <w:rFonts w:ascii="Consolas" w:hAnsi="Consolas"/>
                <w:color w:val="E2E8F0"/>
                <w:sz w:val="17"/>
              </w:rPr>
              <w:t xml:space="preserve">  if (token) finalHeaders.Authorization = `Bearer ${token}`;     // JWT automático</w:t>
            </w:r>
            <w:r>
              <w:br/>
            </w:r>
            <w:r>
              <w:rPr>
                <w:rFonts w:ascii="Consolas" w:hAnsi="Consolas"/>
                <w:color w:val="E2E8F0"/>
                <w:sz w:val="17"/>
              </w:rPr>
              <w:t xml:space="preserve">  if (body !== undefined &amp;&amp; !isForm) {</w:t>
            </w:r>
            <w:r>
              <w:br/>
            </w:r>
            <w:r>
              <w:rPr>
                <w:rFonts w:ascii="Consolas" w:hAnsi="Consolas"/>
                <w:color w:val="E2E8F0"/>
                <w:sz w:val="17"/>
              </w:rPr>
              <w:t xml:space="preserve">    finalHeaders["Content-Type"] = "application/json";</w:t>
            </w:r>
            <w:r>
              <w:br/>
            </w:r>
            <w:r>
              <w:rPr>
                <w:rFonts w:ascii="Consolas" w:hAnsi="Consolas"/>
                <w:color w:val="E2E8F0"/>
                <w:sz w:val="17"/>
              </w:rPr>
              <w:t xml:space="preserve">    body = JSON.stringify(body);</w:t>
            </w:r>
            <w:r>
              <w:br/>
            </w:r>
            <w:r>
              <w:rPr>
                <w:rFonts w:ascii="Consolas" w:hAnsi="Consolas"/>
                <w:color w:val="E2E8F0"/>
                <w:sz w:val="17"/>
              </w:rPr>
              <w:t xml:space="preserve">  }</w:t>
            </w:r>
            <w:r>
              <w:br/>
            </w:r>
            <w:r>
              <w:rPr>
                <w:rFonts w:ascii="Consolas" w:hAnsi="Consolas"/>
                <w:color w:val="E2E8F0"/>
                <w:sz w:val="17"/>
              </w:rPr>
              <w:t xml:space="preserve">  const res = await fetch(`${BASE}${path}`, { method, headers: finalHeaders, body });</w:t>
            </w:r>
            <w:r>
              <w:br/>
            </w:r>
            <w:r>
              <w:rPr>
                <w:rFonts w:ascii="Consolas" w:hAnsi="Consolas"/>
                <w:color w:val="E2E8F0"/>
                <w:sz w:val="17"/>
              </w:rPr>
              <w:t xml:space="preserve">  if (res.status === 401) { emitUnauthorized(); throw new ApiError("Sesión expirada", {status:401}); }</w:t>
            </w:r>
            <w:r>
              <w:br/>
            </w:r>
            <w:r>
              <w:rPr>
                <w:rFonts w:ascii="Consolas" w:hAnsi="Consolas"/>
                <w:color w:val="E2E8F0"/>
                <w:sz w:val="17"/>
              </w:rPr>
              <w:t xml:space="preserve">  const data = await res.json().catch(() =&gt; null);</w:t>
            </w:r>
            <w:r>
              <w:br/>
            </w:r>
            <w:r>
              <w:rPr>
                <w:rFonts w:ascii="Consolas" w:hAnsi="Consolas"/>
                <w:color w:val="E2E8F0"/>
                <w:sz w:val="17"/>
              </w:rPr>
              <w:t xml:space="preserve">  if (!res.ok) throw new ApiError(data?.detail || "Error", { status: res.status, data });</w:t>
            </w:r>
            <w:r>
              <w:br/>
            </w:r>
            <w:r>
              <w:rPr>
                <w:rFonts w:ascii="Consolas" w:hAnsi="Consolas"/>
                <w:color w:val="E2E8F0"/>
                <w:sz w:val="17"/>
              </w:rPr>
              <w:t xml:space="preserve">  return data;</w:t>
            </w:r>
            <w:r>
              <w:br/>
            </w:r>
            <w:r>
              <w:rPr>
                <w:rFonts w:ascii="Consolas" w:hAnsi="Consolas"/>
                <w:color w:val="E2E8F0"/>
                <w:sz w:val="17"/>
              </w:rPr>
              <w:t>}</w:t>
            </w:r>
          </w:p>
        </w:tc>
      </w:tr>
    </w:tbl>
    <w:p>
      <w:pPr>
        <w:spacing w:after="40"/>
      </w:pPr>
    </w:p>
    <w:p>
      <w:r>
        <w:br w:type="page"/>
      </w:r>
    </w:p>
    <w:p>
      <w:pPr>
        <w:pStyle w:val="Heading1"/>
        <w:spacing w:before="280"/>
      </w:pPr>
      <w:r>
        <w:rPr>
          <w:color w:val="4F46E5"/>
          <w:sz w:val="36"/>
        </w:rPr>
        <w:t>8. Resultados: interfaz construida</w:t>
      </w:r>
    </w:p>
    <w:p>
      <w:r>
        <w:rPr>
          <w:b w:val="0"/>
          <w:i w:val="0"/>
          <w:sz w:val="22"/>
        </w:rPr>
        <w:t>Esta sección presenta la interfaz final del sistema mediante capturas tomadas directamente de la aplicación en ejecución, organizadas por portal.</w:t>
      </w:r>
    </w:p>
    <w:p>
      <w:pPr>
        <w:pStyle w:val="Heading2"/>
      </w:pPr>
      <w:r>
        <w:rPr>
          <w:color w:val="1E293B"/>
          <w:sz w:val="28"/>
        </w:rPr>
        <w:t>8.1 Sitio público</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577840" cy="3486150"/>
                    </a:xfrm>
                    <a:prstGeom prst="rect"/>
                  </pic:spPr>
                </pic:pic>
              </a:graphicData>
            </a:graphic>
          </wp:inline>
        </w:drawing>
      </w:r>
    </w:p>
    <w:p>
      <w:pPr>
        <w:jc w:val="center"/>
      </w:pPr>
      <w:r>
        <w:rPr>
          <w:i/>
          <w:color w:val="64748B"/>
          <w:sz w:val="18"/>
        </w:rPr>
        <w:t>Figura 1. Página de inicio (landing): propuesta de valor y suscripción al boletín «Mantente al día».</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_login_docente.png"/>
                    <pic:cNvPicPr/>
                  </pic:nvPicPr>
                  <pic:blipFill>
                    <a:blip r:embed="rId10"/>
                    <a:stretch>
                      <a:fillRect/>
                    </a:stretch>
                  </pic:blipFill>
                  <pic:spPr>
                    <a:xfrm>
                      <a:off x="0" y="0"/>
                      <a:ext cx="5577840" cy="3486150"/>
                    </a:xfrm>
                    <a:prstGeom prst="rect"/>
                  </pic:spPr>
                </pic:pic>
              </a:graphicData>
            </a:graphic>
          </wp:inline>
        </w:drawing>
      </w:r>
    </w:p>
    <w:p>
      <w:pPr>
        <w:jc w:val="center"/>
      </w:pPr>
      <w:r>
        <w:rPr>
          <w:i/>
          <w:color w:val="64748B"/>
          <w:sz w:val="18"/>
        </w:rPr>
        <w:t>Figura 2. Inicio de sesión — Portal del Docente (usuario y contraseña).</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_login_estudiante.png"/>
                    <pic:cNvPicPr/>
                  </pic:nvPicPr>
                  <pic:blipFill>
                    <a:blip r:embed="rId11"/>
                    <a:stretch>
                      <a:fillRect/>
                    </a:stretch>
                  </pic:blipFill>
                  <pic:spPr>
                    <a:xfrm>
                      <a:off x="0" y="0"/>
                      <a:ext cx="5577840" cy="3486150"/>
                    </a:xfrm>
                    <a:prstGeom prst="rect"/>
                  </pic:spPr>
                </pic:pic>
              </a:graphicData>
            </a:graphic>
          </wp:inline>
        </w:drawing>
      </w:r>
    </w:p>
    <w:p>
      <w:pPr>
        <w:jc w:val="center"/>
      </w:pPr>
      <w:r>
        <w:rPr>
          <w:i/>
          <w:color w:val="64748B"/>
          <w:sz w:val="18"/>
        </w:rPr>
        <w:t>Figura 3. Inicio de sesión — Portal del Estudiante (número de documento).</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_sobre_nosotros.png"/>
                    <pic:cNvPicPr/>
                  </pic:nvPicPr>
                  <pic:blipFill>
                    <a:blip r:embed="rId12"/>
                    <a:stretch>
                      <a:fillRect/>
                    </a:stretch>
                  </pic:blipFill>
                  <pic:spPr>
                    <a:xfrm>
                      <a:off x="0" y="0"/>
                      <a:ext cx="5577840" cy="3486150"/>
                    </a:xfrm>
                    <a:prstGeom prst="rect"/>
                  </pic:spPr>
                </pic:pic>
              </a:graphicData>
            </a:graphic>
          </wp:inline>
        </w:drawing>
      </w:r>
    </w:p>
    <w:p>
      <w:pPr>
        <w:jc w:val="center"/>
      </w:pPr>
      <w:r>
        <w:rPr>
          <w:i/>
          <w:color w:val="64748B"/>
          <w:sz w:val="18"/>
        </w:rPr>
        <w:t>Figura 4. Sección institucional «Sobre nosotros».</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_cursos.png"/>
                    <pic:cNvPicPr/>
                  </pic:nvPicPr>
                  <pic:blipFill>
                    <a:blip r:embed="rId13"/>
                    <a:stretch>
                      <a:fillRect/>
                    </a:stretch>
                  </pic:blipFill>
                  <pic:spPr>
                    <a:xfrm>
                      <a:off x="0" y="0"/>
                      <a:ext cx="5577840" cy="3486150"/>
                    </a:xfrm>
                    <a:prstGeom prst="rect"/>
                  </pic:spPr>
                </pic:pic>
              </a:graphicData>
            </a:graphic>
          </wp:inline>
        </w:drawing>
      </w:r>
    </w:p>
    <w:p>
      <w:pPr>
        <w:jc w:val="center"/>
      </w:pPr>
      <w:r>
        <w:rPr>
          <w:i/>
          <w:color w:val="64748B"/>
          <w:sz w:val="18"/>
        </w:rPr>
        <w:t>Figura 5. Sección «Cursos».</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6_precios.png"/>
                    <pic:cNvPicPr/>
                  </pic:nvPicPr>
                  <pic:blipFill>
                    <a:blip r:embed="rId14"/>
                    <a:stretch>
                      <a:fillRect/>
                    </a:stretch>
                  </pic:blipFill>
                  <pic:spPr>
                    <a:xfrm>
                      <a:off x="0" y="0"/>
                      <a:ext cx="5577840" cy="3486150"/>
                    </a:xfrm>
                    <a:prstGeom prst="rect"/>
                  </pic:spPr>
                </pic:pic>
              </a:graphicData>
            </a:graphic>
          </wp:inline>
        </w:drawing>
      </w:r>
    </w:p>
    <w:p>
      <w:pPr>
        <w:jc w:val="center"/>
      </w:pPr>
      <w:r>
        <w:rPr>
          <w:i/>
          <w:color w:val="64748B"/>
          <w:sz w:val="18"/>
        </w:rPr>
        <w:t>Figura 6. Sección «Precios».</w:t>
      </w:r>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7_guia.png"/>
                    <pic:cNvPicPr/>
                  </pic:nvPicPr>
                  <pic:blipFill>
                    <a:blip r:embed="rId15"/>
                    <a:stretch>
                      <a:fillRect/>
                    </a:stretch>
                  </pic:blipFill>
                  <pic:spPr>
                    <a:xfrm>
                      <a:off x="0" y="0"/>
                      <a:ext cx="5577840" cy="3486150"/>
                    </a:xfrm>
                    <a:prstGeom prst="rect"/>
                  </pic:spPr>
                </pic:pic>
              </a:graphicData>
            </a:graphic>
          </wp:inline>
        </w:drawing>
      </w:r>
    </w:p>
    <w:p>
      <w:pPr>
        <w:jc w:val="center"/>
      </w:pPr>
      <w:r>
        <w:rPr>
          <w:i/>
          <w:color w:val="64748B"/>
          <w:sz w:val="18"/>
        </w:rPr>
        <w:t>Figura 7. Sección «Guía» de uso de la plataforma.</w:t>
      </w:r>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8_contacto.png"/>
                    <pic:cNvPicPr/>
                  </pic:nvPicPr>
                  <pic:blipFill>
                    <a:blip r:embed="rId16"/>
                    <a:stretch>
                      <a:fillRect/>
                    </a:stretch>
                  </pic:blipFill>
                  <pic:spPr>
                    <a:xfrm>
                      <a:off x="0" y="0"/>
                      <a:ext cx="5577840" cy="3486150"/>
                    </a:xfrm>
                    <a:prstGeom prst="rect"/>
                  </pic:spPr>
                </pic:pic>
              </a:graphicData>
            </a:graphic>
          </wp:inline>
        </w:drawing>
      </w:r>
    </w:p>
    <w:p>
      <w:pPr>
        <w:jc w:val="center"/>
      </w:pPr>
      <w:r>
        <w:rPr>
          <w:i/>
          <w:color w:val="64748B"/>
          <w:sz w:val="18"/>
        </w:rPr>
        <w:t>Figura 8. Sección «Contacto».</w:t>
      </w:r>
    </w:p>
    <w:p>
      <w:pPr>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09_demo.png"/>
                    <pic:cNvPicPr/>
                  </pic:nvPicPr>
                  <pic:blipFill>
                    <a:blip r:embed="rId17"/>
                    <a:stretch>
                      <a:fillRect/>
                    </a:stretch>
                  </pic:blipFill>
                  <pic:spPr>
                    <a:xfrm>
                      <a:off x="0" y="0"/>
                      <a:ext cx="5577840" cy="3486150"/>
                    </a:xfrm>
                    <a:prstGeom prst="rect"/>
                  </pic:spPr>
                </pic:pic>
              </a:graphicData>
            </a:graphic>
          </wp:inline>
        </w:drawing>
      </w:r>
    </w:p>
    <w:p>
      <w:pPr>
        <w:jc w:val="center"/>
      </w:pPr>
      <w:r>
        <w:rPr>
          <w:i/>
          <w:color w:val="64748B"/>
          <w:sz w:val="18"/>
        </w:rPr>
        <w:t>Figura 9. Demostración animada del flujo de calificación.</w:t>
      </w:r>
    </w:p>
    <w:p>
      <w:pPr>
        <w:pStyle w:val="Heading2"/>
      </w:pPr>
      <w:r>
        <w:rPr>
          <w:color w:val="1E293B"/>
          <w:sz w:val="28"/>
        </w:rPr>
        <w:t>8.2 Portal del Docente</w:t>
      </w:r>
    </w:p>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10_docente_notas.png"/>
                    <pic:cNvPicPr/>
                  </pic:nvPicPr>
                  <pic:blipFill>
                    <a:blip r:embed="rId18"/>
                    <a:stretch>
                      <a:fillRect/>
                    </a:stretch>
                  </pic:blipFill>
                  <pic:spPr>
                    <a:xfrm>
                      <a:off x="0" y="0"/>
                      <a:ext cx="5577840" cy="3486150"/>
                    </a:xfrm>
                    <a:prstGeom prst="rect"/>
                  </pic:spPr>
                </pic:pic>
              </a:graphicData>
            </a:graphic>
          </wp:inline>
        </w:drawing>
      </w:r>
    </w:p>
    <w:p>
      <w:pPr>
        <w:jc w:val="center"/>
      </w:pPr>
      <w:r>
        <w:rPr>
          <w:i/>
          <w:color w:val="64748B"/>
          <w:sz w:val="18"/>
        </w:rPr>
        <w:t>Figura 10. Pestaña «Notas»: tablero de calificaciones por dimensión (Saber/Hacer/Ser), promedio y riesgo.</w:t>
      </w:r>
    </w:p>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11_docente_calificar.png"/>
                    <pic:cNvPicPr/>
                  </pic:nvPicPr>
                  <pic:blipFill>
                    <a:blip r:embed="rId19"/>
                    <a:stretch>
                      <a:fillRect/>
                    </a:stretch>
                  </pic:blipFill>
                  <pic:spPr>
                    <a:xfrm>
                      <a:off x="0" y="0"/>
                      <a:ext cx="5577840" cy="3486150"/>
                    </a:xfrm>
                    <a:prstGeom prst="rect"/>
                  </pic:spPr>
                </pic:pic>
              </a:graphicData>
            </a:graphic>
          </wp:inline>
        </w:drawing>
      </w:r>
    </w:p>
    <w:p>
      <w:pPr>
        <w:jc w:val="center"/>
      </w:pPr>
      <w:r>
        <w:rPr>
          <w:i/>
          <w:color w:val="64748B"/>
          <w:sz w:val="18"/>
        </w:rPr>
        <w:t>Figura 11. Pestaña «Calificar»: Calificador Masivo con Lector OMR e IA Gemini, selección de periodo y materia.</w:t>
      </w:r>
    </w:p>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12_docente_calendario.png"/>
                    <pic:cNvPicPr/>
                  </pic:nvPicPr>
                  <pic:blipFill>
                    <a:blip r:embed="rId20"/>
                    <a:stretch>
                      <a:fillRect/>
                    </a:stretch>
                  </pic:blipFill>
                  <pic:spPr>
                    <a:xfrm>
                      <a:off x="0" y="0"/>
                      <a:ext cx="5577840" cy="3486150"/>
                    </a:xfrm>
                    <a:prstGeom prst="rect"/>
                  </pic:spPr>
                </pic:pic>
              </a:graphicData>
            </a:graphic>
          </wp:inline>
        </w:drawing>
      </w:r>
    </w:p>
    <w:p>
      <w:pPr>
        <w:jc w:val="center"/>
      </w:pPr>
      <w:r>
        <w:rPr>
          <w:i/>
          <w:color w:val="64748B"/>
          <w:sz w:val="18"/>
        </w:rPr>
        <w:t>Figura 12. Pestaña «Calendario»: gestión de eventos académicos por grado y grupo.</w:t>
      </w:r>
    </w:p>
    <w:p>
      <w:pPr>
        <w:pStyle w:val="Heading2"/>
      </w:pPr>
      <w:r>
        <w:rPr>
          <w:color w:val="1E293B"/>
          <w:sz w:val="28"/>
        </w:rPr>
        <w:t>8.3 Portal del Estudiante</w:t>
      </w:r>
    </w:p>
    <w:p>
      <w:pPr>
        <w:jc w:val="center"/>
      </w:pPr>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13_estudiante_dashboard.png"/>
                    <pic:cNvPicPr/>
                  </pic:nvPicPr>
                  <pic:blipFill>
                    <a:blip r:embed="rId21"/>
                    <a:stretch>
                      <a:fillRect/>
                    </a:stretch>
                  </pic:blipFill>
                  <pic:spPr>
                    <a:xfrm>
                      <a:off x="0" y="0"/>
                      <a:ext cx="5577840" cy="3486150"/>
                    </a:xfrm>
                    <a:prstGeom prst="rect"/>
                  </pic:spPr>
                </pic:pic>
              </a:graphicData>
            </a:graphic>
          </wp:inline>
        </w:drawing>
      </w:r>
    </w:p>
    <w:p>
      <w:pPr>
        <w:jc w:val="center"/>
      </w:pPr>
      <w:r>
        <w:rPr>
          <w:i/>
          <w:color w:val="64748B"/>
          <w:sz w:val="18"/>
        </w:rPr>
        <w:t>Figura 13. Tablero del estudiante: promedio general, evolución del promedio por periodo y próximos eventos.</w:t>
      </w:r>
    </w:p>
    <w:p>
      <w:pPr>
        <w:jc w:val="center"/>
      </w:pPr>
      <w:r>
        <w:drawing>
          <wp:inline xmlns:a="http://schemas.openxmlformats.org/drawingml/2006/main" xmlns:pic="http://schemas.openxmlformats.org/drawingml/2006/picture">
            <wp:extent cx="5577840" cy="3486150"/>
            <wp:docPr id="14" name="Picture 14"/>
            <wp:cNvGraphicFramePr>
              <a:graphicFrameLocks noChangeAspect="1"/>
            </wp:cNvGraphicFramePr>
            <a:graphic>
              <a:graphicData uri="http://schemas.openxmlformats.org/drawingml/2006/picture">
                <pic:pic>
                  <pic:nvPicPr>
                    <pic:cNvPr id="0" name="14_estudiante_periodo.png"/>
                    <pic:cNvPicPr/>
                  </pic:nvPicPr>
                  <pic:blipFill>
                    <a:blip r:embed="rId22"/>
                    <a:stretch>
                      <a:fillRect/>
                    </a:stretch>
                  </pic:blipFill>
                  <pic:spPr>
                    <a:xfrm>
                      <a:off x="0" y="0"/>
                      <a:ext cx="5577840" cy="3486150"/>
                    </a:xfrm>
                    <a:prstGeom prst="rect"/>
                  </pic:spPr>
                </pic:pic>
              </a:graphicData>
            </a:graphic>
          </wp:inline>
        </w:drawing>
      </w:r>
    </w:p>
    <w:p>
      <w:pPr>
        <w:jc w:val="center"/>
      </w:pPr>
      <w:r>
        <w:rPr>
          <w:i/>
          <w:color w:val="64748B"/>
          <w:sz w:val="18"/>
        </w:rPr>
        <w:t>Figura 14. Detalle por periodo: exámenes calificados con OMR que aparecen automáticamente en el periodo.</w:t>
      </w:r>
    </w:p>
    <w:p>
      <w:pPr>
        <w:jc w:val="center"/>
      </w:pPr>
      <w:r>
        <w:drawing>
          <wp:inline xmlns:a="http://schemas.openxmlformats.org/drawingml/2006/main" xmlns:pic="http://schemas.openxmlformats.org/drawingml/2006/picture">
            <wp:extent cx="5577840" cy="3486150"/>
            <wp:docPr id="15" name="Picture 15"/>
            <wp:cNvGraphicFramePr>
              <a:graphicFrameLocks noChangeAspect="1"/>
            </wp:cNvGraphicFramePr>
            <a:graphic>
              <a:graphicData uri="http://schemas.openxmlformats.org/drawingml/2006/picture">
                <pic:pic>
                  <pic:nvPicPr>
                    <pic:cNvPr id="0" name="15_estudiante_mensajes.png"/>
                    <pic:cNvPicPr/>
                  </pic:nvPicPr>
                  <pic:blipFill>
                    <a:blip r:embed="rId23"/>
                    <a:stretch>
                      <a:fillRect/>
                    </a:stretch>
                  </pic:blipFill>
                  <pic:spPr>
                    <a:xfrm>
                      <a:off x="0" y="0"/>
                      <a:ext cx="5577840" cy="3486150"/>
                    </a:xfrm>
                    <a:prstGeom prst="rect"/>
                  </pic:spPr>
                </pic:pic>
              </a:graphicData>
            </a:graphic>
          </wp:inline>
        </w:drawing>
      </w:r>
    </w:p>
    <w:p>
      <w:pPr>
        <w:jc w:val="center"/>
      </w:pPr>
      <w:r>
        <w:rPr>
          <w:i/>
          <w:color w:val="64748B"/>
          <w:sz w:val="18"/>
        </w:rPr>
        <w:t>Figura 15. Mensajería con el docente en tiempo real.</w:t>
      </w:r>
    </w:p>
    <w:p>
      <w:r>
        <w:br w:type="page"/>
      </w:r>
    </w:p>
    <w:p>
      <w:pPr>
        <w:pStyle w:val="Heading1"/>
        <w:spacing w:before="280"/>
      </w:pPr>
      <w:r>
        <w:rPr>
          <w:color w:val="4F46E5"/>
          <w:sz w:val="36"/>
        </w:rPr>
        <w:t>9. Pruebas y verificación</w:t>
      </w:r>
    </w:p>
    <w:p>
      <w:r>
        <w:rPr>
          <w:b w:val="0"/>
          <w:i w:val="0"/>
          <w:sz w:val="22"/>
        </w:rPr>
        <w:t>Cada funcionalidad se verificó de extremo a extremo (E2E) contra el sistema en ejecución. Las pruebas más relevantes del módulo de calificación fueron:</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tcPr>
          <w:p>
            <w:r>
              <w:rPr>
                <w:b/>
                <w:sz w:val="19"/>
              </w:rPr>
              <w:t>Caso de prueba</w:t>
            </w:r>
          </w:p>
        </w:tc>
        <w:tc>
          <w:tcPr>
            <w:tcW w:type="dxa" w:w="3744"/>
          </w:tcPr>
          <w:p>
            <w:r>
              <w:rPr>
                <w:b/>
                <w:sz w:val="19"/>
              </w:rPr>
              <w:t>Resultado esperado</w:t>
            </w:r>
          </w:p>
        </w:tc>
        <w:tc>
          <w:tcPr>
            <w:tcW w:type="dxa" w:w="1440"/>
          </w:tcPr>
          <w:p>
            <w:r>
              <w:rPr>
                <w:b/>
                <w:sz w:val="19"/>
              </w:rPr>
              <w:t>Estado</w:t>
            </w:r>
          </w:p>
        </w:tc>
      </w:tr>
      <w:tr>
        <w:tc>
          <w:tcPr>
            <w:tcW w:type="dxa" w:w="3888"/>
          </w:tcPr>
          <w:p>
            <w:r>
              <w:rPr>
                <w:sz w:val="19"/>
              </w:rPr>
              <w:t>Lectura OMR de una hoja</w:t>
            </w:r>
          </w:p>
        </w:tc>
        <w:tc>
          <w:tcPr>
            <w:tcW w:type="dxa" w:w="3744"/>
          </w:tcPr>
          <w:p>
            <w:r>
              <w:rPr>
                <w:sz w:val="19"/>
              </w:rPr>
              <w:t>Lee 25/25 respuestas y calcula la nota.</w:t>
            </w:r>
          </w:p>
        </w:tc>
        <w:tc>
          <w:tcPr>
            <w:tcW w:type="dxa" w:w="1440"/>
          </w:tcPr>
          <w:p>
            <w:r>
              <w:rPr>
                <w:sz w:val="19"/>
              </w:rPr>
              <w:t>✔ Correcto</w:t>
            </w:r>
          </w:p>
        </w:tc>
      </w:tr>
      <w:tr>
        <w:tc>
          <w:tcPr>
            <w:tcW w:type="dxa" w:w="3888"/>
          </w:tcPr>
          <w:p>
            <w:r>
              <w:rPr>
                <w:sz w:val="19"/>
              </w:rPr>
              <w:t>Identificación por nombre (exacto)</w:t>
            </w:r>
          </w:p>
        </w:tc>
        <w:tc>
          <w:tcPr>
            <w:tcW w:type="dxa" w:w="3744"/>
          </w:tcPr>
          <w:p>
            <w:r>
              <w:rPr>
                <w:sz w:val="19"/>
              </w:rPr>
              <w:t>Asigna la hoja al estudiante correcto.</w:t>
            </w:r>
          </w:p>
        </w:tc>
        <w:tc>
          <w:tcPr>
            <w:tcW w:type="dxa" w:w="1440"/>
          </w:tcPr>
          <w:p>
            <w:r>
              <w:rPr>
                <w:sz w:val="19"/>
              </w:rPr>
              <w:t>✔ Correcto</w:t>
            </w:r>
          </w:p>
        </w:tc>
      </w:tr>
      <w:tr>
        <w:tc>
          <w:tcPr>
            <w:tcW w:type="dxa" w:w="3888"/>
          </w:tcPr>
          <w:p>
            <w:r>
              <w:rPr>
                <w:sz w:val="19"/>
              </w:rPr>
              <w:t>Identificación por nombre (con error/tilde)</w:t>
            </w:r>
          </w:p>
        </w:tc>
        <w:tc>
          <w:tcPr>
            <w:tcW w:type="dxa" w:w="3744"/>
          </w:tcPr>
          <w:p>
            <w:r>
              <w:rPr>
                <w:sz w:val="19"/>
              </w:rPr>
              <w:t>Empareja pese a minúsculas/acentos.</w:t>
            </w:r>
          </w:p>
        </w:tc>
        <w:tc>
          <w:tcPr>
            <w:tcW w:type="dxa" w:w="1440"/>
          </w:tcPr>
          <w:p>
            <w:r>
              <w:rPr>
                <w:sz w:val="19"/>
              </w:rPr>
              <w:t>✔ Correcto</w:t>
            </w:r>
          </w:p>
        </w:tc>
      </w:tr>
      <w:tr>
        <w:tc>
          <w:tcPr>
            <w:tcW w:type="dxa" w:w="3888"/>
          </w:tcPr>
          <w:p>
            <w:r>
              <w:rPr>
                <w:sz w:val="19"/>
              </w:rPr>
              <w:t>Guardado en el periodo elegido</w:t>
            </w:r>
          </w:p>
        </w:tc>
        <w:tc>
          <w:tcPr>
            <w:tcW w:type="dxa" w:w="3744"/>
          </w:tcPr>
          <w:p>
            <w:r>
              <w:rPr>
                <w:sz w:val="19"/>
              </w:rPr>
              <w:t>El examen aparece en el detalle del periodo.</w:t>
            </w:r>
          </w:p>
        </w:tc>
        <w:tc>
          <w:tcPr>
            <w:tcW w:type="dxa" w:w="1440"/>
          </w:tcPr>
          <w:p>
            <w:r>
              <w:rPr>
                <w:sz w:val="19"/>
              </w:rPr>
              <w:t>✔ Correcto</w:t>
            </w:r>
          </w:p>
        </w:tc>
      </w:tr>
      <w:tr>
        <w:tc>
          <w:tcPr>
            <w:tcW w:type="dxa" w:w="3888"/>
          </w:tcPr>
          <w:p>
            <w:r>
              <w:rPr>
                <w:sz w:val="19"/>
              </w:rPr>
              <w:t>Aislamiento entre periodos</w:t>
            </w:r>
          </w:p>
        </w:tc>
        <w:tc>
          <w:tcPr>
            <w:tcW w:type="dxa" w:w="3744"/>
          </w:tcPr>
          <w:p>
            <w:r>
              <w:rPr>
                <w:sz w:val="19"/>
              </w:rPr>
              <w:t>El examen no aparece en otros periodos.</w:t>
            </w:r>
          </w:p>
        </w:tc>
        <w:tc>
          <w:tcPr>
            <w:tcW w:type="dxa" w:w="1440"/>
          </w:tcPr>
          <w:p>
            <w:r>
              <w:rPr>
                <w:sz w:val="19"/>
              </w:rPr>
              <w:t>✔ Correcto</w:t>
            </w:r>
          </w:p>
        </w:tc>
      </w:tr>
      <w:tr>
        <w:tc>
          <w:tcPr>
            <w:tcW w:type="dxa" w:w="3888"/>
          </w:tcPr>
          <w:p>
            <w:r>
              <w:rPr>
                <w:sz w:val="19"/>
              </w:rPr>
              <w:t>Suscripción al boletín</w:t>
            </w:r>
          </w:p>
        </w:tc>
        <w:tc>
          <w:tcPr>
            <w:tcW w:type="dxa" w:w="3744"/>
          </w:tcPr>
          <w:p>
            <w:r>
              <w:rPr>
                <w:sz w:val="19"/>
              </w:rPr>
              <w:t>Alta, duplicado y correo inválido controlados.</w:t>
            </w:r>
          </w:p>
        </w:tc>
        <w:tc>
          <w:tcPr>
            <w:tcW w:type="dxa" w:w="1440"/>
          </w:tcPr>
          <w:p>
            <w:r>
              <w:rPr>
                <w:sz w:val="19"/>
              </w:rPr>
              <w:t>✔ Correcto</w:t>
            </w:r>
          </w:p>
        </w:tc>
      </w:tr>
    </w:tbl>
    <w:p>
      <w:pPr>
        <w:jc w:val="center"/>
      </w:pPr>
      <w:r>
        <w:rPr>
          <w:i/>
          <w:color w:val="64748B"/>
          <w:sz w:val="18"/>
        </w:rPr>
        <w:t>Tabla 9. Resumen de pruebas E2E del módulo de calificación y boletín.</w:t>
      </w:r>
    </w:p>
    <w:p>
      <w:pPr>
        <w:pStyle w:val="Heading1"/>
        <w:spacing w:before="280"/>
      </w:pPr>
      <w:r>
        <w:rPr>
          <w:color w:val="4F46E5"/>
          <w:sz w:val="36"/>
        </w:rPr>
        <w:t>10. Cronología del desarrollo</w:t>
      </w:r>
    </w:p>
    <w:p>
      <w:r>
        <w:rPr>
          <w:b w:val="0"/>
          <w:i w:val="0"/>
          <w:sz w:val="22"/>
        </w:rPr>
        <w:t>El historial de versiones (control de versiones Git) refleja los incrementos principales del proyecto:</w:t>
      </w:r>
    </w:p>
    <w:tbl>
      <w:tblPr>
        <w:tblStyle w:val="LightGrid-Accent1"/>
        <w:tblW w:type="auto" w:w="0"/>
        <w:jc w:val="center"/>
        <w:tblLook w:firstColumn="1" w:firstRow="1" w:lastColumn="0" w:lastRow="0" w:noHBand="0" w:noVBand="1" w:val="04A0"/>
      </w:tblPr>
      <w:tblGrid>
        <w:gridCol w:w="4320"/>
        <w:gridCol w:w="4320"/>
      </w:tblGrid>
      <w:tr>
        <w:tc>
          <w:tcPr>
            <w:tcW w:type="dxa" w:w="1872"/>
          </w:tcPr>
          <w:p>
            <w:r>
              <w:rPr>
                <w:b/>
                <w:sz w:val="19"/>
              </w:rPr>
              <w:t>Fecha</w:t>
            </w:r>
          </w:p>
        </w:tc>
        <w:tc>
          <w:tcPr>
            <w:tcW w:type="dxa" w:w="7200"/>
          </w:tcPr>
          <w:p>
            <w:r>
              <w:rPr>
                <w:b/>
                <w:sz w:val="19"/>
              </w:rPr>
              <w:t>Hito</w:t>
            </w:r>
          </w:p>
        </w:tc>
      </w:tr>
      <w:tr>
        <w:tc>
          <w:tcPr>
            <w:tcW w:type="dxa" w:w="1872"/>
          </w:tcPr>
          <w:p>
            <w:r>
              <w:rPr>
                <w:sz w:val="19"/>
              </w:rPr>
              <w:t>30/04/2026</w:t>
            </w:r>
          </w:p>
        </w:tc>
        <w:tc>
          <w:tcPr>
            <w:tcW w:type="dxa" w:w="7200"/>
          </w:tcPr>
          <w:p>
            <w:r>
              <w:rPr>
                <w:sz w:val="19"/>
              </w:rPr>
              <w:t>Estado base v2.1 e instrucciones de reversión (RESTORE.md).</w:t>
            </w:r>
          </w:p>
        </w:tc>
      </w:tr>
      <w:tr>
        <w:tc>
          <w:tcPr>
            <w:tcW w:type="dxa" w:w="1872"/>
          </w:tcPr>
          <w:p>
            <w:r>
              <w:rPr>
                <w:sz w:val="19"/>
              </w:rPr>
              <w:t>20/05/2026</w:t>
            </w:r>
          </w:p>
        </w:tc>
        <w:tc>
          <w:tcPr>
            <w:tcW w:type="dxa" w:w="7200"/>
          </w:tcPr>
          <w:p>
            <w:r>
              <w:rPr>
                <w:sz w:val="19"/>
              </w:rPr>
              <w:t>Calificador OMR (OpenCV), landing y secciones, demo animada y despliegue.</w:t>
            </w:r>
          </w:p>
        </w:tc>
      </w:tr>
      <w:tr>
        <w:tc>
          <w:tcPr>
            <w:tcW w:type="dxa" w:w="1872"/>
          </w:tcPr>
          <w:p>
            <w:r>
              <w:rPr>
                <w:sz w:val="19"/>
              </w:rPr>
              <w:t>21/05/2026</w:t>
            </w:r>
          </w:p>
        </w:tc>
        <w:tc>
          <w:tcPr>
            <w:tcW w:type="dxa" w:w="7200"/>
          </w:tcPr>
          <w:p>
            <w:r>
              <w:rPr>
                <w:sz w:val="19"/>
              </w:rPr>
              <w:t>Reorganización del portal docente (Notas/Calificar/Calendario) y ayuda contextual.</w:t>
            </w:r>
          </w:p>
        </w:tc>
      </w:tr>
      <w:tr>
        <w:tc>
          <w:tcPr>
            <w:tcW w:type="dxa" w:w="1872"/>
          </w:tcPr>
          <w:p>
            <w:r>
              <w:rPr>
                <w:sz w:val="19"/>
              </w:rPr>
              <w:t>21/05/2026</w:t>
            </w:r>
          </w:p>
        </w:tc>
        <w:tc>
          <w:tcPr>
            <w:tcW w:type="dxa" w:w="7200"/>
          </w:tcPr>
          <w:p>
            <w:r>
              <w:rPr>
                <w:sz w:val="19"/>
              </w:rPr>
              <w:t>Identificación por nombre con IA, selección de periodo y boletín «Mantente al día».</w:t>
            </w:r>
          </w:p>
        </w:tc>
      </w:tr>
    </w:tbl>
    <w:p>
      <w:pPr>
        <w:jc w:val="center"/>
      </w:pPr>
      <w:r>
        <w:rPr>
          <w:i/>
          <w:color w:val="64748B"/>
          <w:sz w:val="18"/>
        </w:rPr>
        <w:t>Tabla 10. Hitos principales del desarrollo (historial Git).</w:t>
      </w:r>
    </w:p>
    <w:p>
      <w:pPr>
        <w:pStyle w:val="Heading1"/>
        <w:spacing w:before="280"/>
      </w:pPr>
      <w:r>
        <w:rPr>
          <w:color w:val="4F46E5"/>
          <w:sz w:val="36"/>
        </w:rPr>
        <w:t>11. Conclusiones</w:t>
      </w:r>
    </w:p>
    <w:p>
      <w:r>
        <w:rPr>
          <w:b w:val="0"/>
          <w:i w:val="0"/>
          <w:sz w:val="22"/>
        </w:rPr>
        <w:t>El proyecto KNOWTIFY cumplió el objetivo de construir una plataforma educativa full-stack que automatiza la calificación y centraliza la gestión académica. La fase de diseño fue decisiva: la arquitectura de tres capas, el modelo de datos basado en entidades claras y el diseño del motor OMR alrededor de una geometría única permitieron construir el sistema de forma incremental y verificable.</w:t>
      </w:r>
    </w:p>
    <w:p>
      <w:r>
        <w:rPr>
          <w:b w:val="0"/>
          <w:i w:val="0"/>
          <w:sz w:val="22"/>
        </w:rPr>
        <w:t>Entre los logros de diseño más destacados se encuentran la identificación automática del estudiante por nombre mediante IA de visión —que elimina trabajo manual sin sacrificar robustez— y la integración coherente de la calificación con el seguimiento del desempeño del estudiante. El sistema queda preparado para crecer con nuevos módulos gracias al desacople entre frontend y backend y al cliente HTTP central.</w:t>
      </w:r>
    </w:p>
    <w:p>
      <w:r>
        <w:rPr>
          <w:b w:val="0"/>
          <w:i w:val="0"/>
          <w:sz w:val="22"/>
        </w:rPr>
      </w:r>
    </w:p>
    <w:p>
      <w:pPr>
        <w:jc w:val="center"/>
      </w:pPr>
      <w:r>
        <w:rPr>
          <w:i/>
          <w:color w:val="64748B"/>
        </w:rPr>
        <w:t>— Fin del informe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