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Group 6 | Basket Optimizer | 28 October 2026</w:t>
      </w:r>
    </w:p>
    <w:p>
      <w:pPr>
        <w:pStyle w:val="Title"/>
      </w:pPr>
      <w:r>
        <w:t>Work 3 Benchmark plan</w:t>
      </w:r>
    </w:p>
    <w:p>
      <w:r>
        <w:t>Can the system suggest a usable replacement with a better environmental score, without reducing protein? We will test the first suggestion on 30 product requests. This benchmark measures substitution quality before testing complete baskets.</w:t>
      </w:r>
    </w:p>
    <w:p>
      <w:pPr>
        <w:pStyle w:val="Heading1"/>
      </w:pPr>
      <w:r>
        <w:t>Primary metric</w:t>
      </w:r>
    </w:p>
    <w:p>
      <w:r>
        <w:t>Successful first suggestion rate = successful requests / 30. A request succeeds only if the first suggestion is judged an acceptable substitute, has a strictly higher France-context environmental score, and provides at least the original protein for the same quantity. An abstention, unchanged product, missing required value or failed condition scores zero. Report the count as well as the percentage; one request is 3.3 percentage points.</w:t>
      </w:r>
    </w:p>
    <w:p>
      <w:pPr>
        <w:pStyle w:val="Heading1"/>
      </w:pPr>
      <w:r>
        <w:t>Evaluation set</w:t>
      </w:r>
    </w:p>
    <w:p>
      <w:r>
        <w:t>Reserve 10 original products from each of three families: yogurts, breakfast cereals and plant-based milk alternatives. Use a 100 g or 100 ml portion on a verified compatible basis, with at most one change. Screen the catalog for ingredients, normalized protein and a France-context score. Group duplicate variants first, reserve test product groups before training, then sample originals with seed 20261028. Reserve all candidate groups used in the test as well; products may recur across test requests but cannot enter training or validation.</w:t>
      </w:r>
    </w:p>
    <w:p>
      <w:r>
        <w:t>The raw-data screen found 93 yogurts, 29 breakfast cereals and 20 plant-based milk alternatives with ingredients, g/ml product units, three nonnegative numeric nutrient values and a France-context score. These are overlapping source-tag counts, not eligible test cases. Confirm units, nutrient basis and distinct product counts before freezing the set. Record exclusions and do not select only originals with known improvements.</w:t>
      </w:r>
    </w:p>
    <w:p>
      <w:pPr>
        <w:pStyle w:val="Heading1"/>
      </w:pPr>
      <w:r>
        <w:t>How we establish the right answer</w:t>
      </w:r>
    </w:p>
    <w:p>
      <w:r>
        <w:t>Two reviewers independently label every proposed replacement using names, ingredients, format and the stated use: yogurt eaten with a spoon, cereal served with milk, or a drink used with cereal. Ask whether it can replace the original in that use. Reviewers do not see the system name or environmental score. Resolve disagreements before scoring; unresolved cases fail. Check score improvement and protein numerically from normalized source values, not reviewer opinion.</w:t>
      </w:r>
    </w:p>
    <w:p>
      <w:pPr>
        <w:pStyle w:val="Heading1"/>
      </w:pPr>
      <w:r>
        <w:t>Baseline and comparison</w:t>
      </w:r>
    </w:p>
    <w:p>
      <w:r>
        <w:t>The baseline picks the highest-scoring alternative with the same family tag and compatible unit that meets the protein minimum and improves the score; break ties by barcode. If none qualifies, abstain. Run the baseline, frozen encoder and fine-tuned encoder on the same held-out catalog, requests and numeric filters. Model thresholds must be fixed on validation data. Human review is the scoring step, not an extra filter available only to the model.</w:t>
      </w:r>
    </w:p>
    <w:p>
      <w:pPr>
        <w:pStyle w:val="Heading1"/>
      </w:pPr>
      <w:r>
        <w:t>Record and decision</w:t>
      </w:r>
    </w:p>
    <w:p>
      <w:r>
        <w:t>For each request, save original and suggested barcodes, portion, usage context, both scores, protein values, reviewer labels and success/failure reason. Compare each system on the same 30 requests and retain abstentions in the denominator. The fine-tuned system must beat both the category baseline and frozen encoder on successful requests. Report ties and losses; 30 cases are a pilot, not evidence of broad reliability.</w:t>
      </w:r>
    </w:p>
    <w:p>
      <w:pPr>
        <w:pStyle w:val="Heading1"/>
      </w:pPr>
      <w:r>
        <w:t>What is ready</w:t>
      </w:r>
    </w:p>
    <w:p>
      <w:r>
        <w:t>The catalog and basket input flow exist. Normalization, substitution labels and recommendation systems are not built; no benchmark cases have been frozen or scored. Next: normalize the catalog, verify family coverage and freeze the 30 requests. Complete-basket testing follows separately: compare the optimizer with exhaustive enumeration on five tiny baskets, including an infeasible case.</w:t>
      </w:r>
    </w:p>
    <w:sectPr w:rsidR="00FC693F" w:rsidRPr="0006063C" w:rsidSect="00034616">
      <w:pgSz w:w="11909" w:h="16834"/>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47"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7" w:lineRule="auto" w:after="10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6 Work 3 Benchmark plan</dc:title>
  <dc:subject>Thirty held-out product requests and a category-based baseline</dc:subject>
  <dc:creator>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