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PAIBS Group 6 submissions</w:t>
      </w:r>
    </w:p>
    <w:p>
      <w:pPr>
        <w:pStyle w:val="Subtitle"/>
      </w:pPr>
      <w:r>
        <w:t>Session 1 and preparation for Session 2   27 October 2026</w:t>
      </w:r>
    </w:p>
    <w:p>
      <w:r>
        <w:t>This package presents our ratings, five ideas, two annotated system sketches, selected Green Score direction and working tools. A real OFF prototype and evaluation now support the proposal. The remaining factual record to complete is the actual peer challenge and response; it is kept separate from the technical review below.</w:t>
      </w:r>
    </w:p>
    <w:p>
      <w:pPr>
        <w:pStyle w:val="Heading1"/>
      </w:pPr>
      <w:r>
        <w:t>Is this a PAIBS project</w:t>
      </w:r>
    </w:p>
    <w:p>
      <w:r>
        <w:t>Displayed eCampus deadline: 28 October 2026 at 00:00, the night of 27 October.</w:t>
      </w:r>
    </w:p>
    <w:p>
      <w:r>
        <w:t>Group 6 ratings on the 1 to 5 scale. These are the judgments defended in this submission, rather than an official answer key or a reconstructed class vote. [C1 slides 11 and 12]</w:t>
      </w:r>
    </w:p>
    <w:tbl>
      <w:tblPr>
        <w:tblW w:type="auto" w:w="0"/>
        <w:jc w:val="center"/>
        <w:tblLayout w:type="fixed"/>
        <w:tblLook w:firstColumn="1" w:firstRow="1" w:lastColumn="0" w:lastRow="0" w:noHBand="0" w:noVBand="1" w:val="04A0"/>
      </w:tblPr>
      <w:tblGrid>
        <w:gridCol w:w="648"/>
        <w:gridCol w:w="792"/>
        <w:gridCol w:w="8640"/>
      </w:tblGrid>
      <w:tr>
        <w:trPr>
          <w:tblHeade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Idea</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Rating</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Reason</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One prompt with an interface does not demonstrate the required modelling or architecture.</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Infrastructure helps, but there is no usable end to end result.</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5</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 small executable system is the right scope, provided AI performs a meaningful task.</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D</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If a simple rule achieves the same result, the AI adds no justified value.</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An impressive chain still needs evaluation and an explanation of failure modes.</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F</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Technical quality is insufficient if no real decision or problem benefits.</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G</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4</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The wider ingestion, evaluation and interface matter. An external API is a component; the trained model wording in slide 12 should still be addressed.</w:t>
            </w:r>
          </w:p>
        </w:tc>
      </w:tr>
    </w:tbl>
    <w:p>
      <w:pPr>
        <w:spacing w:after="40"/>
      </w:pPr>
    </w:p>
    <w:p>
      <w:r>
        <w:t>Our project follows C: a modest integrated system. It trains classical ML on actual challenge data and compares it with simple alternatives. The live prototype now connects cached OFF data, preprocessing, training, saved outputs and a local review interface. The decisive test is whether the model adds useful information over a category baseline. A functioning model alone does not establish usefulness on products whose scores are missing.</w:t>
      </w:r>
    </w:p>
    <w:p>
      <w:pPr>
        <w:pStyle w:val="Heading1"/>
      </w:pPr>
      <w:r>
        <w:t>Five ideas and two selected candidates</w:t>
      </w:r>
    </w:p>
    <w:p>
      <w:r>
        <w:t>Displayed eCampus deadline: 28 October 2026 at 00:00, the night of 27 October.</w:t>
      </w:r>
    </w:p>
    <w:p>
      <w:r>
        <w:t>The five ideas below are present in the Miro column containing our team names. That visual column is labelled Team 5, while the formal eCampus roster is Group 6. Group 6 is the submission identifier. [C2 and C3]</w:t>
      </w:r>
    </w:p>
    <w:tbl>
      <w:tblPr>
        <w:tblW w:type="auto" w:w="0"/>
        <w:jc w:val="center"/>
        <w:tblLayout w:type="fixed"/>
        <w:tblLook w:firstColumn="1" w:firstRow="1" w:lastColumn="0" w:lastRow="0" w:noHBand="0" w:noVBand="1" w:val="04A0"/>
      </w:tblPr>
      <w:tblGrid>
        <w:gridCol w:w="1757"/>
        <w:gridCol w:w="1584"/>
        <w:gridCol w:w="6739"/>
      </w:tblGrid>
      <w:tr>
        <w:trPr>
          <w:tblHeade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Idea</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User</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Different output and main risk</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Green Score Filler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contributors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Predict a reference environmental score from ingredients and categories, then support review. Measurable regression target; risk of duplicating category averages.</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Green Gains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Athletes comparing protein sources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Compare protein per unit of estimated climate impact. This is a comparison problem; it needs a valid CO2 quantity and unit, not Green Score points as a substitute.</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Origin Parser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Importers and supply chain auditors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Extract structured ingredient origins from multilingual text. Evaluate extracted entities against manually checked examples; country of sale is not ingredient origin.</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Student Athlete Frontier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Students choosing within a budget</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Find Pareto trade offs between observed price, protein and estimated impact. This differs from Green Gains by its budget constraint and optimization output; price coverage is a dependency.</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Cleaner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editors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Use a trained text model to flag category inconsistencies for review. Begin with category mismatch detection; duplicate matching and nutrition anomalies are later extensions.</w:t>
            </w:r>
          </w:p>
        </w:tc>
      </w:tr>
    </w:tbl>
    <w:p>
      <w:pPr>
        <w:spacing w:after="40"/>
      </w:pPr>
    </w:p>
    <w:p>
      <w:r>
        <w:t>Current selection for development: Green Score Filler and Data Cleaner. The first began as missing score estimation; the second tests inconsistencies in existing categories. The first regression experiment did not beat the category baseline, so the final direction below refines Green Score Filler into suggestions for missing categories, with human review. Data Cleaner remains a separate candidate for detecting incorrect existing records. This selection is recorded on 27 October and does not reconstruct the original class vote.</w:t>
      </w:r>
    </w:p>
    <w:p>
      <w:pPr>
        <w:pStyle w:val="Heading2"/>
      </w:pPr>
      <w:r>
        <w:t>Candidate A Green Score category completion and review</w:t>
      </w:r>
    </w:p>
    <w:p>
      <w:r>
        <w:drawing>
          <wp:inline xmlns:a="http://schemas.openxmlformats.org/drawingml/2006/main" xmlns:pic="http://schemas.openxmlformats.org/drawingml/2006/picture">
            <wp:extent cx="6355080" cy="932078"/>
            <wp:docPr id="1" name="Picture 1" descr="System pipeline from data through processing and model to review output and contributor action"/>
            <wp:cNvGraphicFramePr>
              <a:graphicFrameLocks noChangeAspect="1"/>
            </wp:cNvGraphicFramePr>
            <a:graphic>
              <a:graphicData uri="http://schemas.openxmlformats.org/drawingml/2006/picture">
                <pic:pic>
                  <pic:nvPicPr>
                    <pic:cNvPr id="0" name="sketch-a.png"/>
                    <pic:cNvPicPr/>
                  </pic:nvPicPr>
                  <pic:blipFill>
                    <a:blip r:embed="rId9"/>
                    <a:stretch>
                      <a:fillRect/>
                    </a:stretch>
                  </pic:blipFill>
                  <pic:spPr>
                    <a:xfrm>
                      <a:off x="0" y="0"/>
                      <a:ext cx="6355080" cy="932078"/>
                    </a:xfrm>
                    <a:prstGeom prst="rect"/>
                  </pic:spPr>
                </pic:pic>
              </a:graphicData>
            </a:graphic>
          </wp:inline>
        </w:drawing>
      </w:r>
    </w:p>
    <w:p>
      <w:r>
        <w:t>E means an existing component. B means the team is responsible for building it; the status says whether it is implemented. The experience column distinguishes current evidence from prior human experience, which each member must record.</w:t>
      </w:r>
    </w:p>
    <w:tbl>
      <w:tblPr>
        <w:tblW w:type="auto" w:w="0"/>
        <w:jc w:val="center"/>
        <w:tblLayout w:type="fixed"/>
        <w:tblLook w:firstColumn="1" w:firstRow="1" w:lastColumn="0" w:lastRow="0" w:noHBand="0" w:noVBand="1" w:val="04A0"/>
      </w:tblPr>
      <w:tblGrid>
        <w:gridCol w:w="1512"/>
        <w:gridCol w:w="835"/>
        <w:gridCol w:w="3773"/>
        <w:gridCol w:w="396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Component</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 or B</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Implementation and knowledge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Experience and principal risk</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snapshot</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Pinned public Parquet; selected fields and licence recorded. Databases and data handling.</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access demonstrated. Team member prior experience still to be recorded. Risk: missing labels or unusable inputs.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Preprocessing</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done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Parse multilingual text, remove HTML, preserve zero, exclude not applicable, group exact matches. Programming and data preparation.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Implemented and tested. Risk: unrecognized variants still cross splits.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AI and evaluation</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B done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Ingredient text TF IDF and category classifier; held out classification evaluation. Ridge score regression is retained as a negative experiment. ML and statistics.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Implemented. Risk: category shortcut or poor transfer to unlabelled records.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Saved output and interface</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done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Metrics, split audit, prediction CSV and read only local web interface. Software development and visualization.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Implemented. Risk: a suggestion could be mistaken for a verified category.</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Contributor decision</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Human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Review a category or supporting data; request a label or ingredient list; abstain outside scope. Domain and ethics.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Workflow specified; external contributor benefit not validated. Risk: no actionable correction follows.</w:t>
            </w:r>
          </w:p>
        </w:tc>
      </w:tr>
    </w:tbl>
    <w:p>
      <w:pPr>
        <w:spacing w:after="40"/>
      </w:pPr>
    </w:p>
    <w:p>
      <w:pPr>
        <w:pStyle w:val="Heading2"/>
      </w:pPr>
      <w:r>
        <w:t>Candidate B Category consistency review</w:t>
      </w:r>
    </w:p>
    <w:p>
      <w:r>
        <w:drawing>
          <wp:inline xmlns:a="http://schemas.openxmlformats.org/drawingml/2006/main" xmlns:pic="http://schemas.openxmlformats.org/drawingml/2006/picture">
            <wp:extent cx="6355080" cy="932078"/>
            <wp:docPr id="2" name="Picture 2" descr="System pipeline from data through processing and model to review output and contributor action"/>
            <wp:cNvGraphicFramePr>
              <a:graphicFrameLocks noChangeAspect="1"/>
            </wp:cNvGraphicFramePr>
            <a:graphic>
              <a:graphicData uri="http://schemas.openxmlformats.org/drawingml/2006/picture">
                <pic:pic>
                  <pic:nvPicPr>
                    <pic:cNvPr id="0" name="sketch-b.png"/>
                    <pic:cNvPicPr/>
                  </pic:nvPicPr>
                  <pic:blipFill>
                    <a:blip r:embed="rId10"/>
                    <a:stretch>
                      <a:fillRect/>
                    </a:stretch>
                  </pic:blipFill>
                  <pic:spPr>
                    <a:xfrm>
                      <a:off x="0" y="0"/>
                      <a:ext cx="6355080" cy="932078"/>
                    </a:xfrm>
                    <a:prstGeom prst="rect"/>
                  </pic:spPr>
                </pic:pic>
              </a:graphicData>
            </a:graphic>
          </wp:inline>
        </w:drawing>
      </w:r>
    </w:p>
    <w:p>
      <w:r>
        <w:t>E means an existing component. B means the team is responsible for building it; the status says whether it is implemented. The experience column distinguishes current evidence from prior human experience, which each member must record.</w:t>
      </w:r>
    </w:p>
    <w:tbl>
      <w:tblPr>
        <w:tblW w:type="auto" w:w="0"/>
        <w:jc w:val="center"/>
        <w:tblLayout w:type="fixed"/>
        <w:tblLook w:firstColumn="1" w:firstRow="1" w:lastColumn="0" w:lastRow="0" w:noHBand="0" w:noVBand="1" w:val="04A0"/>
      </w:tblPr>
      <w:tblGrid>
        <w:gridCol w:w="1512"/>
        <w:gridCol w:w="835"/>
        <w:gridCol w:w="3773"/>
        <w:gridCol w:w="396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Component</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 or B</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Implementation and knowledge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Experience and principal risk</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data</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Reuse the same pinned product records and existing category tags. Databases.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Available. Risk: current category tags are noisy labels.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Text processing</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reusable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Reuse language parsing and duplicate grouping; hide category labels from text features. Data preparation.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Existing code can be reused. Prior individual experience to be recorded.</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Category consistency model</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B next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Train a text classifier or retrieval model and rank disagreement with recorded category. ML and NLP.</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Not implemented as a separate candidate. Risk: real rare products look anomalous.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Review queue</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next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Show current category, suggested alternative, evidence and abstention. Visualization and software.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Reuse interface structure. Risk: confidence reflects noise rather than error.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Editor verification</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Human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Check a sample of top flagged records and record accepted corrections. Evaluation.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To run with real examples. Critical risk: no reliable labels for actual mistakes.</w:t>
            </w:r>
          </w:p>
        </w:tc>
      </w:tr>
    </w:tbl>
    <w:p>
      <w:pPr>
        <w:spacing w:after="40"/>
      </w:pPr>
    </w:p>
    <w:p>
      <w:pPr>
        <w:pStyle w:val="Heading2"/>
      </w:pPr>
      <w:r>
        <w:t>Challenges and responses</w:t>
      </w:r>
    </w:p>
    <w:p>
      <w:r>
        <w:t>Peer discussion record: the Miro note below our five ideas says discussing with Team 10. The substantive questions and responses must be supplied by the participants before this item is represented as a complete record of received peer feedback. The challenges below are our present technical review and are not attributed to Team 10.</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Challenge</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Response and test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Why predict a score that OFF already computes?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Compare against a category baseline and inspect which missing cases could benefit. Prefer completing a missing input where that unlocks the official calculation.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What if the category is missing or unsupported?</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Audit missing reasons separately. The current interface withholds numeric estimates for missing or unseen categories and absent Agribalyse matches.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What if the model only works on complete labelled products?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Report labelled holdout performance separately, test category removal and compare input coverage. Genuine missing score accuracy remains unknown.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How do we know a flagged record is useful to review?</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 text only assisted desk review of 20 cases is documented. Independent contributor checks against photos and taxonomy remain the next validation.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What if the alternative only uses simple validation rules?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Cleaner must train and evaluate a category model. Nutrition range checks alone do not satisfy meaningful AI.</w:t>
            </w:r>
          </w:p>
        </w:tc>
      </w:tr>
    </w:tbl>
    <w:p>
      <w:pPr>
        <w:spacing w:after="40"/>
      </w:pPr>
    </w:p>
    <w:p>
      <w:pPr>
        <w:pStyle w:val="Heading1"/>
      </w:pPr>
      <w:r>
        <w:t>Final idea</w:t>
      </w:r>
    </w:p>
    <w:p>
      <w:r>
        <w:t>Displayed eCampus deadline: 28 October 2026 at 14:44.</w:t>
      </w:r>
    </w:p>
    <w:p>
      <w:r>
        <w:t>We are building a category completion and review tool for Open Food Facts contributors so they can inspect suggestions for missing or unsuitable categories and improve the inputs used by the official Green Score calculation.</w:t>
      </w:r>
    </w:p>
    <w:p>
      <w:r>
        <w:t>The original score regression experiment learns the OFF computed environmental score in the France context. It performed worse than the category baseline, so numerical score filling is not the recommended output. The refined model predicts a recorded category from ingredient text and presents candidates for human verification. It does not certify a score or measure actual impact. Existing OFF calculation and Robotoff workflows are comparison points. [O2 O3 O5]</w:t>
      </w:r>
    </w:p>
    <w:p>
      <w:pPr>
        <w:pStyle w:val="Heading2"/>
      </w:pPr>
      <w:r>
        <w:t>Initial scope and target</w:t>
      </w:r>
    </w:p>
    <w:p>
      <w:pPr>
        <w:pStyle w:val="ListBullet"/>
      </w:pPr>
      <w:r>
        <w:t>Source: official OFF food Parquet, revision 89cfb571db20b1f1b246f27cab71837fc96225b1. A deterministic cluster sample contains 12,288 records from 12 pseudorandom row groups. This is not a representative global coverage study.</w:t>
      </w:r>
    </w:p>
    <w:p>
      <w:pPr>
        <w:pStyle w:val="ListBullet"/>
      </w:pPr>
      <w:r>
        <w:t>Regression experiment inputs: main ingredient text and original category tags. The category classifier uses ingredient text only and never reads category labels as inputs. Initial main languages are English, French and Spanish; ingredient text must contain at least 15 characters. Product IDs, brands, product names and score derived metadata are excluded from model features.</w:t>
      </w:r>
    </w:p>
    <w:p>
      <w:pPr>
        <w:pStyle w:val="ListBullet"/>
      </w:pPr>
      <w:r>
        <w:t>Target: environmental_score_data.scores.fr when present, otherwise the documented export default numeric score. Target sources are counted in the results. Country of sale is used only for descriptive subgroup checks.</w:t>
      </w:r>
    </w:p>
    <w:p>
      <w:pPr>
        <w:pStyle w:val="ListBullet"/>
      </w:pPr>
      <w:r>
        <w:t>Applicable records with numeric labels and valid grades enter regression training. Zero is valid. Unknown and not applicable are separate states. Numeric scores are not automatically clipped to 0 to 100. [O2 O4]</w:t>
      </w:r>
    </w:p>
    <w:p>
      <w:pPr>
        <w:pStyle w:val="Heading2"/>
      </w:pPr>
      <w:r>
        <w:t>Sample audit</w:t>
      </w:r>
    </w:p>
    <w:tbl>
      <w:tblPr>
        <w:tblW w:type="auto" w:w="0"/>
        <w:jc w:val="center"/>
        <w:tblLayout w:type="fixed"/>
        <w:tblLook w:firstColumn="1" w:firstRow="1" w:lastColumn="0" w:lastRow="0" w:noHBand="0" w:noVBand="1" w:val="04A0"/>
      </w:tblPr>
      <w:tblGrid>
        <w:gridCol w:w="6624"/>
        <w:gridCol w:w="3456"/>
      </w:tblGrid>
      <w:tr>
        <w:trPr>
          <w:tblHeade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Record state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Count</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other unknown or absent score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1461</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missing category</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4538</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no Agribalyse match</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2101</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not applicable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149</w:t>
            </w:r>
          </w:p>
        </w:tc>
      </w:tr>
    </w:tbl>
    <w:p>
      <w:pPr>
        <w:spacing w:after="40"/>
      </w:pPr>
    </w:p>
    <w:p>
      <w:r>
        <w:t>Ingredient text exists on 2,199 of 4,039 labelled products and 3,140 of 8,100 applicable unlabelled products. Every labelled record has categories, versus 3,562 applicable unlabelled records. These differences limit transfer. Eligible numeric scores span -20 to 123, including 2 zero labels.</w:t>
      </w:r>
    </w:p>
    <w:p>
      <w:pPr>
        <w:pStyle w:val="Heading2"/>
      </w:pPr>
      <w:r>
        <w:t>Working first slice and negative score experiment</w:t>
      </w:r>
    </w:p>
    <w:p>
      <w:r>
        <w:t>The completed first slice loads a cached snapshot, parses and validates records, groups exact ingredient or product name and brand matches, separates training, calibration and test sets, trains regression and category models, saves predictions and metrics, and displays category candidates with a review action locally.</w:t>
      </w:r>
    </w:p>
    <w:tbl>
      <w:tblPr>
        <w:tblW w:type="auto" w:w="0"/>
        <w:jc w:val="center"/>
        <w:tblLayout w:type="fixed"/>
        <w:tblLook w:firstColumn="1" w:firstRow="1" w:lastColumn="0" w:lastRow="0" w:noHBand="0" w:noVBand="1" w:val="04A0"/>
      </w:tblPr>
      <w:tblGrid>
        <w:gridCol w:w="6624"/>
        <w:gridCol w:w="3456"/>
      </w:tblGrid>
      <w:tr>
        <w:trPr>
          <w:tblHeade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Measurement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Observed result</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Pinned sample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12,288 records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Numeric labels in sample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4,039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Eligible labelled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1,629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Train and calibration and test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1,056 / 233 / 340</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Global median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23.61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Category baseline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12.69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Ingredients and categories model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15.87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Ingredient only model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19.23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Combined model with categories removed</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21.31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Relative improvement over category baseline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-25.1%</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Reference interval half width</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34.95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Interval coverage on labelled test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93.8%</w:t>
            </w:r>
          </w:p>
        </w:tc>
      </w:tr>
    </w:tbl>
    <w:p>
      <w:pPr>
        <w:spacing w:after="40"/>
      </w:pPr>
    </w:p>
    <w:p>
      <w:r>
        <w:t>The category baseline uses training medians for every category tag with at least three examples; prediction uses the last available supported tag, then falls back to the global median. Character TF IDF and Ridge use fixed settings rather than tuning on the test results. The masked category result is a stress test, not validation on genuinely unlabelled products.</w:t>
      </w:r>
    </w:p>
    <w:p>
      <w:r>
        <w:t>The review queue contains 8,249 records without usable numeric labels, including not applicable cases kept only to show their exclusion. 131 exceed the fixed category suggestion threshold of 0.50; 8,118 receive an abstention or request for evidence. No numerical score is recommended for filling. The regression reference interval is retained only as experimental evidence.</w:t>
      </w:r>
    </w:p>
    <w:p>
      <w:pPr>
        <w:pStyle w:val="Heading2"/>
      </w:pPr>
      <w:r>
        <w:t>Refined category task and evaluation</w:t>
      </w:r>
    </w:p>
    <w:tbl>
      <w:tblPr>
        <w:tblW w:type="auto" w:w="0"/>
        <w:jc w:val="center"/>
        <w:tblLayout w:type="fixed"/>
        <w:tblLook w:firstColumn="1" w:firstRow="1" w:lastColumn="0" w:lastRow="0" w:noHBand="0" w:noVBand="1" w:val="04A0"/>
      </w:tblPr>
      <w:tblGrid>
        <w:gridCol w:w="6624"/>
        <w:gridCol w:w="3456"/>
      </w:tblGrid>
      <w:tr>
        <w:trPr>
          <w:tblHeade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Category measurement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Observed result</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Supported category classes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20</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Training and calibration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428 / 93</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Supported test records and all test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154 / 473</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Supported label coverage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32.6%</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Top one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77.9%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Top three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94.2%</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Top three accuracy on all test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30.7%</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Macro F1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0.596</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Majority class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18.8%</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Three rule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22.7%</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Three rule accuracy across all test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7.8%</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Accepted test suggestions at 0.50</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84</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Accuracy among accepted supported suggestions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96.4%</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Accepted suggestions across all test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123</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Accuracy among accepted suggestions across all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65.9%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Top one accuracy across all test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25.4%</w:t>
            </w:r>
          </w:p>
        </w:tc>
      </w:tr>
    </w:tbl>
    <w:p>
      <w:pPr>
        <w:spacing w:after="40"/>
      </w:pPr>
    </w:p>
    <w:p>
      <w:r>
        <w:t>The current training labels include inconsistent category casing and broad tags; a next iteration should select canonical specific taxonomy nodes rather than blindly treating the last tag as the correct label. The category target is the last recorded category tag, not a manually verified correct category. A diagnostic three condition rule maps potato ingredients to potato crisps, an initial milk token to milks, and cocoa to dark chocolates, then falls back to the training majority. This rule comparison was added after the initial analysis and is not a preregistered result. The model is TF IDF over ingredient text followed by logistic regression with C 4 and at most 1000 iterations. Supported classes have at least eight training examples and occur on a scored product in this sample. Supported class accuracy excludes out of scope labels; the all test top three measure counts those cases as failures. Class scores are uncalibrated. The fixed 0.50 threshold is an experimental review gate, not a reliability guarantee; accepted accuracy across all labels must be considered because an unseen true category can receive a confident wrong answer.</w:t>
      </w:r>
    </w:p>
    <w:p>
      <w:r>
        <w:t>Decision: score regression failed the proposed 10 percent improvement gate, so we refine the main output now to category suggestions. Before claiming contributor usefulness, manually review 20 genuine missing cases, record useful suggestions and failure types, and compare the result with requesting category input without AI. These are project gates, not course grading rules. Suggestions must be checked against product evidence; an alternative category may still lack a valid Agribalyse mapping.</w:t>
      </w:r>
    </w:p>
    <w:p>
      <w:r>
        <w:t>An assisted desk review of 20 randomly selected pre-filter suggestions found four plausible new categories, eight categories already recorded, five overly broad suggestions, two ambiguous cases and one implausible suggestion. These judgments use product and ingredient text, not label photos or contributor validation. The interface now suppresses a top category already present and the generic groceries category. This is a workflow improvement, not a new measured precision claim. The model can still make confident errors on unsupported classes. Grouped splits do not guarantee removal of all near duplicates.</w:t>
      </w:r>
    </w:p>
    <w:p>
      <w:pPr>
        <w:pStyle w:val="Heading2"/>
      </w:pPr>
      <w:r>
        <w:t>Out of scope</w:t>
      </w:r>
    </w:p>
    <w:p>
      <w:r>
        <w:t>Official certification, independent life cycle measurement, medical advice, automated OFF writes, full country coverage and production deployment. A market study and large scale hosting are not required for this stage. [C1 slides 8 9 and 18 19]</w:t>
      </w:r>
    </w:p>
    <w:p>
      <w:pPr>
        <w:pStyle w:val="Heading1"/>
      </w:pPr>
      <w:r>
        <w:t>Working tools</w:t>
      </w:r>
    </w:p>
    <w:p>
      <w:r>
        <w:t>Displayed eCampus deadline: 28 October 2026 at 00:00, the night of 27 October.</w:t>
      </w:r>
    </w:p>
    <w:p>
      <w:hyperlink r:id="rId11">
        <w:r>
          <w:rPr>
            <w:color w:val="175343"/>
          </w:rPr>
          <w:t>Private project repository</w:t>
        </w:r>
      </w:hyperlink>
    </w:p>
    <w:p>
      <w:hyperlink r:id="rId12">
        <w:r>
          <w:rPr>
            <w:color w:val="175343"/>
          </w:rPr>
          <w:t>Versioned task board</w:t>
        </w:r>
      </w:hyperlink>
    </w:p>
    <w:p>
      <w:hyperlink r:id="rId13">
        <w:r>
          <w:rPr>
            <w:color w:val="175343"/>
          </w:rPr>
          <w:t>Decision log</w:t>
        </w:r>
      </w:hyperlink>
    </w:p>
    <w:tbl>
      <w:tblPr>
        <w:tblW w:type="auto" w:w="0"/>
        <w:jc w:val="center"/>
        <w:tblLayout w:type="fixed"/>
        <w:tblLook w:firstColumn="1" w:firstRow="1" w:lastColumn="0" w:lastRow="0" w:noHBand="0" w:noVBand="1" w:val="04A0"/>
      </w:tblPr>
      <w:tblGrid>
        <w:gridCol w:w="1728"/>
        <w:gridCol w:w="4320"/>
        <w:gridCol w:w="4032"/>
      </w:tblGrid>
      <w:tr>
        <w:trPr>
          <w:tblHeade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Need</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Implemented setup</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Code and version control</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Private GitHub repository; readable Python source; one assisted preparation commit.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README and reproducible code. Human contributions must continue under each member account.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Tasks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Versioned board with status, owner and acceptance evidence.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TASK_BOARD.md; owner allocation is the current work plan, not a record of agreement.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and modelling</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Python; scikit learn regression and category models; pinned OFF sample.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requirements.txt, data manifest, training script and saved metrics.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Demo</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Local read only Python interface. No API key required.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python prototype.py serve then open 127.0.0.1:8765.</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Decisions and evaluation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Dated log, grouped split audit, baseline comparisons, interval check and subgroup errors.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DECISION_LOG.md and results folder.</w:t>
            </w:r>
          </w:p>
        </w:tc>
      </w:tr>
    </w:tbl>
    <w:p>
      <w:pPr>
        <w:spacing w:after="40"/>
      </w:pPr>
    </w:p>
    <w:p>
      <w:pPr>
        <w:pStyle w:val="Heading2"/>
      </w:pPr>
      <w:r>
        <w:t>Work allocation</w:t>
      </w:r>
    </w:p>
    <w:tbl>
      <w:tblPr>
        <w:tblW w:type="auto" w:w="0"/>
        <w:jc w:val="center"/>
        <w:tblLayout w:type="fixed"/>
        <w:tblLook w:firstColumn="1" w:firstRow="1" w:lastColumn="0" w:lastRow="0" w:noHBand="0" w:noVBand="1" w:val="04A0"/>
      </w:tblPr>
      <w:tblGrid>
        <w:gridCol w:w="1152"/>
        <w:gridCol w:w="4608"/>
        <w:gridCol w:w="4320"/>
      </w:tblGrid>
      <w:tr>
        <w:trPr>
          <w:tblHeade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Owner</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Next responsibility</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Evidence of completion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Natan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Repository access, integration and submission packaging.</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Teammates can open the private repository; all four Moodle items are checked after upload.</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Joan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Review missing data cases and document prior relevant experience.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20 reviewed records with sources, next action and decision.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Josep</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Audit baseline and stress test failures; propose the next modelling experiment.</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 short error analysis and a new train only validation plan.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Adria</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Rehearse the interface and recover the actual peer discussion.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 fresh environment run; verbatim challenge and team response recorded with date.</w:t>
            </w:r>
          </w:p>
        </w:tc>
      </w:tr>
    </w:tbl>
    <w:p>
      <w:pPr>
        <w:spacing w:after="40"/>
      </w:pPr>
    </w:p>
    <w:p>
      <w:r>
        <w:t>Teo appears in the Miro names but is absent from the current eCampus Group 6 roster. Verify enrolment before adding him as an official group member. The four owner roles above are a proposed allocation for the verified roster; they do not claim tasks have already been accepted or completed by those people.</w:t>
      </w:r>
    </w:p>
    <w:p>
      <w:pPr>
        <w:pStyle w:val="Heading2"/>
      </w:pPr>
      <w:r>
        <w:t>Started decision log</w:t>
      </w:r>
    </w:p>
    <w:tbl>
      <w:tblPr>
        <w:tblW w:type="auto" w:w="0"/>
        <w:jc w:val="center"/>
        <w:tblLayout w:type="fixed"/>
        <w:tblLook w:firstColumn="1" w:firstRow="1" w:lastColumn="0" w:lastRow="0" w:noHBand="0" w:noVBand="1" w:val="04A0"/>
      </w:tblPr>
      <w:tblGrid>
        <w:gridCol w:w="1080"/>
        <w:gridCol w:w="3600"/>
        <w:gridCol w:w="5400"/>
      </w:tblGrid>
      <w:tr>
        <w:trPr>
          <w:tblHeade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Date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Decision</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Evidence and consequence</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27 Oct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Use a trained classical model with a connected review interface.</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Course minimums and limited preparation time favour a small executable system.</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27 Oct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Learn a France context reference score and preserve original score semantics.</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OFF exposes country dependent values; not applicable and zero require separate handling.</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27 Oct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Use a pinned sample and grouped splits.</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Manifest and duplicate group audit support reruns; the sample is exploratory.</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27 Oct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Withhold unsupported missing case estimates.</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Labelled performance cannot establish genuine missing case accuracy.</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27 Oct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Refine the main output to category completion.</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Score MAE was 15.87 versus 12.69 for the category baseline. The measured negative result changes the design.</w:t>
            </w:r>
          </w:p>
        </w:tc>
      </w:tr>
    </w:tbl>
    <w:p>
      <w:pPr>
        <w:spacing w:after="40"/>
      </w:pPr>
    </w:p>
    <w:p>
      <w:pPr>
        <w:pStyle w:val="Heading1"/>
      </w:pPr>
      <w:r>
        <w:t>Sources</w:t>
      </w:r>
    </w:p>
    <w:p>
      <w:hyperlink r:id="rId14">
        <w:r>
          <w:rPr>
            <w:color w:val="175343"/>
          </w:rPr>
          <w:t>[C1] PAIBS Session 1 Technical Slides</w:t>
        </w:r>
      </w:hyperlink>
    </w:p>
    <w:p>
      <w:r>
        <w:t>Slides 6 to 20 define the challenge, minimums, sketches and Session 2 preparation.</w:t>
      </w:r>
    </w:p>
    <w:p>
      <w:hyperlink r:id="rId15">
        <w:r>
          <w:rPr>
            <w:color w:val="175343"/>
          </w:rPr>
          <w:t>[C2] PAIBS class Miro board</w:t>
        </w:r>
      </w:hyperlink>
    </w:p>
    <w:p>
      <w:r>
        <w:t>Read on 27 October 2026. The names and five ideas are under the visual Team 5 column; a note below says discussing with Team 10.</w:t>
      </w:r>
    </w:p>
    <w:p>
      <w:hyperlink r:id="rId16">
        <w:r>
          <w:rPr>
            <w:color w:val="175343"/>
          </w:rPr>
          <w:t>[C3] eCampus Group Definition</w:t>
        </w:r>
      </w:hyperlink>
    </w:p>
    <w:p>
      <w:r>
        <w:t>Live roster on 27 October: Group 6, Adria Anglada Dolcet, Joan Batllo Rius, Josep Cubedo Macian and Natan Miguel Viejo Evrard.</w:t>
      </w:r>
    </w:p>
    <w:p>
      <w:hyperlink r:id="rId17">
        <w:r>
          <w:rPr>
            <w:color w:val="175343"/>
          </w:rPr>
          <w:t>[O1] Official Open Food Facts dataset</w:t>
        </w:r>
      </w:hyperlink>
    </w:p>
    <w:p>
      <w:r>
        <w:t>The local manifest records the pinned revision, selected row groups and SHA256.</w:t>
      </w:r>
    </w:p>
    <w:p>
      <w:hyperlink r:id="rId18">
        <w:r>
          <w:rPr>
            <w:color w:val="175343"/>
          </w:rPr>
          <w:t>[O2] OFF EnvironmentalScore implementation</w:t>
        </w:r>
      </w:hyperlink>
    </w:p>
    <w:p>
      <w:r>
        <w:t>Category LCA, adjustments, France default, A+ to F grades, valid zero, excluded categories and scores above 100.</w:t>
      </w:r>
    </w:p>
    <w:p>
      <w:hyperlink r:id="rId19">
        <w:r>
          <w:rPr>
            <w:color w:val="175343"/>
          </w:rPr>
          <w:t>[O3] OFF Green Score contribution workflow</w:t>
        </w:r>
      </w:hyperlink>
    </w:p>
    <w:p>
      <w:r>
        <w:t>Distinguishes unavailable scores from computed scores with missing inputs.</w:t>
      </w:r>
    </w:p>
    <w:p>
      <w:hyperlink r:id="rId20">
        <w:r>
          <w:rPr>
            <w:color w:val="175343"/>
          </w:rPr>
          <w:t>[O4] OFF schema change log</w:t>
        </w:r>
      </w:hyperlink>
    </w:p>
    <w:p>
      <w:r>
        <w:t>Explains the move from ecoscore fields to environmental_score fields.</w:t>
      </w:r>
    </w:p>
    <w:p>
      <w:hyperlink r:id="rId21">
        <w:r>
          <w:rPr>
            <w:color w:val="175343"/>
          </w:rPr>
          <w:t>[O5] OFF Robotoff introduction</w:t>
        </w:r>
      </w:hyperlink>
    </w:p>
    <w:p>
      <w:r>
        <w:t>Existing AI suggestions and contributor confirmation are relevant comparison tools.</w:t>
      </w:r>
    </w:p>
    <w:p>
      <w:hyperlink r:id="rId22">
        <w:r>
          <w:rPr>
            <w:color w:val="175343"/>
          </w:rPr>
          <w:t>[O6] OFF reuse licences</w:t>
        </w:r>
      </w:hyperlink>
    </w:p>
    <w:p>
      <w:r>
        <w:t>Database ODbL, individual contents DbCL, and separate image terms.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natanaviejo/paibs-group6-green-score" TargetMode="External"/><Relationship Id="rId12" Type="http://schemas.openxmlformats.org/officeDocument/2006/relationships/hyperlink" Target="https://github.com/natanaviejo/paibs-group6-green-score/blob/codex/green-score-review/TASK_BOARD.md" TargetMode="External"/><Relationship Id="rId13" Type="http://schemas.openxmlformats.org/officeDocument/2006/relationships/hyperlink" Target="https://github.com/natanaviejo/paibs-group6-green-score/blob/codex/green-score-review/DECISION_LOG.md" TargetMode="External"/><Relationship Id="rId14" Type="http://schemas.openxmlformats.org/officeDocument/2006/relationships/hyperlink" Target="https://ecampus.esade.edu/mod/resource/view.php?id=5881213" TargetMode="External"/><Relationship Id="rId15" Type="http://schemas.openxmlformats.org/officeDocument/2006/relationships/hyperlink" Target="https://miro.com/app/board/uXjVHgFQRLw=/?share_link_id=254312284432" TargetMode="External"/><Relationship Id="rId16" Type="http://schemas.openxmlformats.org/officeDocument/2006/relationships/hyperlink" Target="https://ecampus.esade.edu/mod/choicegroup/view.php?id=5881377" TargetMode="External"/><Relationship Id="rId17" Type="http://schemas.openxmlformats.org/officeDocument/2006/relationships/hyperlink" Target="https://huggingface.co/datasets/openfoodfacts/product-database" TargetMode="External"/><Relationship Id="rId18" Type="http://schemas.openxmlformats.org/officeDocument/2006/relationships/hyperlink" Target="https://github.com/openfoodfacts/openfoodfacts-server/blob/main/lib/ProductOpener/EnvironmentalScore.pm" TargetMode="External"/><Relationship Id="rId19" Type="http://schemas.openxmlformats.org/officeDocument/2006/relationships/hyperlink" Target="https://openfoodfacts.github.io/openfoodfacts-server/api/tutorials/get-the-green-score/" TargetMode="External"/><Relationship Id="rId20" Type="http://schemas.openxmlformats.org/officeDocument/2006/relationships/hyperlink" Target="https://openfoodfacts.github.io/openfoodfacts-server/api/ref-api-and-product-schema-change-log/" TargetMode="External"/><Relationship Id="rId21" Type="http://schemas.openxmlformats.org/officeDocument/2006/relationships/hyperlink" Target="https://openfoodfacts.github.io/openfoodfacts-server/api/intro-robotoff/" TargetMode="External"/><Relationship Id="rId22" Type="http://schemas.openxmlformats.org/officeDocument/2006/relationships/hyperlink" Target="https://openfoodfacts.github.io/openfoodfacts-server/api/tutorials/license-be-on-the-legal-s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PAIBS Group 6 submissions</dc:title>
  <dc:subject/>
  <dc:creator>PAIBS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