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Working tools</w:t>
      </w:r>
    </w:p>
    <w:p>
      <w:pPr>
        <w:pStyle w:val="Subtitle"/>
      </w:pPr>
      <w:r>
        <w:t>PAIBS Group 6   27 October 2026</w:t>
      </w:r>
    </w:p>
    <w:p>
      <w:r>
        <w:t>Displayed eCampus deadline: 28 October 2026 at 00:00, the night of 27 October.</w:t>
      </w:r>
    </w:p>
    <w:p>
      <w:hyperlink r:id="rId9">
        <w:r>
          <w:rPr>
            <w:color w:val="175343"/>
          </w:rPr>
          <w:t>Private project repository</w:t>
        </w:r>
      </w:hyperlink>
    </w:p>
    <w:p>
      <w:hyperlink r:id="rId10">
        <w:r>
          <w:rPr>
            <w:color w:val="175343"/>
          </w:rPr>
          <w:t>Versioned task board</w:t>
        </w:r>
      </w:hyperlink>
    </w:p>
    <w:p>
      <w:hyperlink r:id="rId11">
        <w:r>
          <w:rPr>
            <w:color w:val="175343"/>
          </w:rPr>
          <w:t>Decision log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032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Implemented setup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Code and version control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Private GitHub repository; readable Python source; one assisted preparation commit.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README and reproducible code. Human contributions must continue under each member account.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Tasks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Versioned board with status, owner and acceptance evidence.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TASK_BOARD.md; owner allocation is the current work plan, not a record of agreement.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Data and modelling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Python; scikit learn regression and category models; pinned OFF sample.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requirements.txt, data manifest, training script and saved metrics.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Demo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Local read only Python interface. No API key required.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python prototype.py serve then open 127.0.0.1:8765.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Decisions and evaluation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Dated log, grouped split audit, baseline comparisons, interval check and subgroup errors.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DECISION_LOG.md and results folder.</w:t>
            </w:r>
          </w:p>
        </w:tc>
      </w:tr>
    </w:tbl>
    <w:p>
      <w:pPr>
        <w:spacing w:after="40"/>
      </w:pPr>
    </w:p>
    <w:p>
      <w:pPr>
        <w:pStyle w:val="Heading2"/>
      </w:pPr>
      <w:r>
        <w:t>Work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608"/>
        <w:gridCol w:w="4320"/>
      </w:tblGrid>
      <w:tr>
        <w:trPr>
          <w:tblHeader/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Next responsibility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Evidence of completion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Natan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Repository access, integration and submission packaging.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Teammates can open the private repository; all four Moodle items are checked after upload.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Joan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Review missing data cases and document prior relevant experience.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20 reviewed records with sources, next action and decision.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Josep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Audit baseline and stress test failures; propose the next modelling experiment.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A short error analysis and a new train only validation plan.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Adria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Rehearse the interface and recover the actual peer discussion.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A fresh environment run; verbatim challenge and team response recorded with date.</w:t>
            </w:r>
          </w:p>
        </w:tc>
      </w:tr>
    </w:tbl>
    <w:p>
      <w:pPr>
        <w:spacing w:after="40"/>
      </w:pPr>
    </w:p>
    <w:p>
      <w:r>
        <w:t>Teo appears in the Miro names but is absent from the current eCampus Group 6 roster. Verify enrolment before adding him as an official group member. The four owner roles above are a proposed allocation for the verified roster; they do not claim tasks have already been accepted or completed by those people.</w:t>
      </w:r>
    </w:p>
    <w:p>
      <w:pPr>
        <w:pStyle w:val="Heading2"/>
      </w:pPr>
      <w:r>
        <w:t>Started decision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600"/>
        <w:gridCol w:w="5400"/>
      </w:tblGrid>
      <w:tr>
        <w:trPr>
          <w:tblHeader/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Evidence and consequence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27 Oct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Use a trained classical model with a connected review interface.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Course minimums and limited preparation time favour a small executable system.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27 Oct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Learn a France context reference score and preserve original score semantics.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OFF exposes country dependent values; not applicable and zero require separate handling.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27 Oct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Use a pinned sample and grouped splits.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Manifest and duplicate group audit support reruns; the sample is exploratory.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27 Oct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Withhold unsupported missing case estimates.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Labelled performance cannot establish genuine missing case accuracy.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27 Oct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Refine the main output to category completion.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Score MAE was 15.87 versus 12.69 for the category baseline. The measured negative result changes the design.</w:t>
            </w:r>
          </w:p>
        </w:tc>
      </w:tr>
    </w:tbl>
    <w:p>
      <w:pPr>
        <w:spacing w:after="40"/>
      </w:pPr>
    </w:p>
    <w:p>
      <w:pPr>
        <w:pStyle w:val="Heading1"/>
      </w:pPr>
      <w:r>
        <w:t>Sources</w:t>
      </w:r>
    </w:p>
    <w:p>
      <w:hyperlink r:id="rId12">
        <w:r>
          <w:rPr>
            <w:color w:val="175343"/>
          </w:rPr>
          <w:t>[O1] Official Open Food Facts dataset</w:t>
        </w:r>
      </w:hyperlink>
    </w:p>
    <w:p>
      <w:r>
        <w:t>The local manifest records the pinned revision, selected row groups and SHA256.</w:t>
      </w:r>
    </w:p>
    <w:p>
      <w:hyperlink r:id="rId13">
        <w:r>
          <w:rPr>
            <w:color w:val="175343"/>
          </w:rPr>
          <w:t>[O2] OFF EnvironmentalScore implementation</w:t>
        </w:r>
      </w:hyperlink>
    </w:p>
    <w:p>
      <w:r>
        <w:t>Category LCA, adjustments, France default, A+ to F grades, valid zero, excluded categories and scores above 100.</w:t>
      </w:r>
    </w:p>
    <w:p>
      <w:hyperlink r:id="rId14">
        <w:r>
          <w:rPr>
            <w:color w:val="175343"/>
          </w:rPr>
          <w:t>[O3] OFF Green Score contribution workflow</w:t>
        </w:r>
      </w:hyperlink>
    </w:p>
    <w:p>
      <w:r>
        <w:t>Distinguishes unavailable scores from computed scores with missing inputs.</w:t>
      </w:r>
    </w:p>
    <w:p>
      <w:hyperlink r:id="rId15">
        <w:r>
          <w:rPr>
            <w:color w:val="175343"/>
          </w:rPr>
          <w:t>[O5] OFF Robotoff introduction</w:t>
        </w:r>
      </w:hyperlink>
    </w:p>
    <w:p>
      <w:r>
        <w:t>Existing AI suggestions and contributor confirmation are relevant comparison tools.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atanaviejo/paibs-group6-green-score" TargetMode="External"/><Relationship Id="rId10" Type="http://schemas.openxmlformats.org/officeDocument/2006/relationships/hyperlink" Target="https://github.com/natanaviejo/paibs-group6-green-score/blob/codex/green-score-review/TASK_BOARD.md" TargetMode="External"/><Relationship Id="rId11" Type="http://schemas.openxmlformats.org/officeDocument/2006/relationships/hyperlink" Target="https://github.com/natanaviejo/paibs-group6-green-score/blob/codex/green-score-review/DECISION_LOG.md" TargetMode="External"/><Relationship Id="rId12" Type="http://schemas.openxmlformats.org/officeDocument/2006/relationships/hyperlink" Target="https://huggingface.co/datasets/openfoodfacts/product-database" TargetMode="External"/><Relationship Id="rId13" Type="http://schemas.openxmlformats.org/officeDocument/2006/relationships/hyperlink" Target="https://github.com/openfoodfacts/openfoodfacts-server/blob/main/lib/ProductOpener/EnvironmentalScore.pm" TargetMode="External"/><Relationship Id="rId14" Type="http://schemas.openxmlformats.org/officeDocument/2006/relationships/hyperlink" Target="https://openfoodfacts.github.io/openfoodfacts-server/api/tutorials/get-the-green-score/" TargetMode="External"/><Relationship Id="rId15" Type="http://schemas.openxmlformats.org/officeDocument/2006/relationships/hyperlink" Target="https://openfoodfacts.github.io/openfoodfacts-server/api/intro-robotof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tools</dc:title>
  <dc:subject/>
  <dc:creator>PAIBS Group 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