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454E9"/>
          <w:spacing w:val="30"/>
          <w:sz w:val="18"/>
          <w:szCs w:val="18"/>
        </w:rPr>
        <w:t xml:space="preserve">VISUALIZACIÓN Y DATA STORYTELLING · EJERCICIO TABLERO CON IA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D1D2C"/>
          <w:sz w:val="44"/>
          <w:szCs w:val="44"/>
        </w:rPr>
        <w:t xml:space="preserve">DESIGN.md — Tablero Café Farallones</w:t>
      </w:r>
    </w:p>
    <w:p>
      <w:pPr>
        <w:pBdr>
          <w:left w:val="single" w:color="5454E9" w:sz="18" w:space="8"/>
        </w:pBdr>
        <w:shd w:fill="F4F4F8" w:color="auto" w:val="clear"/>
        <w:spacing w:after="160"/>
        <w:ind w:left="160"/>
      </w:pPr>
      <w:r>
        <w:rPr>
          <w:rFonts w:ascii="Arial" w:cs="Arial" w:eastAsia="Arial" w:hAnsi="Arial"/>
          <w:color w:val="6F7082"/>
          <w:sz w:val="19"/>
          <w:szCs w:val="19"/>
        </w:rPr>
        <w:t xml:space="preserve">Llena esta plantilla antes de pedirle a la IA que construya el tablero y entrégasela como contexto. Reemplaza los textos grises en cursiva. Si la IA propone algo distinto a lo que dice este documento, gana el documento (o lo actualizas a conciencia). Al terminar, guárdalo también como DESIGN.md (texto) para usarlo con Claude o Claude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Equipo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Nombres de los integrantes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v1, v2…</w:t>
            </w:r>
          </w:p>
        </w:tc>
      </w:tr>
    </w:tbl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1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Audiencia y propósito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¿Quién usa el tablero?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p. ej. gerente de operaciones de la cadena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¿Qué decisión debe tomar con él?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Una frase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¿Cuánto tiempo le dedica?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p. ej. 2 minutos en la reunión del lunes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Mensaje principal (big idea)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Una oración con sujeto, verbo y consecuencia</w:t>
            </w:r>
          </w:p>
        </w:tc>
      </w:tr>
    </w:tbl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2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Preguntas de negocio elegidas</w:t>
      </w:r>
    </w:p>
    <w:p>
      <w:pPr>
        <w:spacing w:after="120"/>
      </w:pPr>
      <w:r>
        <w:rPr>
          <w:rFonts w:ascii="Arial" w:cs="Arial" w:eastAsia="Arial" w:hAnsi="Arial"/>
          <w:color w:val="6F7082"/>
          <w:sz w:val="19"/>
          <w:szCs w:val="19"/>
        </w:rPr>
        <w:t xml:space="preserve">Elige tres. Al menos una con variable temporal u ordinal, una con una variable cualitativa difícil (satisfacción, comentarios o rango de edad) y una que compare sedes.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76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7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 que habilita</w:t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 clave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P_</w:t>
            </w:r>
          </w:p>
        </w:tc>
        <w:tc>
          <w:tcPr>
            <w:tcW w:type="dxa" w:w="34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Texto de la pregunta</w:t>
            </w:r>
          </w:p>
        </w:tc>
        <w:tc>
          <w:tcPr>
            <w:tcW w:type="dxa" w:w="27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Qué haría la gerencia con la respuesta</w:t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p. ej. mediana de tiempo de espera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3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Inventario de datos</w:t>
      </w:r>
    </w:p>
    <w:p>
      <w:pPr>
        <w:spacing w:after="120"/>
      </w:pPr>
      <w:r>
        <w:rPr>
          <w:rFonts w:ascii="Arial" w:cs="Arial" w:eastAsia="Arial" w:hAnsi="Arial"/>
          <w:color w:val="6F7082"/>
          <w:sz w:val="19"/>
          <w:szCs w:val="19"/>
        </w:rPr>
        <w:t xml:space="preserve">Clasifica todas las columnas que vas a usar. Tipos: </w:t>
      </w:r>
      <w:r>
        <w:rPr>
          <w:rFonts w:ascii="Arial" w:cs="Arial" w:eastAsia="Arial" w:hAnsi="Arial"/>
          <w:b/>
          <w:bCs/>
          <w:color w:val="6F7082"/>
          <w:sz w:val="19"/>
          <w:szCs w:val="19"/>
        </w:rPr>
        <w:t xml:space="preserve">continua, discreta, nominal, ordinal, temporal, texto libre, identificador.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060"/>
        <w:gridCol w:w="2150"/>
        <w:gridCol w:w="2150"/>
      </w:tblGrid>
      <w:tr>
        <w:trPr>
          <w:cantSplit/>
          <w:tblHeader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(medida / dimensión / filtro / no se usa)</w:t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detectado</w:t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fecha</w:t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temporal</w:t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dia_semana</w:t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p. ej. se ordena alfabéticamente</w:t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Orden fijo Lunes → Domingo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satisfaccion</w:t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total_venta</w:t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2C"/>
          <w:sz w:val="21"/>
          <w:szCs w:val="21"/>
        </w:rPr>
        <w:t xml:space="preserve">Reglas de limpieza y cálculo</w:t>
      </w:r>
    </w:p>
    <w:p>
      <w:pPr>
        <w:spacing w:after="120"/>
      </w:pPr>
      <w:r>
        <w:rPr>
          <w:rFonts w:ascii="Arial" w:cs="Arial" w:eastAsia="Arial" w:hAnsi="Arial"/>
          <w:color w:val="6F7082"/>
          <w:sz w:val="19"/>
          <w:szCs w:val="19"/>
        </w:rPr>
        <w:t xml:space="preserve">La IA debe implementarlas tal cual.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8A8BA0"/>
          <w:sz w:val="20"/>
          <w:szCs w:val="20"/>
        </w:rPr>
        <w:t xml:space="preserve">p. ej. comparar sedes con ventas por día abierto, no con totales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8A8BA0"/>
          <w:sz w:val="20"/>
          <w:szCs w:val="20"/>
        </w:rPr>
        <w:t xml:space="preserve">p. ej. excluir o marcar los pedidos corporativos en promedios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8A8BA0"/>
          <w:sz w:val="20"/>
          <w:szCs w:val="20"/>
        </w:rPr>
        <w:t xml:space="preserve">p. ej. la satisfacción se reporta como % de respuestas 4–5, no como promedio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8A8BA0"/>
          <w:sz w:val="20"/>
          <w:szCs w:val="20"/>
        </w:rPr>
        <w:t xml:space="preserve"/>
      </w:r>
    </w:p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4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Mapa pregunta → gráfico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2000"/>
        <w:gridCol w:w="2660"/>
      </w:tblGrid>
      <w:tr>
        <w:trPr>
          <w:cantSplit/>
          <w:tblHeader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Variables</w:t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Intención</w:t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Gráfico elegido</w:t>
            </w:r>
          </w:p>
        </w:tc>
        <w:tc>
          <w:tcPr>
            <w:tcW w:type="dxa" w:w="26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 descartada y por qué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P_</w:t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comparar · tendencia · distribución · relación · composición</w:t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2C"/>
          <w:sz w:val="21"/>
          <w:szCs w:val="21"/>
        </w:rPr>
        <w:t xml:space="preserve">Título-conclusión de cada gráfico</w:t>
      </w:r>
    </w:p>
    <w:p>
      <w:pPr>
        <w:spacing w:after="120"/>
      </w:pPr>
      <w:r>
        <w:rPr>
          <w:rFonts w:ascii="Arial" w:cs="Arial" w:eastAsia="Arial" w:hAnsi="Arial"/>
          <w:color w:val="6F7082"/>
          <w:sz w:val="19"/>
          <w:szCs w:val="19"/>
        </w:rPr>
        <w:t xml:space="preserve">El título dice lo que el lector debe entender, no lo que se graficó.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060"/>
      </w:tblGrid>
      <w:tr>
        <w:trPr>
          <w:cantSplit/>
          <w:tblHeader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 descriptivo (evitar)</w:t>
            </w:r>
          </w:p>
        </w:tc>
        <w:tc>
          <w:tcPr>
            <w:tcW w:type="dxa" w:w="5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Título-conclusión (usar)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P_</w:t>
            </w:r>
          </w:p>
        </w:tc>
        <w:tc>
          <w:tcPr>
            <w:tcW w:type="dxa" w:w="36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Satisfacción por sede y franja</w:t>
            </w:r>
          </w:p>
        </w:tc>
        <w:tc>
          <w:tcPr>
            <w:tcW w:type="dxa" w:w="5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Centro pierde clientes satisfechos al almuerzo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5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50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5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Sistema de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Neutro base (contexto)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Código hex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Color de acento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Código hex · ¿en qué elementos se usa?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Paleta categórica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Máximo 5–6 colores, con su significado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Escala secuencial o divergente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De hex a hex; punto medio si es divergente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Semántica fija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p. ej. el canal App siempre del mismo color en todos los gráficos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Accesibilidad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¿Se entiende en escala de grises o con daltonismo? ¿Contraste del texto ≥ 4,5:1?</w:t>
            </w:r>
          </w:p>
        </w:tc>
      </w:tr>
    </w:tbl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6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Ejes, escalas y formatos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Barras desde cero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Sí / no y por qué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Orden de ordinales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Días Lunes → Domingo, meses Enero → Junio, franjas Mañana → Noche, edades, satisfacción 1 → 5…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Orden de nominales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p. ej. de mayor a menor valor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Formato de números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p. ej. $1.250.000; minutos con 1 decimal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Huecos en el tiempo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Días sin datos, sede cerrada: cómo se muestran (hueco, anotación, nunca interpolar)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Líneas de referencia y anotaciones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p. ej. meta de 8 min de espera; lanzamiento de la App; apertura de El Peñón</w:t>
            </w:r>
          </w:p>
        </w:tc>
      </w:tr>
    </w:tbl>
    <w:p>
      <w:pPr>
        <w:pageBreakBefore/>
      </w:pPr>
    </w:p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7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Layout y jerarquía</w:t>
      </w:r>
    </w:p>
    <w:p>
      <w:pPr>
        <w:spacing w:after="120"/>
      </w:pPr>
      <w:r>
        <w:rPr>
          <w:rFonts w:ascii="Arial" w:cs="Arial" w:eastAsia="Arial" w:hAnsi="Arial"/>
          <w:color w:val="6F7082"/>
          <w:sz w:val="19"/>
          <w:szCs w:val="19"/>
        </w:rPr>
        <w:t xml:space="preserve">Boceta la distribución del tablero. Escribe en cada caja qué va ahí.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9360"/>
            <w:gridSpan w:val="4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Título + mensaje principal · botón para cargar archivo</w:t>
            </w:r>
          </w:p>
        </w:tc>
      </w:tr>
      <w:tr>
        <w:tc>
          <w:tcPr>
            <w:tcW w:type="dxa" w:w="234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KPI 1</w:t>
            </w:r>
          </w:p>
        </w:tc>
        <w:tc>
          <w:tcPr>
            <w:tcW w:type="dxa" w:w="234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KPI 2</w:t>
            </w:r>
          </w:p>
        </w:tc>
        <w:tc>
          <w:tcPr>
            <w:tcW w:type="dxa" w:w="234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KPI 3</w:t>
            </w:r>
          </w:p>
        </w:tc>
        <w:tc>
          <w:tcPr>
            <w:tcW w:type="dxa" w:w="234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KPI 4</w:t>
            </w:r>
          </w:p>
        </w:tc>
      </w:tr>
      <w:tr>
        <w:tc>
          <w:tcPr>
            <w:tcW w:type="dxa" w:w="4680"/>
            <w:gridSpan w:val="2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tcMar>
              <w:top w:type="dxa" w:w="600"/>
              <w:left w:type="dxa" w:w="110"/>
              <w:bottom w:type="dxa" w:w="6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Gráfico P_</w:t>
            </w:r>
          </w:p>
        </w:tc>
        <w:tc>
          <w:tcPr>
            <w:tcW w:type="dxa" w:w="4680"/>
            <w:gridSpan w:val="2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tcMar>
              <w:top w:type="dxa" w:w="600"/>
              <w:left w:type="dxa" w:w="110"/>
              <w:bottom w:type="dxa" w:w="6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Gráfico P_</w:t>
            </w:r>
          </w:p>
        </w:tc>
      </w:tr>
      <w:tr>
        <w:tc>
          <w:tcPr>
            <w:tcW w:type="dxa" w:w="9360"/>
            <w:gridSpan w:val="4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tcMar>
              <w:top w:type="dxa" w:w="600"/>
              <w:left w:type="dxa" w:w="110"/>
              <w:bottom w:type="dxa" w:w="60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Gráfico P_ (ancho completo)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Lectura esperada (patrón Z/F)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¿Qué se ve primero, segundo, tercero?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KPIs elegidos y por qué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Qué dejé por fuera a propósito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8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Interactividad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Filtros globales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Sede, mes, canal… ¿Afectan a todos los gráficos?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Tooltips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¿Qué muestran?</w:t>
            </w:r>
          </w:p>
        </w:tc>
      </w:tr>
      <w:tr>
        <w:tc>
          <w:tcPr>
            <w:tcW w:type="dxa" w:w="30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ECECF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2C"/>
                <w:sz w:val="19"/>
                <w:szCs w:val="19"/>
              </w:rPr>
              <w:t xml:space="preserve">Estados vacíos y errores</w:t>
            </w:r>
          </w:p>
        </w:tc>
        <w:tc>
          <w:tcPr>
            <w:tcW w:type="dxa" w:w="63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8A8BA0"/>
                <w:sz w:val="20"/>
                <w:szCs w:val="20"/>
              </w:rPr>
              <w:t xml:space="preserve">¿Qué ve el usuario si el archivo no tiene las columnas esperadas?</w:t>
            </w:r>
          </w:p>
        </w:tc>
      </w:tr>
    </w:tbl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9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Requisitos técnicos para la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2C"/>
          <w:sz w:val="21"/>
          <w:szCs w:val="21"/>
        </w:rPr>
        <w:t xml:space="preserve">Un solo archivo </w:t>
      </w:r>
      <w:r>
        <w:rPr>
          <w:rFonts w:ascii="Arial" w:cs="Arial" w:eastAsia="Arial" w:hAnsi="Arial"/>
          <w:b/>
          <w:bCs/>
          <w:color w:val="1D1D2C"/>
          <w:sz w:val="21"/>
          <w:szCs w:val="21"/>
        </w:rPr>
        <w:t xml:space="preserve">index.html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, sin servidor; se abre con doble clic.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2C"/>
          <w:sz w:val="21"/>
          <w:szCs w:val="21"/>
        </w:rPr>
        <w:t xml:space="preserve">Botón para cargar .xlsx o .csv con la estructura de cafe_farallones_ventas_2026S1 (hoja ventas).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2C"/>
          <w:sz w:val="21"/>
          <w:szCs w:val="21"/>
        </w:rPr>
        <w:t xml:space="preserve">Librerías por CDN: </w:t>
      </w:r>
      <w:r>
        <w:rPr>
          <w:rFonts w:ascii="Arial" w:cs="Arial" w:eastAsia="Arial" w:hAnsi="Arial"/>
          <w:i/>
          <w:iCs/>
          <w:color w:val="8A8BA0"/>
          <w:sz w:val="20"/>
          <w:szCs w:val="20"/>
        </w:rPr>
        <w:t xml:space="preserve">p. ej. SheetJS para Excel, PapaParse para CSV, Chart.js o Apache ECharts para gráficos.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2C"/>
          <w:sz w:val="21"/>
          <w:szCs w:val="21"/>
        </w:rPr>
        <w:t xml:space="preserve">Validar que existan las columnas requeridas y avisar cuáles faltan.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2C"/>
          <w:sz w:val="21"/>
          <w:szCs w:val="21"/>
        </w:rPr>
        <w:t xml:space="preserve">Todos los cálculos se hacen en el navegador a partir del archivo cargado; nada de valores fijos en el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D1D2C"/>
          <w:sz w:val="21"/>
          <w:szCs w:val="21"/>
        </w:rPr>
        <w:t xml:space="preserve">Respetar los colores, órdenes y formatos de las secciones 5 y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8A8BA0"/>
          <w:sz w:val="20"/>
          <w:szCs w:val="20"/>
        </w:rPr>
        <w:t xml:space="preserve">Otro requisito del equipo</w:t>
      </w:r>
    </w:p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10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Bitácora de decisiones con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cantSplit/>
          <w:tblHeader/>
        </w:trPr>
        <w:tc>
          <w:tcPr>
            <w:tcW w:type="dxa" w:w="1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le pedí a la IA</w:t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propuso</w:t>
            </w:r>
          </w:p>
        </w:tc>
        <w:tc>
          <w:tcPr>
            <w:tcW w:type="dxa" w:w="28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5454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acepté o corregí, y por qué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Exploración</w:t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Exploración</w:t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Construcción</w:t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Construcción</w:t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>Crítica</w:t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CECFD4" w:sz="4"/>
              <w:left w:val="single" w:color="CECFD4" w:sz="4"/>
              <w:bottom w:val="single" w:color="CECFD4" w:sz="4"/>
              <w:right w:val="single" w:color="CECFD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2C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360"/>
      </w:pPr>
      <w:r>
        <w:rPr>
          <w:rFonts w:ascii="Arial" w:cs="Arial" w:eastAsia="Arial" w:hAnsi="Arial"/>
          <w:b/>
          <w:bCs/>
          <w:caps/>
          <w:color w:val="5454E9"/>
          <w:spacing w:val="30"/>
          <w:sz w:val="18"/>
          <w:szCs w:val="18"/>
        </w:rPr>
        <w:t xml:space="preserve">Sección 11</w:t>
      </w:r>
    </w:p>
    <w:p>
      <w:pPr>
        <w:pStyle w:val="Heading1"/>
        <w:keepNext/>
        <w:pBdr>
          <w:bottom w:val="single" w:color="5454E9" w:sz="12" w:space="4"/>
        </w:pBdr>
        <w:spacing w:after="160"/>
      </w:pPr>
      <w:r>
        <w:rPr>
          <w:rFonts w:ascii="Arial" w:cs="Arial" w:eastAsia="Arial" w:hAnsi="Arial"/>
          <w:b/>
          <w:bCs/>
          <w:color w:val="1D1D2C"/>
          <w:sz w:val="30"/>
          <w:szCs w:val="30"/>
        </w:rPr>
        <w:t xml:space="preserve">Autoevaluación final</w:t>
      </w:r>
    </w:p>
    <w:p>
      <w:pPr>
        <w:spacing w:after="80"/>
      </w:pPr>
      <w:r>
        <w:rPr>
          <w:rFonts w:ascii="Arial" w:cs="Arial" w:eastAsia="Arial" w:hAnsi="Arial"/>
          <w:color w:val="5454E9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Cada gráfico responde una pregunta de la sección 2</w:t>
      </w:r>
    </w:p>
    <w:p>
      <w:pPr>
        <w:spacing w:after="80"/>
      </w:pPr>
      <w:r>
        <w:rPr>
          <w:rFonts w:ascii="Arial" w:cs="Arial" w:eastAsia="Arial" w:hAnsi="Arial"/>
          <w:color w:val="5454E9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Cada título es una conclusión</w:t>
      </w:r>
    </w:p>
    <w:p>
      <w:pPr>
        <w:spacing w:after="80"/>
      </w:pPr>
      <w:r>
        <w:rPr>
          <w:rFonts w:ascii="Arial" w:cs="Arial" w:eastAsia="Arial" w:hAnsi="Arial"/>
          <w:color w:val="5454E9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Los ordinales respetan su orden natural</w:t>
      </w:r>
    </w:p>
    <w:p>
      <w:pPr>
        <w:spacing w:after="80"/>
      </w:pPr>
      <w:r>
        <w:rPr>
          <w:rFonts w:ascii="Arial" w:cs="Arial" w:eastAsia="Arial" w:hAnsi="Arial"/>
          <w:color w:val="5454E9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Las barras parten de cero</w:t>
      </w:r>
    </w:p>
    <w:p>
      <w:pPr>
        <w:spacing w:after="80"/>
      </w:pPr>
      <w:r>
        <w:rPr>
          <w:rFonts w:ascii="Arial" w:cs="Arial" w:eastAsia="Arial" w:hAnsi="Arial"/>
          <w:color w:val="5454E9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El color de acento se usa con intención (1–2 elementos por gráfico)</w:t>
      </w:r>
    </w:p>
    <w:p>
      <w:pPr>
        <w:spacing w:after="80"/>
      </w:pPr>
      <w:r>
        <w:rPr>
          <w:rFonts w:ascii="Arial" w:cs="Arial" w:eastAsia="Arial" w:hAnsi="Arial"/>
          <w:color w:val="5454E9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No hay gráficos de torta con más de 4 porciones</w:t>
      </w:r>
    </w:p>
    <w:p>
      <w:pPr>
        <w:spacing w:after="80"/>
      </w:pPr>
      <w:r>
        <w:rPr>
          <w:rFonts w:ascii="Arial" w:cs="Arial" w:eastAsia="Arial" w:hAnsi="Arial"/>
          <w:color w:val="5454E9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Las comparaciones entre sedes son justas (por día abierto)</w:t>
      </w:r>
    </w:p>
    <w:p>
      <w:pPr>
        <w:spacing w:after="80"/>
      </w:pPr>
      <w:r>
        <w:rPr>
          <w:rFonts w:ascii="Arial" w:cs="Arial" w:eastAsia="Arial" w:hAnsi="Arial"/>
          <w:color w:val="5454E9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Los valores atípicos están tratados y explicados</w:t>
      </w:r>
    </w:p>
    <w:p>
      <w:pPr>
        <w:spacing w:after="80"/>
      </w:pPr>
      <w:r>
        <w:rPr>
          <w:rFonts w:ascii="Arial" w:cs="Arial" w:eastAsia="Arial" w:hAnsi="Arial"/>
          <w:color w:val="5454E9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D1D2C"/>
          <w:sz w:val="21"/>
          <w:szCs w:val="21"/>
        </w:rPr>
        <w:t xml:space="preserve">El tablero funciona con el archivo .csv y con el .xlsx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BA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8BA0"/>
        <w:sz w:val="16"/>
        <w:szCs w:val="16"/>
      </w:rPr>
      <w:t xml:space="preserve">Universidad Icesi · Visualización y Data Storytelling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5454E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D1D2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DESIGN.md — Tablero Café Farallones (plantilla)</dc:title>
  <dc:creator>Visualización y Data Storytelling · Universidad Icesi</dc:creator>
  <cp:lastModifiedBy>Un-named</cp:lastModifiedBy>
  <cp:revision>1</cp:revision>
  <dcterms:created xsi:type="dcterms:W3CDTF">2026-10-08T00:32:30.965Z</dcterms:created>
  <dcterms:modified xsi:type="dcterms:W3CDTF">2026-10-08T00:32:30.966Z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