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036D5B6C">
                      <wp:simplePos x="0" y="0"/>
                      <wp:positionH relativeFrom="column">
                        <wp:posOffset>-1348011</wp:posOffset>
                      </wp:positionH>
                      <wp:positionV relativeFrom="paragraph">
                        <wp:posOffset>-874166</wp:posOffset>
                      </wp:positionV>
                      <wp:extent cx="8079698" cy="10560570"/>
                      <wp:effectExtent l="0" t="0" r="0" b="635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16A0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465D"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" fillcolor="#16a085"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282BBC" w14:paraId="4D52AD71" w14:textId="77777777" w:rsidTr="00C54B2C">
        <w:trPr>
          <w:trHeight w:val="7919"/>
        </w:trPr>
        <w:tc>
          <w:tcPr>
            <w:tcW w:w="8577" w:type="dxa"/>
          </w:tcPr>
          <w:p w14:paraId="62D11989" w14:textId="77777777" w:rsidR="00EA0C8C" w:rsidRPr="00282BBC" w:rsidRDefault="00EA0C8C" w:rsidP="00C54B2C">
            <w:pPr>
              <w:pStyle w:val="Normal1"/>
              <w:ind w:left="-284"/>
              <w:jc w:val="center"/>
              <w:rPr>
                <w:rFonts w:asciiTheme="majorHAnsi" w:eastAsiaTheme="minorEastAsia" w:hAnsiTheme="majorHAnsi" w:cs="Helvetica"/>
                <w:lang w:eastAsia="es-ES_tradnl"/>
              </w:rPr>
            </w:pPr>
          </w:p>
          <w:p w14:paraId="0ACD9329" w14:textId="54102489" w:rsidR="00EA0C8C" w:rsidRPr="00282BBC" w:rsidRDefault="00EA0C8C" w:rsidP="00C54B2C">
            <w:pPr>
              <w:pStyle w:val="Normal1"/>
              <w:ind w:left="-284"/>
              <w:jc w:val="center"/>
              <w:rPr>
                <w:rFonts w:asciiTheme="majorHAnsi" w:eastAsiaTheme="minorEastAsia" w:hAnsiTheme="majorHAnsi" w:cs="Helvetica"/>
                <w:lang w:eastAsia="es-ES_tradnl"/>
              </w:rPr>
            </w:pPr>
          </w:p>
          <w:p w14:paraId="0B933F13" w14:textId="503921F7" w:rsidR="00EA0C8C" w:rsidRPr="00282BBC" w:rsidRDefault="00EA0C8C" w:rsidP="00C54B2C">
            <w:pPr>
              <w:pStyle w:val="Normal1"/>
              <w:ind w:left="-284"/>
              <w:jc w:val="center"/>
              <w:rPr>
                <w:rFonts w:asciiTheme="majorHAnsi" w:eastAsiaTheme="minorEastAsia" w:hAnsiTheme="majorHAnsi" w:cs="Helvetica"/>
                <w:lang w:eastAsia="es-ES_tradnl"/>
              </w:rPr>
            </w:pPr>
          </w:p>
          <w:p w14:paraId="2AE771B4" w14:textId="739DE9E5" w:rsidR="00EA0C8C" w:rsidRPr="00282BBC" w:rsidRDefault="00EA0C8C" w:rsidP="00C54B2C">
            <w:pPr>
              <w:pStyle w:val="Normal1"/>
              <w:ind w:left="-284"/>
              <w:jc w:val="center"/>
              <w:rPr>
                <w:rFonts w:asciiTheme="majorHAnsi" w:eastAsiaTheme="minorEastAsia" w:hAnsiTheme="majorHAnsi" w:cs="Helvetica"/>
                <w:lang w:eastAsia="es-ES_tradnl"/>
              </w:rPr>
            </w:pPr>
          </w:p>
          <w:p w14:paraId="0C01C9E8" w14:textId="08B09A70" w:rsidR="00EA0C8C" w:rsidRPr="00282BBC" w:rsidRDefault="00EA0C8C" w:rsidP="00C54B2C">
            <w:pPr>
              <w:pStyle w:val="Normal1"/>
              <w:ind w:left="-284"/>
              <w:jc w:val="center"/>
              <w:rPr>
                <w:rFonts w:asciiTheme="majorHAnsi" w:eastAsiaTheme="minorEastAsia" w:hAnsiTheme="majorHAnsi" w:cs="Helvetica"/>
                <w:lang w:eastAsia="es-ES_tradnl"/>
              </w:rPr>
            </w:pPr>
          </w:p>
          <w:p w14:paraId="3BAB6FA5" w14:textId="738FDA3F" w:rsidR="00EA0C8C" w:rsidRPr="00282BBC" w:rsidRDefault="00EA0C8C" w:rsidP="00C54B2C">
            <w:pPr>
              <w:tabs>
                <w:tab w:val="left" w:pos="8364"/>
              </w:tabs>
              <w:spacing w:line="288" w:lineRule="auto"/>
              <w:ind w:left="-284" w:right="213"/>
              <w:jc w:val="center"/>
              <w:rPr>
                <w:rFonts w:asciiTheme="majorHAnsi" w:hAnsiTheme="majorHAnsi"/>
                <w:color w:val="FFFFFF" w:themeColor="background1"/>
                <w:sz w:val="13"/>
                <w:lang w:val="es-ES_tradnl"/>
              </w:rPr>
            </w:pPr>
            <w:r w:rsidRPr="00282BBC">
              <w:rPr>
                <w:rFonts w:asciiTheme="majorHAnsi" w:hAnsiTheme="majorHAnsi"/>
                <w:color w:val="FFFFFF" w:themeColor="background1"/>
                <w:sz w:val="13"/>
                <w:lang w:val="es-ES_tradnl"/>
              </w:rPr>
              <w:t>………………………………………………………………………………………………………………………………………………………………………………………………………………………………………………………….</w:t>
            </w:r>
          </w:p>
          <w:p w14:paraId="3AE6E6C8" w14:textId="77777777" w:rsidR="00EA0C8C" w:rsidRPr="00282BBC" w:rsidRDefault="00EA0C8C" w:rsidP="00C54B2C">
            <w:pPr>
              <w:tabs>
                <w:tab w:val="left" w:pos="0"/>
                <w:tab w:val="left" w:pos="8364"/>
              </w:tabs>
              <w:spacing w:line="288" w:lineRule="auto"/>
              <w:ind w:left="-284" w:right="213"/>
              <w:jc w:val="center"/>
              <w:rPr>
                <w:rFonts w:asciiTheme="majorHAnsi" w:hAnsiTheme="majorHAnsi"/>
                <w:color w:val="FFFFFF" w:themeColor="background1"/>
                <w:sz w:val="13"/>
                <w:lang w:val="es-ES_tradnl"/>
              </w:rPr>
            </w:pPr>
          </w:p>
          <w:p w14:paraId="47305854" w14:textId="4A886C0A" w:rsidR="00EA0C8C" w:rsidRPr="00282BBC" w:rsidRDefault="00EA0C8C" w:rsidP="00C54B2C">
            <w:pPr>
              <w:tabs>
                <w:tab w:val="left" w:pos="8364"/>
              </w:tabs>
              <w:ind w:right="213"/>
              <w:jc w:val="center"/>
              <w:rPr>
                <w:rFonts w:asciiTheme="majorHAnsi" w:eastAsia="Roboto" w:hAnsiTheme="majorHAnsi" w:cs="Roboto"/>
                <w:b/>
                <w:color w:val="FFFFFF" w:themeColor="background1"/>
                <w:sz w:val="32"/>
                <w:lang w:val="es-ES_tradnl"/>
              </w:rPr>
            </w:pPr>
          </w:p>
          <w:p w14:paraId="24B967E8" w14:textId="7E1993A1" w:rsidR="00EA0C8C" w:rsidRPr="00282BBC" w:rsidRDefault="00EA0C8C" w:rsidP="00C54B2C">
            <w:pPr>
              <w:tabs>
                <w:tab w:val="left" w:pos="8364"/>
              </w:tabs>
              <w:ind w:right="213"/>
              <w:jc w:val="center"/>
              <w:rPr>
                <w:rFonts w:ascii="Avenir Next Medium" w:eastAsia="Roboto" w:hAnsi="Avenir Next Medium" w:cs="Roboto"/>
                <w:color w:val="FFFFFF" w:themeColor="background1"/>
                <w:sz w:val="32"/>
                <w:lang w:val="es-ES_tradnl"/>
              </w:rPr>
            </w:pPr>
            <w:r w:rsidRPr="00282BBC">
              <w:rPr>
                <w:rFonts w:ascii="Avenir Next Medium" w:eastAsia="Roboto" w:hAnsi="Avenir Next Medium" w:cs="Roboto"/>
                <w:color w:val="FFFFFF" w:themeColor="background1"/>
                <w:sz w:val="32"/>
                <w:lang w:val="es-ES_tradnl"/>
              </w:rPr>
              <w:t>Reporte Trimestral de Red Flags</w:t>
            </w:r>
          </w:p>
          <w:p w14:paraId="77D3FD81" w14:textId="3BA9AEF2"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1AB12FFB" w14:textId="77777777"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p>
          <w:p w14:paraId="1A8A7C3D" w14:textId="6A553125"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r w:rsidRPr="00282BBC">
              <w:rPr>
                <w:rFonts w:ascii="Avenir Next Medium" w:eastAsia="Arial Narrow" w:hAnsi="Avenir Next Medium" w:cs="Arial Narrow"/>
                <w:color w:val="FFFFFF" w:themeColor="background1"/>
              </w:rPr>
              <w:t xml:space="preserve">- </w:t>
            </w:r>
            <w:r w:rsidR="00966605">
              <w:rPr>
                <w:rFonts w:ascii="Avenir Next Medium" w:eastAsia="Arial Narrow" w:hAnsi="Avenir Next Medium" w:cs="Arial Narrow"/>
                <w:color w:val="FFFFFF" w:themeColor="background1"/>
              </w:rPr>
              <w:t>01</w:t>
            </w:r>
            <w:r w:rsidRPr="00282BBC">
              <w:rPr>
                <w:rFonts w:ascii="Avenir Next Medium" w:eastAsia="Arial Narrow" w:hAnsi="Avenir Next Medium" w:cs="Arial Narrow"/>
                <w:color w:val="FFFFFF" w:themeColor="background1"/>
              </w:rPr>
              <w:t>.</w:t>
            </w:r>
            <w:r w:rsidR="00E24CDB">
              <w:rPr>
                <w:rFonts w:ascii="Avenir Next Medium" w:eastAsia="Arial Narrow" w:hAnsi="Avenir Next Medium" w:cs="Arial Narrow"/>
                <w:color w:val="FFFFFF" w:themeColor="background1"/>
              </w:rPr>
              <w:t>0</w:t>
            </w:r>
            <w:r w:rsidR="00966605">
              <w:rPr>
                <w:rFonts w:ascii="Avenir Next Medium" w:eastAsia="Arial Narrow" w:hAnsi="Avenir Next Medium" w:cs="Arial Narrow"/>
                <w:color w:val="FFFFFF" w:themeColor="background1"/>
              </w:rPr>
              <w:t>4</w:t>
            </w:r>
            <w:r w:rsidRPr="00282BBC">
              <w:rPr>
                <w:rFonts w:ascii="Avenir Next Medium" w:eastAsia="Arial Narrow" w:hAnsi="Avenir Next Medium" w:cs="Arial Narrow"/>
                <w:color w:val="FFFFFF" w:themeColor="background1"/>
              </w:rPr>
              <w:t>.202</w:t>
            </w:r>
            <w:r w:rsidR="00DB0B5B">
              <w:rPr>
                <w:rFonts w:ascii="Avenir Next Medium" w:eastAsia="Arial Narrow" w:hAnsi="Avenir Next Medium" w:cs="Arial Narrow"/>
                <w:color w:val="FFFFFF" w:themeColor="background1"/>
              </w:rPr>
              <w:t>1</w:t>
            </w:r>
            <w:r w:rsidRPr="00282BBC">
              <w:rPr>
                <w:rFonts w:ascii="Avenir Next Medium" w:eastAsia="Arial Narrow" w:hAnsi="Avenir Next Medium" w:cs="Arial Narrow"/>
                <w:color w:val="FFFFFF" w:themeColor="background1"/>
              </w:rPr>
              <w:t xml:space="preserve"> -</w:t>
            </w:r>
          </w:p>
          <w:p w14:paraId="4DCCF1A6" w14:textId="77777777"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4A5F3DB4" w14:textId="3641794E"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r w:rsidRPr="00282BBC">
              <w:rPr>
                <w:rFonts w:ascii="Avenir Next Medium" w:hAnsi="Avenir Next Medium"/>
                <w:color w:val="FFFFFF" w:themeColor="background1"/>
                <w:sz w:val="13"/>
                <w:lang w:val="es-ES_tradnl"/>
              </w:rPr>
              <w:t>………………………………………………………………………………………………………………………………………………………………………………</w:t>
            </w:r>
          </w:p>
          <w:p w14:paraId="42CEF869" w14:textId="56343370"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p>
          <w:p w14:paraId="36F45745" w14:textId="3ECF3DF3" w:rsidR="00EA0C8C" w:rsidRPr="00282BBC" w:rsidRDefault="00EA0C8C" w:rsidP="005E790C">
            <w:pPr>
              <w:tabs>
                <w:tab w:val="left" w:pos="8364"/>
              </w:tabs>
              <w:spacing w:line="288" w:lineRule="auto"/>
              <w:ind w:right="87"/>
              <w:rPr>
                <w:rFonts w:ascii="Avenir Next Medium" w:hAnsi="Avenir Next Medium"/>
                <w:color w:val="FFFFFF" w:themeColor="background1"/>
                <w:sz w:val="13"/>
                <w:lang w:val="es-ES_tradnl"/>
              </w:rPr>
            </w:pPr>
          </w:p>
          <w:p w14:paraId="56C4BC05" w14:textId="3D919B5D" w:rsidR="00EA0C8C" w:rsidRPr="00282BBC" w:rsidRDefault="00EA0C8C" w:rsidP="00C54B2C">
            <w:pPr>
              <w:tabs>
                <w:tab w:val="left" w:pos="8364"/>
              </w:tabs>
              <w:spacing w:line="288" w:lineRule="auto"/>
              <w:ind w:left="-284" w:right="87"/>
              <w:jc w:val="center"/>
              <w:rPr>
                <w:rFonts w:ascii="Avenir Next Medium" w:hAnsi="Avenir Next Medium"/>
                <w:color w:val="FFFFFF" w:themeColor="background1"/>
                <w:sz w:val="13"/>
                <w:lang w:val="es-ES_tradnl"/>
              </w:rPr>
            </w:pPr>
          </w:p>
          <w:p w14:paraId="24AD293B" w14:textId="050A0AFD"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José Mora González</w:t>
            </w:r>
          </w:p>
          <w:p w14:paraId="6D544B72" w14:textId="5C2FC765"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Analista de datos</w:t>
            </w:r>
          </w:p>
          <w:p w14:paraId="7C580C24" w14:textId="7AF5042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lang w:val="es-ES_tradnl"/>
              </w:rPr>
            </w:pPr>
            <w:r w:rsidRPr="00282BBC">
              <w:rPr>
                <w:rFonts w:ascii="Avenir Next Medium" w:hAnsi="Avenir Next Medium"/>
                <w:color w:val="FFFFFF" w:themeColor="background1"/>
                <w:lang w:val="es-ES_tradnl"/>
              </w:rPr>
              <w:t>Observatorio del Gasto Fiscal</w:t>
            </w:r>
          </w:p>
          <w:p w14:paraId="6D711005" w14:textId="77777777" w:rsidR="005E790C"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jose</w:t>
            </w:r>
            <w:r w:rsidR="00EA0C8C" w:rsidRPr="00282BBC">
              <w:rPr>
                <w:rFonts w:ascii="Avenir Next Medium" w:hAnsi="Avenir Next Medium"/>
                <w:color w:val="FFFFFF" w:themeColor="background1"/>
                <w:lang w:val="es-ES_tradnl"/>
              </w:rPr>
              <w:t>@observatoriofiscal.cl</w:t>
            </w:r>
          </w:p>
          <w:p w14:paraId="70DDD5BD" w14:textId="77777777" w:rsidR="005E790C" w:rsidRDefault="005E790C" w:rsidP="00C54B2C">
            <w:pPr>
              <w:tabs>
                <w:tab w:val="left" w:pos="8364"/>
              </w:tabs>
              <w:spacing w:line="288" w:lineRule="auto"/>
              <w:ind w:left="-284" w:right="87"/>
              <w:jc w:val="right"/>
              <w:rPr>
                <w:rFonts w:ascii="Avenir Next Medium" w:hAnsi="Avenir Next Medium"/>
                <w:color w:val="FFFFFF" w:themeColor="background1"/>
                <w:lang w:val="es-ES_tradnl"/>
              </w:rPr>
            </w:pPr>
          </w:p>
          <w:p w14:paraId="58D6C4E0" w14:textId="4FFB259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sz w:val="16"/>
                <w:lang w:val="es-ES_tradnl"/>
              </w:rPr>
            </w:pPr>
            <w:r w:rsidRPr="00282BBC">
              <w:rPr>
                <w:rFonts w:ascii="Avenir Next Medium" w:hAnsi="Avenir Next Medium"/>
                <w:color w:val="FFFFFF" w:themeColor="background1"/>
                <w:lang w:val="es-ES_tradnl"/>
              </w:rPr>
              <w:t xml:space="preserve"> </w:t>
            </w:r>
          </w:p>
          <w:p w14:paraId="424BB2B2" w14:textId="6F77B26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6D133106" w14:textId="668600AC" w:rsidR="00EA0C8C" w:rsidRPr="005E790C" w:rsidRDefault="005E790C" w:rsidP="00C54B2C">
            <w:pPr>
              <w:tabs>
                <w:tab w:val="left" w:pos="8647"/>
              </w:tabs>
              <w:spacing w:line="288" w:lineRule="auto"/>
              <w:ind w:left="-284" w:right="-76"/>
              <w:jc w:val="center"/>
              <w:rPr>
                <w:rFonts w:ascii="Avenir Next Medium" w:hAnsi="Avenir Next Medium"/>
                <w:color w:val="FFFFFF" w:themeColor="background1"/>
                <w:lang w:val="es-ES_tradnl"/>
              </w:rPr>
            </w:pPr>
            <w:r w:rsidRPr="005E790C">
              <w:rPr>
                <w:rFonts w:ascii="Avenir Next Medium" w:hAnsi="Avenir Next Medium"/>
                <w:color w:val="FFFFFF" w:themeColor="background1"/>
                <w:lang w:val="es-ES_tradnl"/>
              </w:rPr>
              <w:t>En colaboración con:</w:t>
            </w:r>
          </w:p>
          <w:p w14:paraId="144CB5A2" w14:textId="202DFCA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5DE0C478" w14:textId="270A7315" w:rsidR="00EA0C8C" w:rsidRPr="00282BBC" w:rsidRDefault="005E790C" w:rsidP="00C54B2C">
            <w:pPr>
              <w:tabs>
                <w:tab w:val="left" w:pos="8647"/>
              </w:tabs>
              <w:spacing w:line="288" w:lineRule="auto"/>
              <w:ind w:left="-284" w:right="-76"/>
              <w:jc w:val="center"/>
              <w:rPr>
                <w:rFonts w:asciiTheme="majorHAnsi" w:hAnsiTheme="majorHAnsi"/>
                <w:color w:val="FFFFFF" w:themeColor="background1"/>
                <w:lang w:val="es-ES_tradnl"/>
              </w:rPr>
            </w:pPr>
            <w:r w:rsidRPr="00282BBC">
              <w:fldChar w:fldCharType="begin"/>
            </w:r>
            <w:r w:rsidRPr="00282BBC">
              <w:instrText xml:space="preserve"> INCLUDEPICTURE "https://www.espaciopublico.cl/wp-content/themes/espacio-p-blico/images/logoep2.png" \* MERGEFORMATINET </w:instrText>
            </w:r>
            <w:r w:rsidRPr="00282BBC">
              <w:fldChar w:fldCharType="separate"/>
            </w:r>
            <w:r w:rsidRPr="00282BBC">
              <w:rPr>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282BBC">
              <w:fldChar w:fldCharType="end"/>
            </w:r>
          </w:p>
          <w:p w14:paraId="12DE076A"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p>
          <w:p w14:paraId="6ACF1C7C"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r w:rsidRPr="00282BBC">
              <w:rPr>
                <w:rFonts w:asciiTheme="majorHAnsi" w:eastAsia="Arial Narrow" w:hAnsiTheme="majorHAnsi"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495ABA" w:rsidRDefault="00495ABA" w:rsidP="00495ABA">
            <w:pPr>
              <w:rPr>
                <w:rFonts w:asciiTheme="majorHAnsi" w:hAnsiTheme="majorHAnsi"/>
                <w:lang w:val="es-ES_tradnl"/>
              </w:rPr>
            </w:pPr>
          </w:p>
        </w:tc>
      </w:tr>
    </w:tbl>
    <w:sdt>
      <w:sdtPr>
        <w:rPr>
          <w:rFonts w:asciiTheme="minorHAnsi" w:eastAsiaTheme="minorHAnsi" w:hAnsiTheme="minorHAnsi" w:cstheme="minorBidi"/>
          <w:b w:val="0"/>
          <w:bCs w:val="0"/>
          <w:color w:val="auto"/>
          <w:sz w:val="22"/>
          <w:szCs w:val="22"/>
          <w:lang w:val="es-ES" w:eastAsia="en-US"/>
        </w:rPr>
        <w:id w:val="-739021801"/>
        <w:docPartObj>
          <w:docPartGallery w:val="Table of Contents"/>
          <w:docPartUnique/>
        </w:docPartObj>
      </w:sdtPr>
      <w:sdtEndPr>
        <w:rPr>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1E3DB982" w14:textId="75B40CA7" w:rsidR="00DB0B5B" w:rsidRPr="00DB0B5B" w:rsidRDefault="0070214A">
          <w:pPr>
            <w:pStyle w:val="TDC1"/>
            <w:tabs>
              <w:tab w:val="right" w:leader="dot" w:pos="8828"/>
            </w:tabs>
            <w:rPr>
              <w:rFonts w:eastAsiaTheme="minorEastAsia" w:cstheme="minorBidi"/>
              <w:b w:val="0"/>
              <w:bCs w:val="0"/>
              <w:i w:val="0"/>
              <w:iCs w:val="0"/>
              <w:noProof/>
              <w:sz w:val="22"/>
              <w:szCs w:val="22"/>
              <w:lang w:val="es-ES" w:eastAsia="es-ES"/>
            </w:rPr>
          </w:pPr>
          <w:r w:rsidRPr="00DB0B5B">
            <w:rPr>
              <w:b w:val="0"/>
              <w:bCs w:val="0"/>
              <w:sz w:val="22"/>
              <w:szCs w:val="22"/>
            </w:rPr>
            <w:fldChar w:fldCharType="begin"/>
          </w:r>
          <w:r w:rsidRPr="00DB0B5B">
            <w:rPr>
              <w:b w:val="0"/>
              <w:bCs w:val="0"/>
              <w:sz w:val="22"/>
              <w:szCs w:val="22"/>
            </w:rPr>
            <w:instrText>TOC \o "1-3" \h \z \u</w:instrText>
          </w:r>
          <w:r w:rsidRPr="00DB0B5B">
            <w:rPr>
              <w:b w:val="0"/>
              <w:bCs w:val="0"/>
              <w:sz w:val="22"/>
              <w:szCs w:val="22"/>
            </w:rPr>
            <w:fldChar w:fldCharType="separate"/>
          </w:r>
          <w:hyperlink w:anchor="_Toc60814886" w:history="1">
            <w:r w:rsidR="00DB0B5B" w:rsidRPr="00DB0B5B">
              <w:rPr>
                <w:rStyle w:val="Hipervnculo"/>
                <w:rFonts w:ascii="Avenir Next" w:hAnsi="Avenir Next" w:cs="Arial"/>
                <w:b w:val="0"/>
                <w:bCs w:val="0"/>
                <w:noProof/>
                <w:lang w:val="es-ES"/>
              </w:rPr>
              <w:t>1. INTRODUCCION</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_Toc60814886 \h </w:instrText>
            </w:r>
            <w:r w:rsidR="00DB0B5B" w:rsidRPr="00DB0B5B">
              <w:rPr>
                <w:b w:val="0"/>
                <w:bCs w:val="0"/>
                <w:noProof/>
                <w:webHidden/>
              </w:rPr>
            </w:r>
            <w:r w:rsidR="00DB0B5B" w:rsidRPr="00DB0B5B">
              <w:rPr>
                <w:b w:val="0"/>
                <w:bCs w:val="0"/>
                <w:noProof/>
                <w:webHidden/>
              </w:rPr>
              <w:fldChar w:fldCharType="separate"/>
            </w:r>
            <w:r w:rsidR="00D81F14">
              <w:rPr>
                <w:b w:val="0"/>
                <w:bCs w:val="0"/>
                <w:noProof/>
                <w:webHidden/>
              </w:rPr>
              <w:t>3</w:t>
            </w:r>
            <w:r w:rsidR="00DB0B5B" w:rsidRPr="00DB0B5B">
              <w:rPr>
                <w:b w:val="0"/>
                <w:bCs w:val="0"/>
                <w:noProof/>
                <w:webHidden/>
              </w:rPr>
              <w:fldChar w:fldCharType="end"/>
            </w:r>
          </w:hyperlink>
        </w:p>
        <w:p w14:paraId="410271CA" w14:textId="253FFF22" w:rsidR="00DB0B5B" w:rsidRPr="00DB0B5B" w:rsidRDefault="00441840">
          <w:pPr>
            <w:pStyle w:val="TDC1"/>
            <w:tabs>
              <w:tab w:val="right" w:leader="dot" w:pos="8828"/>
            </w:tabs>
            <w:rPr>
              <w:rFonts w:eastAsiaTheme="minorEastAsia" w:cstheme="minorBidi"/>
              <w:b w:val="0"/>
              <w:bCs w:val="0"/>
              <w:i w:val="0"/>
              <w:iCs w:val="0"/>
              <w:noProof/>
              <w:sz w:val="22"/>
              <w:szCs w:val="22"/>
              <w:lang w:val="es-ES" w:eastAsia="es-ES"/>
            </w:rPr>
          </w:pPr>
          <w:hyperlink w:anchor="_Toc60814887" w:history="1">
            <w:r w:rsidR="00DB0B5B" w:rsidRPr="00DB0B5B">
              <w:rPr>
                <w:rStyle w:val="Hipervnculo"/>
                <w:rFonts w:ascii="Avenir Next" w:hAnsi="Avenir Next" w:cs="Arial"/>
                <w:b w:val="0"/>
                <w:bCs w:val="0"/>
                <w:noProof/>
                <w:lang w:val="es-ES"/>
              </w:rPr>
              <w:t>2. RED FLAGS A NIVEL INSTITUCIONAL</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_Toc60814887 \h </w:instrText>
            </w:r>
            <w:r w:rsidR="00DB0B5B" w:rsidRPr="00DB0B5B">
              <w:rPr>
                <w:b w:val="0"/>
                <w:bCs w:val="0"/>
                <w:noProof/>
                <w:webHidden/>
              </w:rPr>
            </w:r>
            <w:r w:rsidR="00DB0B5B" w:rsidRPr="00DB0B5B">
              <w:rPr>
                <w:b w:val="0"/>
                <w:bCs w:val="0"/>
                <w:noProof/>
                <w:webHidden/>
              </w:rPr>
              <w:fldChar w:fldCharType="separate"/>
            </w:r>
            <w:r w:rsidR="00D81F14">
              <w:rPr>
                <w:b w:val="0"/>
                <w:bCs w:val="0"/>
                <w:noProof/>
                <w:webHidden/>
              </w:rPr>
              <w:t>4</w:t>
            </w:r>
            <w:r w:rsidR="00DB0B5B" w:rsidRPr="00DB0B5B">
              <w:rPr>
                <w:b w:val="0"/>
                <w:bCs w:val="0"/>
                <w:noProof/>
                <w:webHidden/>
              </w:rPr>
              <w:fldChar w:fldCharType="end"/>
            </w:r>
          </w:hyperlink>
        </w:p>
        <w:p w14:paraId="15D429C1" w14:textId="5912F577" w:rsidR="00DB0B5B" w:rsidRPr="00DB0B5B" w:rsidRDefault="00441840">
          <w:pPr>
            <w:pStyle w:val="TDC2"/>
            <w:rPr>
              <w:rFonts w:asciiTheme="minorHAnsi" w:eastAsiaTheme="minorEastAsia" w:hAnsiTheme="minorHAnsi" w:cstheme="minorBidi"/>
              <w:b w:val="0"/>
              <w:bCs w:val="0"/>
              <w:lang w:eastAsia="es-ES"/>
            </w:rPr>
          </w:pPr>
          <w:hyperlink w:anchor="_Toc60814888" w:history="1">
            <w:r w:rsidR="00DB0B5B" w:rsidRPr="00DB0B5B">
              <w:rPr>
                <w:rStyle w:val="Hipervnculo"/>
                <w:b w:val="0"/>
                <w:bCs w:val="0"/>
              </w:rPr>
              <w:t xml:space="preserve">2.1. RIESGO A NIVEL DE LAS </w:t>
            </w:r>
            <w:r w:rsidR="00DB0B5B" w:rsidRPr="00DB0B5B">
              <w:rPr>
                <w:rStyle w:val="Hipervnculo"/>
                <w:rFonts w:cs="Times New Roman (Títulos en alf"/>
                <w:b w:val="0"/>
                <w:bCs w:val="0"/>
                <w:caps/>
              </w:rPr>
              <w:t>Municipalidades</w:t>
            </w:r>
            <w:r w:rsidR="00DB0B5B" w:rsidRPr="00DB0B5B">
              <w:rPr>
                <w:b w:val="0"/>
                <w:bCs w:val="0"/>
                <w:webHidden/>
              </w:rPr>
              <w:tab/>
            </w:r>
            <w:r w:rsidR="00DB0B5B" w:rsidRPr="00DB0B5B">
              <w:rPr>
                <w:b w:val="0"/>
                <w:bCs w:val="0"/>
                <w:webHidden/>
              </w:rPr>
              <w:fldChar w:fldCharType="begin"/>
            </w:r>
            <w:r w:rsidR="00DB0B5B" w:rsidRPr="00DB0B5B">
              <w:rPr>
                <w:b w:val="0"/>
                <w:bCs w:val="0"/>
                <w:webHidden/>
              </w:rPr>
              <w:instrText xml:space="preserve"> PAGEREF _Toc60814888 \h </w:instrText>
            </w:r>
            <w:r w:rsidR="00DB0B5B" w:rsidRPr="00DB0B5B">
              <w:rPr>
                <w:b w:val="0"/>
                <w:bCs w:val="0"/>
                <w:webHidden/>
              </w:rPr>
            </w:r>
            <w:r w:rsidR="00DB0B5B" w:rsidRPr="00DB0B5B">
              <w:rPr>
                <w:b w:val="0"/>
                <w:bCs w:val="0"/>
                <w:webHidden/>
              </w:rPr>
              <w:fldChar w:fldCharType="separate"/>
            </w:r>
            <w:r w:rsidR="00D81F14">
              <w:rPr>
                <w:b w:val="0"/>
                <w:bCs w:val="0"/>
                <w:webHidden/>
              </w:rPr>
              <w:t>4</w:t>
            </w:r>
            <w:r w:rsidR="00DB0B5B" w:rsidRPr="00DB0B5B">
              <w:rPr>
                <w:b w:val="0"/>
                <w:bCs w:val="0"/>
                <w:webHidden/>
              </w:rPr>
              <w:fldChar w:fldCharType="end"/>
            </w:r>
          </w:hyperlink>
        </w:p>
        <w:p w14:paraId="07527CA7" w14:textId="3DA1CC53" w:rsidR="00DB0B5B" w:rsidRPr="00DB0B5B" w:rsidRDefault="00441840">
          <w:pPr>
            <w:pStyle w:val="TDC1"/>
            <w:tabs>
              <w:tab w:val="right" w:leader="dot" w:pos="8828"/>
            </w:tabs>
            <w:rPr>
              <w:rFonts w:eastAsiaTheme="minorEastAsia" w:cstheme="minorBidi"/>
              <w:b w:val="0"/>
              <w:bCs w:val="0"/>
              <w:i w:val="0"/>
              <w:iCs w:val="0"/>
              <w:noProof/>
              <w:sz w:val="22"/>
              <w:szCs w:val="22"/>
              <w:lang w:val="es-ES" w:eastAsia="es-ES"/>
            </w:rPr>
          </w:pPr>
          <w:hyperlink w:anchor="_Toc60814889" w:history="1">
            <w:r w:rsidR="00DB0B5B" w:rsidRPr="00DB0B5B">
              <w:rPr>
                <w:rStyle w:val="Hipervnculo"/>
                <w:rFonts w:ascii="Avenir Next" w:hAnsi="Avenir Next" w:cs="Arial"/>
                <w:b w:val="0"/>
                <w:bCs w:val="0"/>
                <w:noProof/>
                <w:lang w:val="es-ES"/>
              </w:rPr>
              <w:t xml:space="preserve">3. </w:t>
            </w:r>
            <w:r w:rsidR="00DB0B5B" w:rsidRPr="00DB0B5B">
              <w:rPr>
                <w:rStyle w:val="Hipervnculo"/>
                <w:rFonts w:ascii="Avenir Next" w:hAnsi="Avenir Next" w:cs="Arial"/>
                <w:b w:val="0"/>
                <w:bCs w:val="0"/>
                <w:caps/>
                <w:noProof/>
                <w:lang w:val="es-ES"/>
              </w:rPr>
              <w:t>Red Flags a nivel de cada licitación pública</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_Toc60814889 \h </w:instrText>
            </w:r>
            <w:r w:rsidR="00DB0B5B" w:rsidRPr="00DB0B5B">
              <w:rPr>
                <w:b w:val="0"/>
                <w:bCs w:val="0"/>
                <w:noProof/>
                <w:webHidden/>
              </w:rPr>
            </w:r>
            <w:r w:rsidR="00DB0B5B" w:rsidRPr="00DB0B5B">
              <w:rPr>
                <w:b w:val="0"/>
                <w:bCs w:val="0"/>
                <w:noProof/>
                <w:webHidden/>
              </w:rPr>
              <w:fldChar w:fldCharType="separate"/>
            </w:r>
            <w:r w:rsidR="00D81F14">
              <w:rPr>
                <w:b w:val="0"/>
                <w:bCs w:val="0"/>
                <w:noProof/>
                <w:webHidden/>
              </w:rPr>
              <w:t>7</w:t>
            </w:r>
            <w:r w:rsidR="00DB0B5B" w:rsidRPr="00DB0B5B">
              <w:rPr>
                <w:b w:val="0"/>
                <w:bCs w:val="0"/>
                <w:noProof/>
                <w:webHidden/>
              </w:rPr>
              <w:fldChar w:fldCharType="end"/>
            </w:r>
          </w:hyperlink>
        </w:p>
        <w:p w14:paraId="0284B43D" w14:textId="3C9ED852" w:rsidR="00DB0B5B" w:rsidRPr="00DB0B5B" w:rsidRDefault="00441840">
          <w:pPr>
            <w:pStyle w:val="TDC2"/>
            <w:rPr>
              <w:rFonts w:asciiTheme="minorHAnsi" w:eastAsiaTheme="minorEastAsia" w:hAnsiTheme="minorHAnsi" w:cstheme="minorBidi"/>
              <w:b w:val="0"/>
              <w:bCs w:val="0"/>
              <w:lang w:eastAsia="es-ES"/>
            </w:rPr>
          </w:pPr>
          <w:hyperlink w:anchor="_Toc60814890" w:history="1">
            <w:r w:rsidR="00DB0B5B" w:rsidRPr="00DB0B5B">
              <w:rPr>
                <w:rStyle w:val="Hipervnculo"/>
                <w:b w:val="0"/>
                <w:bCs w:val="0"/>
              </w:rPr>
              <w:t xml:space="preserve">3.1 </w:t>
            </w:r>
            <w:r w:rsidR="00DB0B5B" w:rsidRPr="00DB0B5B">
              <w:rPr>
                <w:rStyle w:val="Hipervnculo"/>
                <w:rFonts w:cs="Times New Roman (Títulos en alf"/>
                <w:b w:val="0"/>
                <w:bCs w:val="0"/>
                <w:caps/>
              </w:rPr>
              <w:t>Riesgo a Licitación pública</w:t>
            </w:r>
            <w:r w:rsidR="00DB0B5B" w:rsidRPr="00DB0B5B">
              <w:rPr>
                <w:b w:val="0"/>
                <w:bCs w:val="0"/>
                <w:webHidden/>
              </w:rPr>
              <w:tab/>
            </w:r>
            <w:r w:rsidR="00DB0B5B" w:rsidRPr="00DB0B5B">
              <w:rPr>
                <w:b w:val="0"/>
                <w:bCs w:val="0"/>
                <w:webHidden/>
              </w:rPr>
              <w:fldChar w:fldCharType="begin"/>
            </w:r>
            <w:r w:rsidR="00DB0B5B" w:rsidRPr="00DB0B5B">
              <w:rPr>
                <w:b w:val="0"/>
                <w:bCs w:val="0"/>
                <w:webHidden/>
              </w:rPr>
              <w:instrText xml:space="preserve"> PAGEREF _Toc60814890 \h </w:instrText>
            </w:r>
            <w:r w:rsidR="00DB0B5B" w:rsidRPr="00DB0B5B">
              <w:rPr>
                <w:b w:val="0"/>
                <w:bCs w:val="0"/>
                <w:webHidden/>
              </w:rPr>
            </w:r>
            <w:r w:rsidR="00DB0B5B" w:rsidRPr="00DB0B5B">
              <w:rPr>
                <w:b w:val="0"/>
                <w:bCs w:val="0"/>
                <w:webHidden/>
              </w:rPr>
              <w:fldChar w:fldCharType="separate"/>
            </w:r>
            <w:r w:rsidR="00D81F14">
              <w:rPr>
                <w:b w:val="0"/>
                <w:bCs w:val="0"/>
                <w:webHidden/>
              </w:rPr>
              <w:t>7</w:t>
            </w:r>
            <w:r w:rsidR="00DB0B5B" w:rsidRPr="00DB0B5B">
              <w:rPr>
                <w:b w:val="0"/>
                <w:bCs w:val="0"/>
                <w:webHidden/>
              </w:rPr>
              <w:fldChar w:fldCharType="end"/>
            </w:r>
          </w:hyperlink>
        </w:p>
        <w:p w14:paraId="650910DD" w14:textId="38034A06" w:rsidR="0070214A" w:rsidRPr="00282BBC" w:rsidRDefault="0070214A">
          <w:pPr>
            <w:rPr>
              <w:sz w:val="22"/>
              <w:szCs w:val="22"/>
            </w:rPr>
          </w:pPr>
          <w:r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60814886"/>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521777CA"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marzo de</w:t>
      </w:r>
      <w:r w:rsidRPr="00282BBC">
        <w:rPr>
          <w:rFonts w:ascii="Avenir Next" w:hAnsi="Avenir Next"/>
          <w:color w:val="000000" w:themeColor="text1"/>
          <w:sz w:val="20"/>
          <w:szCs w:val="20"/>
          <w:lang w:val="es-ES"/>
        </w:rPr>
        <w:t xml:space="preserve"> 202</w:t>
      </w:r>
      <w:r w:rsidR="00D019CB">
        <w:rPr>
          <w:rFonts w:ascii="Avenir Next" w:hAnsi="Avenir Next"/>
          <w:color w:val="000000" w:themeColor="text1"/>
          <w:sz w:val="20"/>
          <w:szCs w:val="20"/>
          <w:lang w:val="es-ES"/>
        </w:rPr>
        <w:t>1</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562E6930"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“Red flag</w:t>
      </w:r>
      <w:r w:rsidR="00D019CB">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significa</w:t>
      </w:r>
      <w:r w:rsidRPr="00282BBC">
        <w:rPr>
          <w:rFonts w:ascii="Avenir Next" w:hAnsi="Avenir Next"/>
          <w:color w:val="000000" w:themeColor="text1"/>
          <w:sz w:val="20"/>
          <w:szCs w:val="20"/>
          <w:lang w:val="es-ES"/>
        </w:rPr>
        <w:t xml:space="preserve"> “bandera roja”, es decir, es una señal de advertencia. En el caso de las compras públicas, los “red flags” representan riesgos en materia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754D86B6" w14:textId="7EC51479" w:rsidR="002E7041" w:rsidRPr="00EF14EB"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reporte presente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Por un lado, destacan “red flags”</w:t>
      </w:r>
      <w:r w:rsidR="002E7041" w:rsidRPr="00282BBC">
        <w:rPr>
          <w:rFonts w:ascii="Avenir Next" w:hAnsi="Avenir Next"/>
          <w:color w:val="000000" w:themeColor="text1"/>
          <w:sz w:val="20"/>
          <w:szCs w:val="20"/>
          <w:lang w:val="es-ES"/>
        </w:rPr>
        <w:t xml:space="preserve"> que muestran riesgos en compras públicas, basado en indicadores </w:t>
      </w:r>
      <w:r w:rsidR="00547D86">
        <w:rPr>
          <w:rFonts w:ascii="Avenir Next" w:hAnsi="Avenir Next"/>
          <w:color w:val="000000" w:themeColor="text1"/>
          <w:sz w:val="20"/>
          <w:szCs w:val="20"/>
          <w:lang w:val="es-ES"/>
        </w:rPr>
        <w:t xml:space="preserve">cuya unidad de análisis son las </w:t>
      </w:r>
      <w:r w:rsidR="002E7041" w:rsidRPr="00282BBC">
        <w:rPr>
          <w:rFonts w:ascii="Avenir Next" w:hAnsi="Avenir Next"/>
          <w:color w:val="000000" w:themeColor="text1"/>
          <w:sz w:val="20"/>
          <w:szCs w:val="20"/>
          <w:lang w:val="es-ES"/>
        </w:rPr>
        <w:t xml:space="preserve">instituciones, creado por </w:t>
      </w:r>
      <w:r w:rsidRPr="00282BBC">
        <w:rPr>
          <w:rFonts w:ascii="Avenir Next" w:hAnsi="Avenir Next"/>
          <w:color w:val="000000" w:themeColor="text1"/>
          <w:sz w:val="20"/>
          <w:szCs w:val="20"/>
          <w:lang w:val="es-ES"/>
        </w:rPr>
        <w:t>Espacio Público</w:t>
      </w:r>
      <w:r w:rsidR="002E7041" w:rsidRPr="00282BBC">
        <w:rPr>
          <w:rFonts w:ascii="Avenir Next" w:hAnsi="Avenir Next"/>
          <w:color w:val="000000" w:themeColor="text1"/>
          <w:sz w:val="20"/>
          <w:szCs w:val="20"/>
          <w:lang w:val="es-ES"/>
        </w:rPr>
        <w:t xml:space="preserve"> (vea documento </w:t>
      </w:r>
      <w:r w:rsidR="002E7041" w:rsidRPr="00EF14EB">
        <w:rPr>
          <w:rFonts w:ascii="Avenir Next" w:hAnsi="Avenir Next"/>
          <w:color w:val="000000" w:themeColor="text1"/>
          <w:sz w:val="20"/>
          <w:szCs w:val="20"/>
          <w:lang w:val="es-ES"/>
        </w:rPr>
        <w:t xml:space="preserve">metodológico </w:t>
      </w:r>
      <w:hyperlink r:id="rId12"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 xml:space="preserve">). </w:t>
      </w:r>
    </w:p>
    <w:p w14:paraId="42ED9F55" w14:textId="68650702" w:rsidR="002E7041" w:rsidRPr="00EF14EB" w:rsidRDefault="00C44E7C"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 </w:t>
      </w:r>
    </w:p>
    <w:p w14:paraId="4B41C74C" w14:textId="11ADC79E" w:rsidR="002E7041" w:rsidRPr="00282BBC" w:rsidRDefault="002E7041"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Complementario a ello, destacan los “red flags” </w:t>
      </w:r>
      <w:r w:rsidR="00547D86" w:rsidRPr="00EF14EB">
        <w:rPr>
          <w:rFonts w:ascii="Avenir Next" w:hAnsi="Avenir Next"/>
          <w:color w:val="000000" w:themeColor="text1"/>
          <w:sz w:val="20"/>
          <w:szCs w:val="20"/>
          <w:lang w:val="es-ES"/>
        </w:rPr>
        <w:t xml:space="preserve">cuya unidad de análisis es </w:t>
      </w:r>
      <w:r w:rsidR="000164C0" w:rsidRPr="00EF14EB">
        <w:rPr>
          <w:rFonts w:ascii="Avenir Next" w:hAnsi="Avenir Next"/>
          <w:color w:val="000000" w:themeColor="text1"/>
          <w:sz w:val="20"/>
          <w:szCs w:val="20"/>
          <w:lang w:val="es-ES"/>
        </w:rPr>
        <w:t xml:space="preserve">cada licitación, </w:t>
      </w:r>
      <w:r w:rsidRPr="00EF14EB">
        <w:rPr>
          <w:rFonts w:ascii="Avenir Next" w:hAnsi="Avenir Next"/>
          <w:color w:val="000000" w:themeColor="text1"/>
          <w:sz w:val="20"/>
          <w:szCs w:val="20"/>
          <w:lang w:val="es-ES"/>
        </w:rPr>
        <w:t>basado en</w:t>
      </w:r>
      <w:r w:rsidR="000164C0" w:rsidRPr="00EF14EB">
        <w:rPr>
          <w:rFonts w:ascii="Avenir Next" w:hAnsi="Avenir Next"/>
          <w:color w:val="000000" w:themeColor="text1"/>
          <w:sz w:val="20"/>
          <w:szCs w:val="20"/>
          <w:lang w:val="es-ES"/>
        </w:rPr>
        <w:t xml:space="preserve"> indicadores </w:t>
      </w:r>
      <w:r w:rsidRPr="00EF14EB">
        <w:rPr>
          <w:rFonts w:ascii="Avenir Next" w:hAnsi="Avenir Next"/>
          <w:color w:val="000000" w:themeColor="text1"/>
          <w:sz w:val="20"/>
          <w:szCs w:val="20"/>
          <w:lang w:val="es-ES"/>
        </w:rPr>
        <w:t xml:space="preserve">que fueron creados desde el Observatorio del Gasto Fiscal (vea documento metodológico </w:t>
      </w:r>
      <w:hyperlink r:id="rId13" w:history="1">
        <w:r w:rsidRPr="00EF14EB">
          <w:rPr>
            <w:rStyle w:val="Hipervnculo"/>
            <w:rFonts w:ascii="Avenir Next" w:hAnsi="Avenir Next"/>
            <w:color w:val="000000" w:themeColor="text1"/>
            <w:sz w:val="20"/>
            <w:szCs w:val="20"/>
            <w:lang w:val="es-ES"/>
          </w:rPr>
          <w:t>aquí</w:t>
        </w:r>
      </w:hyperlink>
      <w:r w:rsidRPr="00EF14EB">
        <w:rPr>
          <w:rFonts w:ascii="Avenir Next" w:hAnsi="Avenir Next"/>
          <w:color w:val="000000" w:themeColor="text1"/>
          <w:sz w:val="20"/>
          <w:szCs w:val="20"/>
          <w:lang w:val="es-ES"/>
        </w:rPr>
        <w:t>).</w:t>
      </w:r>
    </w:p>
    <w:p w14:paraId="7E10E92E" w14:textId="7EA6700E"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Open Contracting Partnership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3115D934" w14:textId="3E1CE2DC" w:rsidR="00BE199E" w:rsidRPr="00282BBC" w:rsidRDefault="00881352" w:rsidP="00BE199E">
      <w:pPr>
        <w:pStyle w:val="Ttulo1"/>
        <w:rPr>
          <w:rFonts w:ascii="Avenir Next" w:hAnsi="Avenir Next" w:cs="Arial"/>
          <w:color w:val="000000" w:themeColor="text1"/>
          <w:lang w:val="es-ES"/>
        </w:rPr>
      </w:pPr>
      <w:bookmarkStart w:id="1" w:name="_Toc60814887"/>
      <w:r w:rsidRPr="00282BBC">
        <w:rPr>
          <w:rFonts w:ascii="Avenir Next" w:hAnsi="Avenir Next" w:cs="Arial"/>
          <w:color w:val="000000" w:themeColor="text1"/>
          <w:lang w:val="es-ES"/>
        </w:rPr>
        <w:lastRenderedPageBreak/>
        <w:t>2. RED FLAGS A NIVEL INSTITUCIONAL</w:t>
      </w:r>
      <w:bookmarkEnd w:id="1"/>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E226597" w:rsidR="00DD1290" w:rsidRDefault="002E7041"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paso, se muestran</w:t>
      </w:r>
      <w:r w:rsidR="00BE199E"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 xml:space="preserve">Red Flags específicas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 con indicadores</w:t>
      </w:r>
      <w:r w:rsidR="00DD1290" w:rsidRPr="00282BBC">
        <w:rPr>
          <w:rFonts w:ascii="Avenir Next" w:hAnsi="Avenir Next"/>
          <w:color w:val="000000" w:themeColor="text1"/>
          <w:sz w:val="20"/>
          <w:szCs w:val="20"/>
          <w:lang w:val="es-ES"/>
        </w:rPr>
        <w:t xml:space="preserve"> que muestran un riesgo más alto en sus compras</w:t>
      </w:r>
      <w:r w:rsidR="00BE199E" w:rsidRPr="00282BBC">
        <w:rPr>
          <w:rFonts w:ascii="Avenir Next" w:hAnsi="Avenir Next"/>
          <w:color w:val="000000" w:themeColor="text1"/>
          <w:sz w:val="20"/>
          <w:szCs w:val="20"/>
          <w:lang w:val="es-ES"/>
        </w:rPr>
        <w:t>.</w:t>
      </w:r>
      <w:r w:rsidR="00073225" w:rsidRPr="00282BBC">
        <w:rPr>
          <w:rFonts w:ascii="Avenir Next" w:hAnsi="Avenir Next"/>
          <w:color w:val="000000" w:themeColor="text1"/>
          <w:sz w:val="20"/>
          <w:szCs w:val="20"/>
          <w:lang w:val="es-ES"/>
        </w:rPr>
        <w:t xml:space="preserve"> </w:t>
      </w:r>
    </w:p>
    <w:p w14:paraId="38A048B1" w14:textId="43B88114" w:rsidR="00E24CDB" w:rsidRPr="00282BBC" w:rsidRDefault="00E24CDB"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Si bien, los resultados en la plataforma se presentan los resultados tanto para el Gobierno Central como los municipios, en el presente informe se muestran solo los municipios, con la finalidad de hacer comparaciones entre instituciones que tengan funciones similares.</w:t>
      </w:r>
    </w:p>
    <w:p w14:paraId="7166D3B4" w14:textId="183CB5BC" w:rsidR="00BE199E" w:rsidRPr="00282BBC" w:rsidRDefault="00DD1290"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 xml:space="preserve">ara todos los análisis de la plataforma y de este informe, se usaron los datos de Mercado Público </w:t>
      </w:r>
      <w:r w:rsidR="00E73C8A" w:rsidRPr="00282BBC">
        <w:rPr>
          <w:rFonts w:ascii="Avenir Next" w:hAnsi="Avenir Next"/>
          <w:color w:val="000000" w:themeColor="text1"/>
          <w:sz w:val="20"/>
          <w:szCs w:val="20"/>
          <w:lang w:val="es-ES"/>
        </w:rPr>
        <w:t>y,</w:t>
      </w:r>
      <w:r w:rsidR="00073225" w:rsidRPr="00282BBC">
        <w:rPr>
          <w:rFonts w:ascii="Avenir Next" w:hAnsi="Avenir Next"/>
          <w:color w:val="000000" w:themeColor="text1"/>
          <w:sz w:val="20"/>
          <w:szCs w:val="20"/>
          <w:lang w:val="es-ES"/>
        </w:rPr>
        <w:t xml:space="preserve"> por ende, en el caso del Ministerio de Obras Públicas y los Servicios de Vivienda y Urbanización, la información de sus compras no está totalmente reflejada en dicha plataforma.</w:t>
      </w:r>
    </w:p>
    <w:p w14:paraId="10D4882B" w14:textId="547CC040" w:rsidR="00BE199E"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w:t>
      </w:r>
      <w:r w:rsidR="00547D86">
        <w:rPr>
          <w:rFonts w:ascii="Avenir Next" w:hAnsi="Avenir Next"/>
          <w:color w:val="000000" w:themeColor="text1"/>
          <w:sz w:val="20"/>
          <w:szCs w:val="20"/>
          <w:lang w:val="es-ES"/>
        </w:rPr>
        <w:t>análisis</w:t>
      </w:r>
      <w:r w:rsidRPr="00282BBC">
        <w:rPr>
          <w:rFonts w:ascii="Avenir Next" w:hAnsi="Avenir Next"/>
          <w:color w:val="000000" w:themeColor="text1"/>
          <w:sz w:val="20"/>
          <w:szCs w:val="20"/>
          <w:lang w:val="es-ES"/>
        </w:rPr>
        <w:t xml:space="preserve"> a continuación muestra un resumen de los riesgos </w:t>
      </w:r>
      <w:r w:rsidR="00C85EA6" w:rsidRPr="00282BBC">
        <w:rPr>
          <w:rFonts w:ascii="Avenir Next" w:hAnsi="Avenir Next"/>
          <w:color w:val="000000" w:themeColor="text1"/>
          <w:sz w:val="20"/>
          <w:szCs w:val="20"/>
          <w:lang w:val="es-ES"/>
        </w:rPr>
        <w:t xml:space="preserve">a nivel </w:t>
      </w:r>
      <w:r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632B0B60"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Un alto % de riesgo a nivel de riesgo por competencia implica</w:t>
      </w:r>
      <w:r w:rsidR="001007F4" w:rsidRPr="00282BBC">
        <w:rPr>
          <w:rFonts w:ascii="Avenir Next" w:hAnsi="Avenir Next"/>
          <w:color w:val="000000" w:themeColor="text1"/>
          <w:sz w:val="20"/>
          <w:szCs w:val="20"/>
          <w:lang w:val="es-ES"/>
        </w:rPr>
        <w:t xml:space="preserve"> que </w:t>
      </w:r>
      <w:r w:rsidR="00770CCE" w:rsidRPr="00282BBC">
        <w:rPr>
          <w:rFonts w:ascii="Avenir Next" w:hAnsi="Avenir Next"/>
          <w:color w:val="000000" w:themeColor="text1"/>
          <w:sz w:val="20"/>
          <w:szCs w:val="20"/>
          <w:lang w:val="es-ES"/>
        </w:rPr>
        <w:t>existen elevados porcentajes de licitaciones con oferentes únicos o muy pocos oferentes, que hay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13356FD6"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por transparencia implica </w:t>
      </w:r>
      <w:r w:rsidR="001007F4" w:rsidRPr="00282BBC">
        <w:rPr>
          <w:rFonts w:ascii="Avenir Next" w:hAnsi="Avenir Next"/>
          <w:color w:val="000000" w:themeColor="text1"/>
          <w:sz w:val="20"/>
          <w:szCs w:val="20"/>
          <w:lang w:val="es-ES"/>
        </w:rPr>
        <w:t>que</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3FDC596C" w:rsidR="00C85EA6" w:rsidRPr="00282BBC" w:rsidRDefault="00C85EA6" w:rsidP="00C54B2C">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w:t>
      </w:r>
      <w:r w:rsidR="00D76574">
        <w:rPr>
          <w:rFonts w:ascii="Avenir Next" w:hAnsi="Avenir Next"/>
          <w:color w:val="000000" w:themeColor="text1"/>
          <w:sz w:val="20"/>
          <w:szCs w:val="20"/>
          <w:lang w:val="es-ES"/>
        </w:rPr>
        <w:t xml:space="preserve">en otros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 xml:space="preserve">que </w:t>
      </w:r>
      <w:r w:rsidR="00770CCE" w:rsidRPr="00282BBC">
        <w:rPr>
          <w:rFonts w:ascii="Avenir Next" w:hAnsi="Avenir Next"/>
          <w:color w:val="000000" w:themeColor="text1"/>
          <w:sz w:val="20"/>
          <w:szCs w:val="20"/>
          <w:lang w:val="es-ES"/>
        </w:rPr>
        <w:t xml:space="preserve">hay incumplimientos de publicación de información, no se realiza o publica el contrato correspondiente, </w:t>
      </w:r>
      <w:r w:rsidR="00AC52CF" w:rsidRPr="00282BBC">
        <w:rPr>
          <w:rFonts w:ascii="Avenir Next" w:hAnsi="Avenir Next"/>
          <w:color w:val="000000" w:themeColor="text1"/>
          <w:sz w:val="20"/>
          <w:szCs w:val="20"/>
          <w:lang w:val="es-ES"/>
        </w:rPr>
        <w:t>entre otros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43E62547" w:rsidR="00BE199E" w:rsidRPr="00282BBC" w:rsidRDefault="00192BA5" w:rsidP="00D12DB2">
      <w:pPr>
        <w:pStyle w:val="Ttulo2"/>
        <w:rPr>
          <w:rFonts w:ascii="Avenir Next" w:hAnsi="Avenir Next"/>
          <w:color w:val="000000" w:themeColor="text1"/>
          <w:lang w:val="es-ES"/>
        </w:rPr>
      </w:pPr>
      <w:bookmarkStart w:id="2" w:name="_Toc60814888"/>
      <w:r w:rsidRPr="00282BBC">
        <w:rPr>
          <w:rFonts w:ascii="Avenir Next" w:hAnsi="Avenir Next"/>
          <w:color w:val="000000" w:themeColor="text1"/>
          <w:lang w:val="es-ES"/>
        </w:rPr>
        <w:t>2.</w:t>
      </w:r>
      <w:r w:rsidR="00547D86">
        <w:rPr>
          <w:rFonts w:ascii="Avenir Next" w:hAnsi="Avenir Next"/>
          <w:color w:val="000000" w:themeColor="text1"/>
          <w:lang w:val="es-ES"/>
        </w:rPr>
        <w:t>1</w:t>
      </w:r>
      <w:r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2"/>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6C363B"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3E7720" w:rsidRPr="00282BBC">
        <w:rPr>
          <w:rFonts w:ascii="Avenir Next" w:hAnsi="Avenir Next"/>
          <w:color w:val="000000" w:themeColor="text1"/>
          <w:sz w:val="20"/>
          <w:szCs w:val="20"/>
          <w:lang w:val="es-ES"/>
        </w:rPr>
        <w:t>continuación,</w:t>
      </w:r>
      <w:r w:rsidRPr="00282BBC">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 xml:space="preserve">se </w:t>
      </w:r>
      <w:r w:rsidRPr="00282BBC">
        <w:rPr>
          <w:rFonts w:ascii="Avenir Next" w:hAnsi="Avenir Next"/>
          <w:color w:val="000000" w:themeColor="text1"/>
          <w:sz w:val="20"/>
          <w:szCs w:val="20"/>
          <w:lang w:val="es-ES"/>
        </w:rPr>
        <w:t xml:space="preserve">pone el foco en las municipalidades </w:t>
      </w:r>
      <w:r w:rsidR="00F07C9C" w:rsidRPr="00282BBC">
        <w:rPr>
          <w:rFonts w:ascii="Avenir Next" w:hAnsi="Avenir Next"/>
          <w:color w:val="000000" w:themeColor="text1"/>
          <w:sz w:val="20"/>
          <w:szCs w:val="20"/>
          <w:lang w:val="es-ES"/>
        </w:rPr>
        <w:t>para observar</w:t>
      </w:r>
      <w:r w:rsidRPr="00282BBC">
        <w:rPr>
          <w:rFonts w:ascii="Avenir Next" w:hAnsi="Avenir Next"/>
          <w:color w:val="000000" w:themeColor="text1"/>
          <w:sz w:val="20"/>
          <w:szCs w:val="20"/>
          <w:lang w:val="es-ES"/>
        </w:rPr>
        <w:t xml:space="preserve"> cuales son aquellas con </w:t>
      </w:r>
      <w:r w:rsidR="00073225" w:rsidRPr="00282BBC">
        <w:rPr>
          <w:rFonts w:ascii="Avenir Next" w:hAnsi="Avenir Next"/>
          <w:color w:val="000000" w:themeColor="text1"/>
          <w:sz w:val="20"/>
          <w:szCs w:val="20"/>
          <w:lang w:val="es-ES"/>
        </w:rPr>
        <w:t>mayores riesgos</w:t>
      </w:r>
      <w:r w:rsidR="00F07C9C" w:rsidRPr="00282BBC">
        <w:rPr>
          <w:rFonts w:ascii="Avenir Next" w:hAnsi="Avenir Next"/>
          <w:color w:val="000000" w:themeColor="text1"/>
          <w:sz w:val="20"/>
          <w:szCs w:val="20"/>
          <w:lang w:val="es-ES"/>
        </w:rPr>
        <w:t xml:space="preserve"> según</w:t>
      </w:r>
      <w:r w:rsidRPr="00282BBC">
        <w:rPr>
          <w:rFonts w:ascii="Avenir Next" w:hAnsi="Avenir Next"/>
          <w:color w:val="000000" w:themeColor="text1"/>
          <w:sz w:val="20"/>
          <w:szCs w:val="20"/>
          <w:lang w:val="es-ES"/>
        </w:rPr>
        <w:t xml:space="preserve"> </w:t>
      </w:r>
      <w:r w:rsidR="00CB6A2E" w:rsidRPr="00282BBC">
        <w:rPr>
          <w:rFonts w:ascii="Avenir Next" w:hAnsi="Avenir Next"/>
          <w:color w:val="000000" w:themeColor="text1"/>
          <w:sz w:val="20"/>
          <w:szCs w:val="20"/>
          <w:lang w:val="es-ES"/>
        </w:rPr>
        <w:t>algunas red</w:t>
      </w:r>
      <w:r w:rsidRPr="00282BBC">
        <w:rPr>
          <w:rFonts w:ascii="Avenir Next" w:hAnsi="Avenir Next"/>
          <w:color w:val="000000" w:themeColor="text1"/>
          <w:sz w:val="20"/>
          <w:szCs w:val="20"/>
          <w:lang w:val="es-ES"/>
        </w:rPr>
        <w:t xml:space="preserve"> flags</w:t>
      </w:r>
      <w:r w:rsidR="00F07C9C" w:rsidRPr="00282BBC">
        <w:rPr>
          <w:rFonts w:ascii="Avenir Next" w:hAnsi="Avenir Next"/>
          <w:color w:val="000000" w:themeColor="text1"/>
          <w:sz w:val="20"/>
          <w:szCs w:val="20"/>
          <w:lang w:val="es-ES"/>
        </w:rPr>
        <w:t xml:space="preserve"> claves que fueron elegidos por Espacio Público para el presente informe.</w:t>
      </w:r>
    </w:p>
    <w:p w14:paraId="3FFEE294" w14:textId="7CDAD042" w:rsidR="00BE199E" w:rsidRPr="00282BBC" w:rsidRDefault="00BE199E" w:rsidP="00BE199E">
      <w:pPr>
        <w:jc w:val="both"/>
        <w:rPr>
          <w:rFonts w:ascii="Avenir Next" w:hAnsi="Avenir Next"/>
          <w:color w:val="000000" w:themeColor="text1"/>
          <w:sz w:val="20"/>
          <w:szCs w:val="20"/>
          <w:lang w:val="es-ES"/>
        </w:rPr>
      </w:pP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0C277FAE" w:rsidR="00BE199E" w:rsidRPr="00282BBC" w:rsidRDefault="00073225" w:rsidP="00BE199E">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E199E" w:rsidRPr="00282BBC">
        <w:rPr>
          <w:rFonts w:ascii="Avenir Next" w:hAnsi="Avenir Next"/>
          <w:b/>
          <w:bCs/>
          <w:color w:val="000000" w:themeColor="text1"/>
          <w:sz w:val="20"/>
          <w:szCs w:val="20"/>
          <w:lang w:val="es-ES"/>
        </w:rPr>
        <w:t>Porcentaje de Licitaciones con un único oferente.</w:t>
      </w:r>
    </w:p>
    <w:p w14:paraId="60F2768B" w14:textId="64FB3ED1" w:rsidR="004653EA" w:rsidRPr="00DB0B5B"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 Este tipo de licitaciones son poco deseables por cuanto la falta de competidores hace que no siempre se obtenga el mejor precio para el organismo.</w:t>
      </w:r>
    </w:p>
    <w:p w14:paraId="046BCB59" w14:textId="77777777" w:rsidR="004653EA" w:rsidRPr="00282BBC" w:rsidRDefault="004653EA" w:rsidP="00BE199E">
      <w:pPr>
        <w:jc w:val="both"/>
        <w:rPr>
          <w:rFonts w:ascii="Avenir Next" w:hAnsi="Avenir Next"/>
          <w:color w:val="000000" w:themeColor="text1"/>
          <w:lang w:val="es-ES"/>
        </w:rPr>
      </w:pPr>
    </w:p>
    <w:p w14:paraId="20DB2FEE" w14:textId="7F355AE3" w:rsidR="00BE199E" w:rsidRPr="00282BBC" w:rsidRDefault="00BE199E" w:rsidP="00BE199E">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8B6C1E" w:rsidRPr="00282BBC">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 xml:space="preserve">: Ranking de los </w:t>
      </w:r>
      <w:r w:rsidR="008B6C1E" w:rsidRPr="00282BBC">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organismos con la mayor fracción de licitaciones con un único oferente</w:t>
      </w:r>
      <w:r w:rsidR="00784FE2" w:rsidRPr="00282BBC">
        <w:rPr>
          <w:rFonts w:ascii="Avenir Next" w:hAnsi="Avenir Next"/>
          <w:i w:val="0"/>
          <w:iCs w:val="0"/>
          <w:color w:val="000000" w:themeColor="text1"/>
          <w:sz w:val="16"/>
          <w:szCs w:val="16"/>
        </w:rPr>
        <w:t xml:space="preserve"> en 202</w:t>
      </w:r>
      <w:r w:rsidR="00D019CB">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D019CB">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D019CB">
        <w:rPr>
          <w:rFonts w:ascii="Avenir Next" w:hAnsi="Avenir Next"/>
          <w:i w:val="0"/>
          <w:iCs w:val="0"/>
          <w:color w:val="000000" w:themeColor="text1"/>
          <w:sz w:val="16"/>
          <w:szCs w:val="16"/>
        </w:rPr>
        <w:t>1</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D019CB">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27E02513" w:rsidR="008B6C1E" w:rsidRPr="00282BBC" w:rsidRDefault="00D019CB" w:rsidP="008864C4">
      <w:pPr>
        <w:jc w:val="center"/>
        <w:rPr>
          <w:color w:val="000000" w:themeColor="text1"/>
        </w:rPr>
      </w:pPr>
      <w:r w:rsidRPr="00D019CB">
        <w:rPr>
          <w:color w:val="000000" w:themeColor="text1"/>
        </w:rPr>
        <w:drawing>
          <wp:inline distT="0" distB="0" distL="0" distR="0" wp14:anchorId="5CFB1368" wp14:editId="4BA95292">
            <wp:extent cx="4991100" cy="211040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7903" cy="2113279"/>
                    </a:xfrm>
                    <a:prstGeom prst="rect">
                      <a:avLst/>
                    </a:prstGeom>
                  </pic:spPr>
                </pic:pic>
              </a:graphicData>
            </a:graphic>
          </wp:inline>
        </w:drawing>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2EEA98FD" w:rsidR="00B21D9F" w:rsidRPr="00282BBC" w:rsidRDefault="00B21D9F" w:rsidP="00BE199E">
      <w:pPr>
        <w:jc w:val="both"/>
        <w:rPr>
          <w:rFonts w:ascii="Avenir Next" w:hAnsi="Avenir Next"/>
          <w:color w:val="000000" w:themeColor="text1"/>
          <w:lang w:val="es-ES"/>
        </w:rPr>
      </w:pPr>
    </w:p>
    <w:p w14:paraId="4D2BF37F" w14:textId="62E494F5" w:rsidR="00B21D9F" w:rsidRPr="00282BBC" w:rsidRDefault="002C26E9" w:rsidP="00B21D9F">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21D9F" w:rsidRPr="00282BBC">
        <w:rPr>
          <w:rFonts w:ascii="Avenir Next" w:hAnsi="Avenir Next"/>
          <w:b/>
          <w:bCs/>
          <w:color w:val="000000" w:themeColor="text1"/>
          <w:sz w:val="20"/>
          <w:szCs w:val="20"/>
          <w:lang w:val="es-ES"/>
        </w:rPr>
        <w:t>Promedio de participantes por procedimiento</w:t>
      </w:r>
    </w:p>
    <w:p w14:paraId="55E599A1" w14:textId="3BDFB775"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numero,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3F9A62ED"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Tabla 2: Ranking de los 5 organismos con el menor número de oferentes promedio</w:t>
      </w:r>
      <w:r w:rsidR="00784FE2" w:rsidRPr="00282BBC">
        <w:rPr>
          <w:rFonts w:ascii="Avenir Next" w:hAnsi="Avenir Next"/>
          <w:i w:val="0"/>
          <w:iCs w:val="0"/>
          <w:color w:val="000000" w:themeColor="text1"/>
          <w:sz w:val="16"/>
          <w:szCs w:val="16"/>
        </w:rPr>
        <w:t xml:space="preserve"> en 202</w:t>
      </w:r>
      <w:r w:rsidR="00B113D5">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B113D5">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B113D5">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113D5">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61A70B67" w:rsidR="00B21D9F" w:rsidRPr="00282BBC" w:rsidRDefault="00B113D5" w:rsidP="00B21D9F">
      <w:pPr>
        <w:jc w:val="both"/>
        <w:rPr>
          <w:rFonts w:ascii="Avenir Next" w:hAnsi="Avenir Next"/>
          <w:color w:val="000000" w:themeColor="text1"/>
          <w:sz w:val="20"/>
          <w:szCs w:val="20"/>
        </w:rPr>
      </w:pPr>
      <w:r w:rsidRPr="00B113D5">
        <w:rPr>
          <w:rFonts w:ascii="Avenir Next" w:hAnsi="Avenir Next"/>
          <w:color w:val="000000" w:themeColor="text1"/>
          <w:sz w:val="20"/>
          <w:szCs w:val="20"/>
        </w:rPr>
        <w:drawing>
          <wp:inline distT="0" distB="0" distL="0" distR="0" wp14:anchorId="606D5B83" wp14:editId="52571069">
            <wp:extent cx="5612130" cy="2117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17090"/>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CCF0B94" w:rsidR="00784FE2" w:rsidRPr="00D76574" w:rsidRDefault="002C26E9" w:rsidP="00B21D9F">
      <w:pPr>
        <w:jc w:val="both"/>
        <w:rPr>
          <w:rFonts w:ascii="Avenir Next" w:hAnsi="Avenir Next"/>
          <w:b/>
          <w:bCs/>
          <w:color w:val="000000" w:themeColor="text1"/>
          <w:sz w:val="20"/>
          <w:szCs w:val="20"/>
        </w:rPr>
      </w:pPr>
      <w:r w:rsidRPr="00282BBC">
        <w:rPr>
          <w:rFonts w:ascii="Avenir Next" w:hAnsi="Avenir Next"/>
          <w:b/>
          <w:bCs/>
          <w:color w:val="000000" w:themeColor="text1"/>
          <w:sz w:val="20"/>
          <w:szCs w:val="20"/>
          <w:lang w:val="es-ES"/>
        </w:rPr>
        <w:t xml:space="preserve">Competencia - </w:t>
      </w:r>
      <w:r w:rsidR="00D76574" w:rsidRPr="00D76574">
        <w:rPr>
          <w:rFonts w:ascii="Avenir Next" w:hAnsi="Avenir Next"/>
          <w:b/>
          <w:bCs/>
          <w:color w:val="000000" w:themeColor="text1"/>
          <w:sz w:val="20"/>
          <w:szCs w:val="20"/>
          <w:lang w:val="es-ES"/>
        </w:rPr>
        <w:t>Porcentaje de procedimientos que utilizaron adjudicación directa o licitación privada</w:t>
      </w:r>
    </w:p>
    <w:p w14:paraId="612F1248" w14:textId="541AC5C7"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p>
    <w:p w14:paraId="65DD399B" w14:textId="77777777" w:rsidR="00B21D9F" w:rsidRPr="00282BBC" w:rsidRDefault="00B21D9F" w:rsidP="00B21D9F">
      <w:pPr>
        <w:jc w:val="both"/>
        <w:rPr>
          <w:rFonts w:ascii="Avenir Next" w:hAnsi="Avenir Next"/>
          <w:color w:val="000000" w:themeColor="text1"/>
          <w:sz w:val="20"/>
          <w:szCs w:val="20"/>
          <w:lang w:val="es-ES"/>
        </w:rPr>
      </w:pPr>
    </w:p>
    <w:p w14:paraId="72F7ED43" w14:textId="66EFB0C5"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5 organismos 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046FF9">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corte al 31-</w:t>
      </w:r>
      <w:r w:rsidR="00046FF9">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046FF9">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435AC95A" w:rsidR="00B21D9F" w:rsidRPr="00282BBC" w:rsidRDefault="00046FF9" w:rsidP="00B21D9F">
      <w:pPr>
        <w:jc w:val="both"/>
        <w:rPr>
          <w:rFonts w:ascii="Avenir Next" w:hAnsi="Avenir Next"/>
          <w:color w:val="000000" w:themeColor="text1"/>
          <w:sz w:val="20"/>
          <w:szCs w:val="20"/>
        </w:rPr>
      </w:pPr>
      <w:r w:rsidRPr="00046FF9">
        <w:rPr>
          <w:noProof/>
        </w:rPr>
        <w:drawing>
          <wp:inline distT="0" distB="0" distL="0" distR="0" wp14:anchorId="4DB6DE9A" wp14:editId="53F399A9">
            <wp:extent cx="5612130" cy="21818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81860"/>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2E7D6E68" w:rsidR="008C26A6" w:rsidRPr="00282BBC" w:rsidRDefault="002C26E9" w:rsidP="008C26A6">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r w:rsidR="00CF3742" w:rsidRPr="00282BBC">
        <w:rPr>
          <w:rFonts w:ascii="Avenir Next" w:hAnsi="Avenir Next"/>
          <w:b/>
          <w:bCs/>
          <w:color w:val="000000" w:themeColor="text1"/>
          <w:sz w:val="20"/>
          <w:szCs w:val="20"/>
          <w:lang w:val="es-ES"/>
        </w:rPr>
        <w:t>Promedio del porcentaje de incumplimiento en la publicación de documentos obligatorios</w:t>
      </w:r>
    </w:p>
    <w:p w14:paraId="7A166604" w14:textId="4E73474B" w:rsidR="008C26A6" w:rsidRPr="00282BBC" w:rsidRDefault="008C26A6" w:rsidP="008C26A6">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42CD38FC"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Tabla 4: Ranking de los 5 organismos con el mayor porcentaje de licitaciones que no adjuntaron todos los documentos obligatorios en 2020</w:t>
      </w:r>
      <w:r w:rsidR="00BC341C" w:rsidRPr="00282BBC">
        <w:rPr>
          <w:rFonts w:ascii="Avenir Next" w:hAnsi="Avenir Next"/>
          <w:i w:val="0"/>
          <w:iCs w:val="0"/>
          <w:color w:val="000000" w:themeColor="text1"/>
          <w:sz w:val="16"/>
          <w:szCs w:val="16"/>
        </w:rPr>
        <w:t>, corte al 31-</w:t>
      </w:r>
      <w:r w:rsidR="00046FF9">
        <w:rPr>
          <w:rFonts w:ascii="Avenir Next" w:hAnsi="Avenir Next"/>
          <w:i w:val="0"/>
          <w:iCs w:val="0"/>
          <w:color w:val="000000" w:themeColor="text1"/>
          <w:sz w:val="16"/>
          <w:szCs w:val="16"/>
        </w:rPr>
        <w:t>03</w:t>
      </w:r>
      <w:r w:rsidR="00BC341C" w:rsidRPr="00282BBC">
        <w:rPr>
          <w:rFonts w:ascii="Avenir Next" w:hAnsi="Avenir Next"/>
          <w:i w:val="0"/>
          <w:iCs w:val="0"/>
          <w:color w:val="000000" w:themeColor="text1"/>
          <w:sz w:val="16"/>
          <w:szCs w:val="16"/>
        </w:rPr>
        <w:t>-202</w:t>
      </w:r>
      <w:r w:rsidR="00046FF9">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p>
    <w:p w14:paraId="0B480170" w14:textId="24124A92" w:rsidR="008C26A6" w:rsidRPr="00282BBC" w:rsidRDefault="00046FF9" w:rsidP="008C26A6">
      <w:pPr>
        <w:jc w:val="both"/>
        <w:rPr>
          <w:rFonts w:ascii="Avenir Next" w:hAnsi="Avenir Next"/>
          <w:color w:val="000000" w:themeColor="text1"/>
          <w:sz w:val="20"/>
          <w:szCs w:val="20"/>
        </w:rPr>
      </w:pPr>
      <w:r w:rsidRPr="00046FF9">
        <w:rPr>
          <w:noProof/>
        </w:rPr>
        <w:drawing>
          <wp:inline distT="0" distB="0" distL="0" distR="0" wp14:anchorId="327F5169" wp14:editId="124960C6">
            <wp:extent cx="5612130" cy="192278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22780"/>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108DCE96" w:rsidR="00BE199E" w:rsidRPr="00282BBC" w:rsidRDefault="00BE199E">
      <w:pPr>
        <w:rPr>
          <w:rFonts w:ascii="Avenir Next" w:hAnsi="Avenir Next" w:cs="Arial"/>
          <w:color w:val="000000" w:themeColor="text1"/>
          <w:lang w:val="es-ES"/>
        </w:rPr>
      </w:pPr>
    </w:p>
    <w:p w14:paraId="5F73ED20" w14:textId="562C7CA3" w:rsidR="007E3C71" w:rsidRPr="00282BBC" w:rsidRDefault="007E3C71" w:rsidP="007E3C71">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r w:rsidRPr="007E3C71">
        <w:rPr>
          <w:rFonts w:ascii="Avenir Next" w:hAnsi="Avenir Next"/>
          <w:b/>
          <w:bCs/>
          <w:color w:val="000000" w:themeColor="text1"/>
          <w:sz w:val="20"/>
          <w:szCs w:val="20"/>
          <w:lang w:val="es-ES"/>
        </w:rPr>
        <w:t>Porcentaje de las licitaciones mayores o iguales a 1.000 UTM y menores a 5.000 UTM cuyo plazo de oferta fue acelerado</w:t>
      </w:r>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775A4A9C"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5 organismos 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corte al 31-</w:t>
      </w:r>
      <w:r w:rsidR="00814E94">
        <w:rPr>
          <w:rFonts w:ascii="Avenir Next" w:hAnsi="Avenir Next"/>
          <w:i w:val="0"/>
          <w:iCs w:val="0"/>
          <w:color w:val="000000" w:themeColor="text1"/>
          <w:sz w:val="16"/>
          <w:szCs w:val="16"/>
        </w:rPr>
        <w:t>03</w:t>
      </w:r>
      <w:r w:rsidRPr="00282BBC">
        <w:rPr>
          <w:rFonts w:ascii="Avenir Next" w:hAnsi="Avenir Next"/>
          <w:i w:val="0"/>
          <w:iCs w:val="0"/>
          <w:color w:val="000000" w:themeColor="text1"/>
          <w:sz w:val="16"/>
          <w:szCs w:val="16"/>
        </w:rPr>
        <w:t>-202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Monto corresponde a la suma de las órdenes de compra de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p>
    <w:p w14:paraId="7DEED66E" w14:textId="524A05CE" w:rsidR="007E3C71" w:rsidRPr="00282BBC" w:rsidRDefault="00814E94" w:rsidP="007E3C71">
      <w:pPr>
        <w:jc w:val="both"/>
        <w:rPr>
          <w:rFonts w:ascii="Avenir Next" w:hAnsi="Avenir Next"/>
          <w:color w:val="000000" w:themeColor="text1"/>
          <w:sz w:val="20"/>
          <w:szCs w:val="20"/>
        </w:rPr>
      </w:pPr>
      <w:r w:rsidRPr="00814E94">
        <w:rPr>
          <w:noProof/>
        </w:rPr>
        <w:drawing>
          <wp:inline distT="0" distB="0" distL="0" distR="0" wp14:anchorId="40C37F04" wp14:editId="35C499B8">
            <wp:extent cx="5612130" cy="21767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76780"/>
                    </a:xfrm>
                    <a:prstGeom prst="rect">
                      <a:avLst/>
                    </a:prstGeom>
                  </pic:spPr>
                </pic:pic>
              </a:graphicData>
            </a:graphic>
          </wp:inline>
        </w:drawing>
      </w:r>
    </w:p>
    <w:p w14:paraId="4EA52DF3" w14:textId="38AEFA12" w:rsidR="007E3C71" w:rsidRPr="00282BBC" w:rsidRDefault="007E3C71" w:rsidP="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61768FD7" w14:textId="1C790C24" w:rsidR="000D191D" w:rsidRPr="00282BBC" w:rsidRDefault="007E3C71">
      <w:pPr>
        <w:rPr>
          <w:rFonts w:ascii="Avenir Next" w:eastAsiaTheme="majorEastAsia" w:hAnsi="Avenir Next" w:cs="Arial"/>
          <w:color w:val="000000" w:themeColor="text1"/>
          <w:sz w:val="32"/>
          <w:szCs w:val="32"/>
          <w:lang w:val="es-ES"/>
        </w:rPr>
      </w:pPr>
      <w:r>
        <w:rPr>
          <w:rFonts w:ascii="Avenir Next" w:eastAsiaTheme="majorEastAsia" w:hAnsi="Avenir Next" w:cs="Arial"/>
          <w:color w:val="000000" w:themeColor="text1"/>
          <w:sz w:val="32"/>
          <w:szCs w:val="32"/>
          <w:lang w:val="es-ES"/>
        </w:rPr>
        <w:br w:type="page"/>
      </w:r>
    </w:p>
    <w:p w14:paraId="4A7DEB0F" w14:textId="3782ED40" w:rsidR="008B42B9" w:rsidRPr="00282BBC" w:rsidRDefault="00192BA5" w:rsidP="00542F60">
      <w:pPr>
        <w:pStyle w:val="Ttulo1"/>
        <w:rPr>
          <w:rFonts w:ascii="Avenir Next" w:hAnsi="Avenir Next" w:cs="Arial"/>
          <w:color w:val="000000" w:themeColor="text1"/>
          <w:lang w:val="es-ES"/>
        </w:rPr>
      </w:pPr>
      <w:bookmarkStart w:id="3" w:name="_Toc60814889"/>
      <w:r w:rsidRPr="00282BBC">
        <w:rPr>
          <w:rFonts w:ascii="Avenir Next" w:hAnsi="Avenir Next" w:cs="Arial"/>
          <w:color w:val="000000" w:themeColor="text1"/>
          <w:lang w:val="es-ES"/>
        </w:rPr>
        <w:lastRenderedPageBreak/>
        <w:t xml:space="preserve">3.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3"/>
    </w:p>
    <w:p w14:paraId="76525D42" w14:textId="2406D44D" w:rsidR="00D12DB2" w:rsidRPr="00282BBC" w:rsidRDefault="00D12DB2" w:rsidP="00D12DB2">
      <w:pPr>
        <w:pStyle w:val="Ttulo2"/>
        <w:rPr>
          <w:rFonts w:ascii="Avenir Next" w:hAnsi="Avenir Next"/>
          <w:color w:val="000000" w:themeColor="text1"/>
          <w:lang w:val="es-ES"/>
        </w:rPr>
      </w:pPr>
    </w:p>
    <w:p w14:paraId="350B669D" w14:textId="0A05E7FA" w:rsidR="00D12DB2" w:rsidRPr="00282BBC" w:rsidRDefault="00582F85" w:rsidP="00D12DB2">
      <w:pPr>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capítulo se presenta </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061501">
        <w:rPr>
          <w:rFonts w:ascii="Avenir Next" w:hAnsi="Avenir Next"/>
          <w:color w:val="000000" w:themeColor="text1"/>
          <w:sz w:val="20"/>
          <w:szCs w:val="20"/>
          <w:lang w:val="es-ES"/>
        </w:rPr>
        <w:t>, estos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6B587B5E" w:rsidR="009F2E32" w:rsidRDefault="00774489" w:rsidP="00C77227">
      <w:pPr>
        <w:pStyle w:val="Ttulo2"/>
        <w:rPr>
          <w:rFonts w:ascii="Avenir Next" w:hAnsi="Avenir Next" w:cs="Times New Roman (Títulos en alf"/>
          <w:caps/>
          <w:color w:val="000000" w:themeColor="text1"/>
          <w:lang w:val="es-ES"/>
        </w:rPr>
      </w:pPr>
      <w:bookmarkStart w:id="4" w:name="_Toc60814890"/>
      <w:r w:rsidRPr="00282BBC">
        <w:rPr>
          <w:rFonts w:ascii="Avenir Next" w:hAnsi="Avenir Next"/>
          <w:color w:val="000000" w:themeColor="text1"/>
          <w:lang w:val="es-ES"/>
        </w:rPr>
        <w:t xml:space="preserve">3.1 </w:t>
      </w:r>
      <w:r w:rsidR="00282BBC" w:rsidRPr="00C77227">
        <w:rPr>
          <w:rFonts w:ascii="Avenir Next" w:hAnsi="Avenir Next" w:cs="Times New Roman (Títulos en alf"/>
          <w:caps/>
          <w:color w:val="000000" w:themeColor="text1"/>
          <w:lang w:val="es-ES"/>
        </w:rPr>
        <w:t>R</w:t>
      </w:r>
      <w:r w:rsidRPr="00C77227">
        <w:rPr>
          <w:rFonts w:ascii="Avenir Next" w:hAnsi="Avenir Next" w:cs="Times New Roman (Títulos en alf"/>
          <w:caps/>
          <w:color w:val="000000" w:themeColor="text1"/>
          <w:lang w:val="es-ES"/>
        </w:rPr>
        <w:t xml:space="preserve">iesgo </w:t>
      </w:r>
      <w:r w:rsidR="00282BBC" w:rsidRPr="00C77227">
        <w:rPr>
          <w:rFonts w:ascii="Avenir Next" w:hAnsi="Avenir Next" w:cs="Times New Roman (Títulos en alf"/>
          <w:caps/>
          <w:color w:val="000000" w:themeColor="text1"/>
          <w:lang w:val="es-ES"/>
        </w:rPr>
        <w:t xml:space="preserve">a </w:t>
      </w:r>
      <w:r w:rsidR="00C77227">
        <w:rPr>
          <w:rFonts w:ascii="Avenir Next" w:hAnsi="Avenir Next" w:cs="Times New Roman (Títulos en alf"/>
          <w:caps/>
          <w:color w:val="000000" w:themeColor="text1"/>
          <w:lang w:val="es-ES"/>
        </w:rPr>
        <w:t>Licitación pública</w:t>
      </w:r>
      <w:bookmarkEnd w:id="4"/>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145CBBCB" w:rsidR="00542F60"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A partir de la iniciativa de banderas rojas a nivel de licitación pública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algunos de los indicadores </w:t>
      </w:r>
      <w:r w:rsidR="00C12620">
        <w:rPr>
          <w:rFonts w:ascii="Avenir Next" w:hAnsi="Avenir Next" w:cs="Arial"/>
          <w:color w:val="000000" w:themeColor="text1"/>
          <w:sz w:val="20"/>
          <w:szCs w:val="20"/>
          <w:lang w:val="es-ES"/>
        </w:rPr>
        <w:t>específicos</w:t>
      </w:r>
      <w:r w:rsidR="005965F5">
        <w:rPr>
          <w:rFonts w:ascii="Avenir Next" w:hAnsi="Avenir Next" w:cs="Arial"/>
          <w:color w:val="000000" w:themeColor="text1"/>
          <w:sz w:val="20"/>
          <w:szCs w:val="20"/>
          <w:lang w:val="es-ES"/>
        </w:rPr>
        <w:t>, esta muestra representa un 24% del total de indicadores</w:t>
      </w:r>
      <w:r w:rsidR="00061501">
        <w:rPr>
          <w:rFonts w:ascii="Avenir Next" w:hAnsi="Avenir Next" w:cs="Arial"/>
          <w:color w:val="000000" w:themeColor="text1"/>
          <w:sz w:val="20"/>
          <w:szCs w:val="20"/>
          <w:lang w:val="es-ES"/>
        </w:rPr>
        <w:t xml:space="preserve"> y fueron elegidos</w:t>
      </w:r>
      <w:r w:rsidR="00514764">
        <w:rPr>
          <w:rFonts w:ascii="Avenir Next" w:hAnsi="Avenir Next" w:cs="Arial"/>
          <w:color w:val="000000" w:themeColor="text1"/>
          <w:sz w:val="20"/>
          <w:szCs w:val="20"/>
          <w:lang w:val="es-ES"/>
        </w:rPr>
        <w:t>,</w:t>
      </w:r>
      <w:r w:rsidR="00061501">
        <w:rPr>
          <w:rFonts w:ascii="Avenir Next" w:hAnsi="Avenir Next" w:cs="Arial"/>
          <w:color w:val="000000" w:themeColor="text1"/>
          <w:sz w:val="20"/>
          <w:szCs w:val="20"/>
          <w:lang w:val="es-ES"/>
        </w:rPr>
        <w:t xml:space="preserve"> como muestra, según el criterio subjetivo de expertos como 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3342595B" w:rsidR="00B31C5E" w:rsidRPr="00282BBC"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estos análisis no se hizo referencia a los montos, pues los datos asociados al monto adjudicado contienen muchos errores</w:t>
      </w:r>
      <w:r w:rsidR="00565FB0" w:rsidRPr="007E3C71">
        <w:rPr>
          <w:rFonts w:ascii="Avenir Next" w:hAnsi="Avenir Next" w:cs="Arial"/>
          <w:color w:val="000000" w:themeColor="text1"/>
          <w:sz w:val="20"/>
          <w:szCs w:val="20"/>
          <w:lang w:val="es-ES"/>
        </w:rPr>
        <w:t>, en lugar de eso se usó la cantidad de licitaciones.</w:t>
      </w:r>
    </w:p>
    <w:p w14:paraId="7539EC02" w14:textId="77777777" w:rsidR="00542F60" w:rsidRPr="00282BBC" w:rsidRDefault="00542F60" w:rsidP="00542F60">
      <w:pPr>
        <w:jc w:val="both"/>
        <w:rPr>
          <w:rFonts w:ascii="Avenir Next" w:hAnsi="Avenir Next" w:cs="Arial"/>
          <w:color w:val="000000" w:themeColor="text1"/>
          <w:sz w:val="20"/>
          <w:szCs w:val="20"/>
          <w:lang w:val="es-ES"/>
        </w:rPr>
      </w:pPr>
    </w:p>
    <w:p w14:paraId="2C6F9CCB" w14:textId="745AC43E" w:rsidR="00565D46" w:rsidRDefault="00565D46" w:rsidP="00542F60">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w:t>
      </w:r>
      <w:r w:rsidR="00785730" w:rsidRPr="00282BBC">
        <w:rPr>
          <w:rFonts w:ascii="Avenir Next" w:hAnsi="Avenir Next" w:cs="Arial"/>
          <w:b/>
          <w:bCs/>
          <w:color w:val="000000" w:themeColor="text1"/>
          <w:sz w:val="20"/>
          <w:szCs w:val="20"/>
          <w:lang w:val="es-ES"/>
        </w:rPr>
        <w:t>Elaboración</w:t>
      </w:r>
      <w:r>
        <w:rPr>
          <w:rFonts w:ascii="Avenir Next" w:hAnsi="Avenir Next" w:cs="Arial"/>
          <w:b/>
          <w:bCs/>
          <w:color w:val="000000" w:themeColor="text1"/>
          <w:sz w:val="20"/>
          <w:szCs w:val="20"/>
          <w:lang w:val="es-ES"/>
        </w:rPr>
        <w:t>”:</w:t>
      </w:r>
      <w:r w:rsidR="00542F60" w:rsidRPr="00282BBC">
        <w:rPr>
          <w:rFonts w:ascii="Avenir Next" w:hAnsi="Avenir Next" w:cs="Arial"/>
          <w:b/>
          <w:bCs/>
          <w:color w:val="000000" w:themeColor="text1"/>
          <w:sz w:val="20"/>
          <w:szCs w:val="20"/>
          <w:lang w:val="es-ES"/>
        </w:rPr>
        <w:t xml:space="preserve"> </w:t>
      </w:r>
    </w:p>
    <w:p w14:paraId="5BFEEF12" w14:textId="264B28F9" w:rsidR="00542F60" w:rsidRPr="00282BBC" w:rsidRDefault="00542F60" w:rsidP="00542F60">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Requisito de boleta de garantía irrazonable</w:t>
      </w:r>
    </w:p>
    <w:p w14:paraId="78ACF791" w14:textId="77777777" w:rsidR="00542F60" w:rsidRPr="00282BBC" w:rsidRDefault="00542F60" w:rsidP="00542F60">
      <w:pPr>
        <w:jc w:val="both"/>
        <w:rPr>
          <w:rFonts w:ascii="Avenir Next" w:hAnsi="Avenir Next" w:cs="Arial"/>
          <w:color w:val="000000" w:themeColor="text1"/>
          <w:sz w:val="20"/>
          <w:szCs w:val="20"/>
          <w:lang w:val="es-ES"/>
        </w:rPr>
      </w:pPr>
    </w:p>
    <w:p w14:paraId="6287C5F8" w14:textId="77777777" w:rsidR="00ED70B5"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 excede un porcentaje razonable del monto del contrato. Este tipo de requisitos pueden actuar como barreras de entrada a empresas más pequeñas con acceso limitado al capital o al mercado financiero</w:t>
      </w:r>
      <w:r w:rsidR="00FC5B19" w:rsidRPr="00282BBC">
        <w:rPr>
          <w:rFonts w:ascii="Avenir Next" w:hAnsi="Avenir Next" w:cs="Arial"/>
          <w:color w:val="000000" w:themeColor="text1"/>
          <w:sz w:val="20"/>
          <w:szCs w:val="20"/>
          <w:lang w:val="es-ES"/>
        </w:rPr>
        <w:t>. P</w:t>
      </w:r>
      <w:r w:rsidRPr="00282BBC">
        <w:rPr>
          <w:rFonts w:ascii="Avenir Next" w:hAnsi="Avenir Next" w:cs="Arial"/>
          <w:color w:val="000000" w:themeColor="text1"/>
          <w:sz w:val="20"/>
          <w:szCs w:val="20"/>
          <w:lang w:val="es-ES"/>
        </w:rPr>
        <w:t>or otro lado, un bajísimo porcentaje podría indicar lo contrario, pues cuando no hay requisitos que resguarden los montos a ser invertidos en una adquisición, también podría ser riesgoso.</w:t>
      </w:r>
    </w:p>
    <w:p w14:paraId="5A0229E4" w14:textId="338D9B21" w:rsidR="00542F60"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 xml:space="preserve"> :</w:t>
      </w:r>
    </w:p>
    <w:p w14:paraId="48F17633" w14:textId="38B133BC"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Fiel cumplimiento</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riesgos</w:t>
      </w:r>
      <w:r w:rsidR="00153367">
        <w:rPr>
          <w:rFonts w:ascii="Avenir Next" w:hAnsi="Avenir Next" w:cs="Arial"/>
          <w:color w:val="000000" w:themeColor="text1"/>
          <w:sz w:val="20"/>
          <w:szCs w:val="20"/>
          <w:lang w:val="es-ES"/>
        </w:rPr>
        <w:t>o</w:t>
      </w:r>
      <w:r w:rsidR="005F0E98" w:rsidRPr="00282BBC">
        <w:rPr>
          <w:rFonts w:ascii="Avenir Next" w:hAnsi="Avenir Next" w:cs="Arial"/>
          <w:color w:val="000000" w:themeColor="text1"/>
          <w:sz w:val="20"/>
          <w:szCs w:val="20"/>
          <w:lang w:val="es-ES"/>
        </w:rPr>
        <w:t xml:space="preserve"> si la garantía se encuentra </w:t>
      </w:r>
      <w:r w:rsidR="00B0162A">
        <w:rPr>
          <w:rFonts w:ascii="Avenir Next" w:hAnsi="Avenir Next" w:cs="Arial"/>
          <w:color w:val="000000" w:themeColor="text1"/>
          <w:sz w:val="20"/>
          <w:szCs w:val="20"/>
          <w:lang w:val="es-ES"/>
        </w:rPr>
        <w:t>fuera del rango</w:t>
      </w:r>
      <w:r w:rsidR="00542F60"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30%</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40E6F406" w14:textId="5FE1E9E9"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“s</w:t>
      </w:r>
      <w:r w:rsidR="00542F60" w:rsidRPr="00282BBC">
        <w:rPr>
          <w:rFonts w:ascii="Avenir Next" w:hAnsi="Avenir Next" w:cs="Arial"/>
          <w:color w:val="000000" w:themeColor="text1"/>
          <w:sz w:val="20"/>
          <w:szCs w:val="20"/>
          <w:lang w:val="es-ES"/>
        </w:rPr>
        <w:t>eriedad de oferta</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sidR="00153367">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0%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7C1BF40C" w14:textId="7F7FD778" w:rsidR="00542F60" w:rsidRPr="00282BBC" w:rsidRDefault="00153367"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o</w:t>
      </w:r>
      <w:r w:rsidR="00542F60" w:rsidRPr="00282BBC">
        <w:rPr>
          <w:rFonts w:ascii="Avenir Next" w:hAnsi="Avenir Next" w:cs="Arial"/>
          <w:color w:val="000000" w:themeColor="text1"/>
          <w:sz w:val="20"/>
          <w:szCs w:val="20"/>
          <w:lang w:val="es-ES"/>
        </w:rPr>
        <w:t>tr</w:t>
      </w:r>
      <w:r w:rsidR="00E336EE" w:rsidRPr="00282BBC">
        <w:rPr>
          <w:rFonts w:ascii="Avenir Next" w:hAnsi="Avenir Next" w:cs="Arial"/>
          <w:color w:val="000000" w:themeColor="text1"/>
          <w:sz w:val="20"/>
          <w:szCs w:val="20"/>
          <w:lang w:val="es-ES"/>
        </w:rPr>
        <w:t>a</w:t>
      </w:r>
      <w:r w:rsidR="00542F60" w:rsidRPr="00282BBC">
        <w:rPr>
          <w:rFonts w:ascii="Avenir Next" w:hAnsi="Avenir Next" w:cs="Arial"/>
          <w:color w:val="000000" w:themeColor="text1"/>
          <w:sz w:val="20"/>
          <w:szCs w:val="20"/>
          <w:lang w:val="es-ES"/>
        </w:rPr>
        <w:t>s</w:t>
      </w:r>
      <w:r w:rsidR="00E336EE" w:rsidRPr="00282BBC">
        <w:rPr>
          <w:rFonts w:ascii="Avenir Next" w:hAnsi="Avenir Next" w:cs="Arial"/>
          <w:color w:val="000000" w:themeColor="text1"/>
          <w:sz w:val="20"/>
          <w:szCs w:val="20"/>
          <w:lang w:val="es-ES"/>
        </w:rPr>
        <w:t xml:space="preserve"> garantías</w:t>
      </w:r>
      <w:r w:rsidR="00542F60" w:rsidRPr="00282BBC">
        <w:rPr>
          <w:rFonts w:ascii="Avenir Next" w:hAnsi="Avenir Next" w:cs="Arial"/>
          <w:color w:val="000000" w:themeColor="text1"/>
          <w:sz w:val="20"/>
          <w:szCs w:val="20"/>
          <w:lang w:val="es-ES"/>
        </w:rPr>
        <w:t>:</w:t>
      </w:r>
      <w:r>
        <w:rPr>
          <w:rFonts w:ascii="Avenir Next" w:hAnsi="Avenir Next" w:cs="Arial"/>
          <w:color w:val="000000" w:themeColor="text1"/>
          <w:sz w:val="20"/>
          <w:szCs w:val="20"/>
          <w:lang w:val="es-ES"/>
        </w:rPr>
        <w:t xml:space="preserve"> se considera</w:t>
      </w:r>
      <w:r w:rsidR="00542F60" w:rsidRPr="00282BBC">
        <w:rPr>
          <w:rFonts w:ascii="Avenir Next" w:hAnsi="Avenir Next" w:cs="Arial"/>
          <w:color w:val="000000" w:themeColor="text1"/>
          <w:sz w:val="20"/>
          <w:szCs w:val="20"/>
          <w:lang w:val="es-ES"/>
        </w:rPr>
        <w:t xml:space="preserve">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0DE0118C" w14:textId="027C1BCC" w:rsidR="00542F60" w:rsidRPr="00282BBC" w:rsidRDefault="00542F60" w:rsidP="00542F60">
      <w:pPr>
        <w:jc w:val="both"/>
        <w:rPr>
          <w:rFonts w:ascii="Avenir Next" w:hAnsi="Avenir Next" w:cs="Arial"/>
          <w:color w:val="000000" w:themeColor="text1"/>
          <w:lang w:val="es-ES"/>
        </w:rPr>
      </w:pPr>
    </w:p>
    <w:p w14:paraId="6E4308F8" w14:textId="0C9D8305" w:rsidR="00542F60" w:rsidRPr="00282BBC" w:rsidRDefault="00542F60" w:rsidP="00542F60">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Figura 1</w:t>
      </w:r>
      <w:r w:rsidR="00E467E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del mercado público- con más </w:t>
      </w:r>
      <w:r w:rsidRPr="00282BBC">
        <w:rPr>
          <w:rFonts w:ascii="Avenir Next" w:hAnsi="Avenir Next" w:cs="Arial"/>
          <w:color w:val="000000" w:themeColor="text1"/>
          <w:sz w:val="16"/>
          <w:szCs w:val="16"/>
          <w:lang w:val="es-ES"/>
        </w:rPr>
        <w:t xml:space="preserve">licitaciones riesgosas de acuerdo al indicador, </w:t>
      </w:r>
      <w:r w:rsidRPr="00282BBC">
        <w:rPr>
          <w:rFonts w:ascii="Avenir Next" w:hAnsi="Avenir Next" w:cs="Arial"/>
          <w:b/>
          <w:bCs/>
          <w:color w:val="000000" w:themeColor="text1"/>
          <w:sz w:val="16"/>
          <w:szCs w:val="16"/>
          <w:lang w:val="es-ES"/>
        </w:rPr>
        <w:t xml:space="preserve">ordenado de manera descendente por el % </w:t>
      </w:r>
      <w:r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corte al 31-</w:t>
      </w:r>
      <w:r w:rsidR="00814E94">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814E94">
        <w:rPr>
          <w:rFonts w:ascii="Avenir Next" w:hAnsi="Avenir Next" w:cs="Arial"/>
          <w:color w:val="000000" w:themeColor="text1"/>
          <w:sz w:val="16"/>
          <w:szCs w:val="16"/>
          <w:lang w:val="es-ES"/>
        </w:rPr>
        <w:t>1</w:t>
      </w:r>
      <w:r w:rsidR="005F0E98" w:rsidRPr="00282BBC">
        <w:rPr>
          <w:rFonts w:ascii="Avenir Next" w:hAnsi="Avenir Next" w:cs="Arial"/>
          <w:color w:val="000000" w:themeColor="text1"/>
          <w:sz w:val="16"/>
          <w:szCs w:val="16"/>
          <w:lang w:val="es-ES"/>
        </w:rPr>
        <w:t>.</w:t>
      </w:r>
    </w:p>
    <w:p w14:paraId="577DDB50" w14:textId="1D3DE0A9" w:rsidR="001E69C0" w:rsidRPr="00CC43B5" w:rsidRDefault="00814E94" w:rsidP="00CC43B5">
      <w:pPr>
        <w:jc w:val="center"/>
        <w:rPr>
          <w:rFonts w:ascii="Avenir Next" w:hAnsi="Avenir Next" w:cs="Arial"/>
          <w:color w:val="000000" w:themeColor="text1"/>
          <w:lang w:val="es-ES"/>
        </w:rPr>
      </w:pPr>
      <w:r w:rsidRPr="00814E94">
        <w:rPr>
          <w:rFonts w:ascii="Avenir Next" w:hAnsi="Avenir Next" w:cs="Arial"/>
          <w:color w:val="000000" w:themeColor="text1"/>
          <w:lang w:val="es-ES"/>
        </w:rPr>
        <w:drawing>
          <wp:inline distT="0" distB="0" distL="0" distR="0" wp14:anchorId="69E086B6" wp14:editId="659CF3B8">
            <wp:extent cx="5420481" cy="199100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0481" cy="1991003"/>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11B81EC0" w:rsidR="00061501" w:rsidRDefault="00061501" w:rsidP="00061501">
      <w:pPr>
        <w:rPr>
          <w:rFonts w:ascii="Avenir Next" w:hAnsi="Avenir Next" w:cs="Arial"/>
          <w:color w:val="000000" w:themeColor="text1"/>
          <w:sz w:val="16"/>
          <w:szCs w:val="16"/>
          <w:lang w:val="es-ES"/>
        </w:rPr>
      </w:pPr>
    </w:p>
    <w:p w14:paraId="5F806D9C" w14:textId="5CF9ECE9" w:rsidR="00814E94" w:rsidRDefault="00814E94" w:rsidP="00061501">
      <w:pPr>
        <w:rPr>
          <w:rFonts w:ascii="Avenir Next" w:hAnsi="Avenir Next" w:cs="Arial"/>
          <w:color w:val="000000" w:themeColor="text1"/>
          <w:sz w:val="16"/>
          <w:szCs w:val="16"/>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431E57B3" w:rsidR="007B2DE1" w:rsidRPr="00282BBC" w:rsidRDefault="007B2DE1" w:rsidP="00061501">
      <w:pPr>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E467E1">
        <w:rPr>
          <w:rFonts w:ascii="Avenir Next" w:hAnsi="Avenir Next" w:cs="Arial"/>
          <w:color w:val="000000" w:themeColor="text1"/>
          <w:sz w:val="16"/>
          <w:szCs w:val="16"/>
          <w:lang w:val="es-ES"/>
        </w:rPr>
        <w:t>1b</w:t>
      </w:r>
      <w:r w:rsidRPr="00282BBC">
        <w:rPr>
          <w:rFonts w:ascii="Avenir Next" w:hAnsi="Avenir Next" w:cs="Arial"/>
          <w:color w:val="000000" w:themeColor="text1"/>
          <w:sz w:val="16"/>
          <w:szCs w:val="16"/>
          <w:lang w:val="es-ES"/>
        </w:rPr>
        <w:t>: Ranking de licitaciones riesgosas de acuerdo al indicador</w:t>
      </w:r>
      <w:r w:rsidR="00E467E1">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E467E1" w:rsidRPr="00E467E1">
        <w:rPr>
          <w:rFonts w:ascii="Avenir Next" w:hAnsi="Avenir Next" w:cs="Arial"/>
          <w:color w:val="000000" w:themeColor="text1"/>
          <w:sz w:val="16"/>
          <w:szCs w:val="16"/>
          <w:lang w:val="es-ES"/>
        </w:rPr>
        <w:t xml:space="preserve"> </w:t>
      </w:r>
      <w:r w:rsidR="00E467E1">
        <w:rPr>
          <w:rFonts w:ascii="Avenir Next" w:hAnsi="Avenir Next" w:cs="Arial"/>
          <w:color w:val="000000" w:themeColor="text1"/>
          <w:sz w:val="16"/>
          <w:szCs w:val="16"/>
          <w:lang w:val="es-ES"/>
        </w:rPr>
        <w:t>(mismo indicador que en 1a)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w:t>
      </w:r>
      <w:r w:rsidR="00081B8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081B8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6525B492" w14:textId="49A408AD" w:rsidR="007B2DE1" w:rsidRPr="00CC43B5" w:rsidRDefault="00814E94" w:rsidP="00CC43B5">
      <w:pPr>
        <w:jc w:val="center"/>
        <w:rPr>
          <w:rFonts w:ascii="Avenir Next" w:hAnsi="Avenir Next" w:cs="Arial"/>
          <w:color w:val="000000" w:themeColor="text1"/>
          <w:sz w:val="16"/>
          <w:szCs w:val="16"/>
          <w:lang w:val="es-ES"/>
        </w:rPr>
      </w:pPr>
      <w:r w:rsidRPr="00814E94">
        <w:rPr>
          <w:rFonts w:ascii="Avenir Next" w:hAnsi="Avenir Next" w:cs="Arial"/>
          <w:color w:val="000000" w:themeColor="text1"/>
          <w:sz w:val="16"/>
          <w:szCs w:val="16"/>
          <w:lang w:val="es-ES"/>
        </w:rPr>
        <w:drawing>
          <wp:inline distT="0" distB="0" distL="0" distR="0" wp14:anchorId="34EDAB8A" wp14:editId="1CDAAD0B">
            <wp:extent cx="5525271" cy="19814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5271" cy="1981477"/>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77777777" w:rsidR="00446963" w:rsidRPr="00282BBC" w:rsidRDefault="00446963" w:rsidP="00446963">
      <w:pPr>
        <w:jc w:val="both"/>
        <w:rPr>
          <w:rFonts w:ascii="Avenir Next" w:hAnsi="Avenir Next" w:cs="Arial"/>
          <w:color w:val="000000" w:themeColor="text1"/>
          <w:sz w:val="20"/>
          <w:szCs w:val="20"/>
          <w:lang w:val="es-ES"/>
        </w:rPr>
      </w:pPr>
    </w:p>
    <w:p w14:paraId="5D08C2D1" w14:textId="64EB0734" w:rsidR="001F7E21" w:rsidRDefault="00E467E1" w:rsidP="00446963">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w:t>
      </w:r>
      <w:r w:rsidR="001F7E21">
        <w:rPr>
          <w:rFonts w:ascii="Avenir Next" w:hAnsi="Avenir Next" w:cs="Arial"/>
          <w:b/>
          <w:bCs/>
          <w:color w:val="000000" w:themeColor="text1"/>
          <w:sz w:val="20"/>
          <w:szCs w:val="20"/>
          <w:lang w:val="es-ES"/>
        </w:rPr>
        <w:t>iesgos específicos durante la etapa de “</w:t>
      </w:r>
      <w:r w:rsidR="001F7E21" w:rsidRPr="00282BBC">
        <w:rPr>
          <w:rFonts w:ascii="Avenir Next" w:hAnsi="Avenir Next" w:cs="Arial"/>
          <w:b/>
          <w:bCs/>
          <w:color w:val="000000" w:themeColor="text1"/>
          <w:sz w:val="20"/>
          <w:szCs w:val="20"/>
          <w:lang w:val="es-ES"/>
        </w:rPr>
        <w:t>Elaboración</w:t>
      </w:r>
      <w:r w:rsidR="001F7E21">
        <w:rPr>
          <w:rFonts w:ascii="Avenir Next" w:hAnsi="Avenir Next" w:cs="Arial"/>
          <w:b/>
          <w:bCs/>
          <w:color w:val="000000" w:themeColor="text1"/>
          <w:sz w:val="20"/>
          <w:szCs w:val="20"/>
          <w:lang w:val="es-ES"/>
        </w:rPr>
        <w:t>”:</w:t>
      </w:r>
      <w:r w:rsidR="001F7E21" w:rsidRPr="00282BBC">
        <w:rPr>
          <w:rFonts w:ascii="Avenir Next" w:hAnsi="Avenir Next" w:cs="Arial"/>
          <w:b/>
          <w:bCs/>
          <w:color w:val="000000" w:themeColor="text1"/>
          <w:sz w:val="20"/>
          <w:szCs w:val="20"/>
          <w:lang w:val="es-ES"/>
        </w:rPr>
        <w:t xml:space="preserve"> </w:t>
      </w:r>
    </w:p>
    <w:p w14:paraId="674ACAA3" w14:textId="278033DA" w:rsidR="00446963" w:rsidRPr="00282BBC" w:rsidRDefault="00446963" w:rsidP="00446963">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 xml:space="preserve">Monto </w:t>
      </w:r>
      <w:r w:rsidR="00E467E1">
        <w:rPr>
          <w:rFonts w:ascii="Avenir Next" w:hAnsi="Avenir Next" w:cs="Arial"/>
          <w:b/>
          <w:bCs/>
          <w:color w:val="000000" w:themeColor="text1"/>
          <w:sz w:val="20"/>
          <w:szCs w:val="20"/>
          <w:lang w:val="es-ES"/>
        </w:rPr>
        <w:t xml:space="preserve">de la licitación </w:t>
      </w:r>
      <w:r w:rsidRPr="00282BBC">
        <w:rPr>
          <w:rFonts w:ascii="Avenir Next" w:hAnsi="Avenir Next" w:cs="Arial"/>
          <w:b/>
          <w:bCs/>
          <w:color w:val="000000" w:themeColor="text1"/>
          <w:sz w:val="20"/>
          <w:szCs w:val="20"/>
          <w:lang w:val="es-ES"/>
        </w:rPr>
        <w:t>cercano a umbral de control</w:t>
      </w:r>
    </w:p>
    <w:p w14:paraId="3B4CB891" w14:textId="77777777" w:rsidR="00446963" w:rsidRPr="00282BBC" w:rsidRDefault="00446963" w:rsidP="00446963">
      <w:pPr>
        <w:jc w:val="both"/>
        <w:rPr>
          <w:rFonts w:ascii="Avenir Next" w:hAnsi="Avenir Next" w:cs="Arial"/>
          <w:color w:val="000000" w:themeColor="text1"/>
          <w:sz w:val="20"/>
          <w:szCs w:val="20"/>
          <w:lang w:val="es-ES"/>
        </w:rPr>
      </w:pPr>
    </w:p>
    <w:p w14:paraId="32288103" w14:textId="77777777" w:rsidR="00397E1B"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o es positivo cuando el monto de la licitación es cercano a su límite respectivo de control por parte de una entidad de fiscalización superior (EFS).</w:t>
      </w:r>
    </w:p>
    <w:p w14:paraId="10363E3D" w14:textId="3041CF04"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En el caso de la adaptación de este indicador a la realidad de Chile, se analizó la normativa respectiva, estableciendo que el control de este tipo de procesos lo realiza la Contraloría General de la República, mediante la Toma de Razón. Previo a 2019, todas las licitaciones menores a 5.000 UTM estaban exentas, de este trámite, por lo tanto, esa es una de las condiciones aplicadas. Desde 2019 en adelante, hay tres límites según la ubicación geográfica de la Contraloría Regional que realice el control cuando se trata de la Metropolitana entonces el límite es 15.000 UTM, Biobío es 10.000 UTM y para el resto es 8.000 UTM. Sin embargo, como no es posible saber que contraloría realiza el control de estos procesos a través de la plataforma de mercado público, ya que no existe esta información dentro del sistema</w:t>
      </w:r>
      <w:r w:rsidR="00446963" w:rsidRPr="00282BBC">
        <w:rPr>
          <w:rFonts w:ascii="Avenir Next" w:hAnsi="Avenir Next" w:cs="Arial"/>
          <w:color w:val="000000" w:themeColor="text1"/>
          <w:sz w:val="20"/>
          <w:szCs w:val="20"/>
          <w:lang w:val="es-ES"/>
        </w:rPr>
        <w:t>.</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6BD1A83" w14:textId="14F56E41" w:rsidR="00446963" w:rsidRPr="00282BBC" w:rsidRDefault="00446963" w:rsidP="00446963">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E467E1">
        <w:rPr>
          <w:rFonts w:ascii="Avenir Next" w:hAnsi="Avenir Next" w:cs="Arial"/>
          <w:color w:val="000000" w:themeColor="text1"/>
          <w:sz w:val="16"/>
          <w:szCs w:val="16"/>
          <w:lang w:val="es-ES"/>
        </w:rPr>
        <w:t>2a</w:t>
      </w:r>
      <w:r w:rsidRPr="00282BBC">
        <w:rPr>
          <w:rFonts w:ascii="Avenir Next" w:hAnsi="Avenir Next" w:cs="Arial"/>
          <w:color w:val="000000" w:themeColor="text1"/>
          <w:sz w:val="16"/>
          <w:szCs w:val="16"/>
          <w:lang w:val="es-ES"/>
        </w:rPr>
        <w:t>: Ranking de licitaciones riesgosas de acuerdo al indicado</w:t>
      </w:r>
      <w:r w:rsidR="001E69C0" w:rsidRPr="00282BBC">
        <w:rPr>
          <w:rFonts w:ascii="Avenir Next" w:hAnsi="Avenir Next" w:cs="Arial"/>
          <w:color w:val="000000" w:themeColor="text1"/>
          <w:sz w:val="16"/>
          <w:szCs w:val="16"/>
          <w:lang w:val="es-ES"/>
        </w:rPr>
        <w:t>r,</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31B523FE" w14:textId="0A39875A" w:rsidR="00CC43B5" w:rsidRDefault="00D647AB" w:rsidP="00CC43B5">
      <w:pPr>
        <w:jc w:val="center"/>
        <w:rPr>
          <w:rFonts w:ascii="Avenir Next" w:hAnsi="Avenir Next" w:cs="Arial"/>
          <w:color w:val="000000" w:themeColor="text1"/>
          <w:lang w:val="es-ES"/>
        </w:rPr>
      </w:pPr>
      <w:r w:rsidRPr="00D647AB">
        <w:rPr>
          <w:rFonts w:ascii="Avenir Next" w:hAnsi="Avenir Next" w:cs="Arial"/>
          <w:color w:val="000000" w:themeColor="text1"/>
          <w:lang w:val="es-ES"/>
        </w:rPr>
        <w:drawing>
          <wp:inline distT="0" distB="0" distL="0" distR="0" wp14:anchorId="5C0A4F66" wp14:editId="73480868">
            <wp:extent cx="4159250" cy="1117844"/>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483" cy="1126507"/>
                    </a:xfrm>
                    <a:prstGeom prst="rect">
                      <a:avLst/>
                    </a:prstGeom>
                  </pic:spPr>
                </pic:pic>
              </a:graphicData>
            </a:graphic>
          </wp:inline>
        </w:drawing>
      </w:r>
    </w:p>
    <w:p w14:paraId="3C9DC8BC" w14:textId="77777777" w:rsidR="00565FB0" w:rsidRPr="00282BBC" w:rsidRDefault="00565FB0" w:rsidP="00446963">
      <w:pPr>
        <w:jc w:val="center"/>
        <w:rPr>
          <w:rFonts w:ascii="Avenir Next" w:hAnsi="Avenir Next" w:cs="Arial"/>
          <w:color w:val="000000" w:themeColor="text1"/>
          <w:lang w:val="es-ES"/>
        </w:rPr>
      </w:pPr>
    </w:p>
    <w:p w14:paraId="1900E805" w14:textId="490BB565"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Para mayor detalle de este </w:t>
      </w:r>
      <w:r w:rsidR="00EE667B" w:rsidRPr="00282BBC">
        <w:rPr>
          <w:rFonts w:ascii="Avenir Next" w:hAnsi="Avenir Next"/>
          <w:color w:val="000000" w:themeColor="text1"/>
          <w:sz w:val="20"/>
          <w:szCs w:val="20"/>
          <w:lang w:val="es-ES"/>
        </w:rPr>
        <w:t>análisis,</w:t>
      </w:r>
      <w:r w:rsidR="00175605">
        <w:rPr>
          <w:rFonts w:ascii="Avenir Next" w:hAnsi="Avenir Next"/>
          <w:color w:val="000000" w:themeColor="text1"/>
          <w:sz w:val="20"/>
          <w:szCs w:val="20"/>
          <w:lang w:val="es-ES"/>
        </w:rPr>
        <w:t xml:space="preserve">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30" w:history="1">
        <w:r w:rsidR="00EF14EB" w:rsidRPr="00786F99">
          <w:rPr>
            <w:rStyle w:val="Hipervnculo"/>
            <w:rFonts w:ascii="Avenir Next" w:hAnsi="Avenir Next"/>
            <w:color w:val="000000" w:themeColor="text1"/>
            <w:sz w:val="20"/>
            <w:szCs w:val="20"/>
            <w:lang w:val="es-ES"/>
          </w:rPr>
          <w:t>aquí</w:t>
        </w:r>
      </w:hyperlink>
    </w:p>
    <w:p w14:paraId="7BC57FA5" w14:textId="77777777" w:rsidR="00142AF1" w:rsidRPr="00282BBC" w:rsidRDefault="00142AF1">
      <w:pPr>
        <w:rPr>
          <w:rFonts w:ascii="Avenir Next" w:hAnsi="Avenir Next" w:cs="Arial"/>
          <w:color w:val="000000" w:themeColor="text1"/>
          <w:sz w:val="16"/>
          <w:szCs w:val="16"/>
          <w:lang w:val="es-ES"/>
        </w:rPr>
      </w:pPr>
    </w:p>
    <w:p w14:paraId="0952AAB2" w14:textId="77777777" w:rsidR="00175605" w:rsidRDefault="00175605" w:rsidP="00175605">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“Publicación”:</w:t>
      </w:r>
      <w:r w:rsidRPr="00282BBC">
        <w:rPr>
          <w:rFonts w:ascii="Avenir Next" w:hAnsi="Avenir Next" w:cs="Arial"/>
          <w:b/>
          <w:bCs/>
          <w:color w:val="000000" w:themeColor="text1"/>
          <w:sz w:val="20"/>
          <w:szCs w:val="20"/>
          <w:lang w:val="es-ES"/>
        </w:rPr>
        <w:t xml:space="preserve"> </w:t>
      </w:r>
    </w:p>
    <w:p w14:paraId="68D455B5" w14:textId="7EB42FE1" w:rsidR="004A0AF2" w:rsidRPr="00282BBC" w:rsidRDefault="001E4721" w:rsidP="004A0AF2">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Incumple plazo mínimo de publicación</w:t>
      </w:r>
    </w:p>
    <w:p w14:paraId="34E8FBA3" w14:textId="77777777" w:rsidR="004A0AF2" w:rsidRPr="00282BBC" w:rsidRDefault="004A0AF2" w:rsidP="004A0AF2">
      <w:pPr>
        <w:jc w:val="both"/>
        <w:rPr>
          <w:rFonts w:ascii="Avenir Next" w:hAnsi="Avenir Next" w:cs="Arial"/>
          <w:color w:val="000000" w:themeColor="text1"/>
          <w:sz w:val="20"/>
          <w:szCs w:val="20"/>
          <w:lang w:val="es-ES"/>
        </w:rPr>
      </w:pPr>
    </w:p>
    <w:p w14:paraId="02BB0C27" w14:textId="63FEED36" w:rsidR="0068787C" w:rsidRDefault="0068787C" w:rsidP="0068787C">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La licitación no cumple con un estándar mínimo de días de publicación dado el tipo de licitación.</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45DF1B64" w14:textId="5207B19F"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334316A4" w14:textId="77777777" w:rsidR="0068787C" w:rsidRPr="00282BBC" w:rsidRDefault="0068787C" w:rsidP="0068787C">
      <w:pPr>
        <w:jc w:val="both"/>
        <w:rPr>
          <w:rFonts w:ascii="Avenir Next" w:hAnsi="Avenir Next" w:cs="Arial"/>
          <w:color w:val="000000" w:themeColor="text1"/>
          <w:sz w:val="20"/>
          <w:szCs w:val="20"/>
          <w:lang w:val="es-ES"/>
        </w:rPr>
      </w:pPr>
    </w:p>
    <w:p w14:paraId="4C74EE85" w14:textId="027D1198" w:rsidR="004A0AF2" w:rsidRPr="00282BBC" w:rsidRDefault="004A0AF2" w:rsidP="004A0AF2">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3CEF3577" w14:textId="192CE6B9" w:rsidR="004A0AF2" w:rsidRPr="00282BBC" w:rsidRDefault="003D6515" w:rsidP="004A0AF2">
      <w:pPr>
        <w:jc w:val="center"/>
        <w:rPr>
          <w:rFonts w:ascii="Avenir Next" w:hAnsi="Avenir Next" w:cs="Arial"/>
          <w:color w:val="000000" w:themeColor="text1"/>
          <w:lang w:val="es-ES"/>
        </w:rPr>
      </w:pPr>
      <w:r w:rsidRPr="003D6515">
        <w:rPr>
          <w:rFonts w:ascii="Avenir Next" w:hAnsi="Avenir Next" w:cs="Arial"/>
          <w:color w:val="000000" w:themeColor="text1"/>
          <w:lang w:val="es-ES"/>
        </w:rPr>
        <w:drawing>
          <wp:inline distT="0" distB="0" distL="0" distR="0" wp14:anchorId="6A9BFEA7" wp14:editId="32F6F0C9">
            <wp:extent cx="5251450" cy="1897248"/>
            <wp:effectExtent l="0" t="0" r="635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8325" cy="1899732"/>
                    </a:xfrm>
                    <a:prstGeom prst="rect">
                      <a:avLst/>
                    </a:prstGeom>
                  </pic:spPr>
                </pic:pic>
              </a:graphicData>
            </a:graphic>
          </wp:inline>
        </w:drawing>
      </w:r>
    </w:p>
    <w:p w14:paraId="3FE2E535" w14:textId="77777777" w:rsidR="004A0AF2" w:rsidRPr="00282BBC" w:rsidRDefault="004A0AF2" w:rsidP="004A0AF2">
      <w:pPr>
        <w:jc w:val="both"/>
        <w:rPr>
          <w:rFonts w:ascii="Avenir Next" w:hAnsi="Avenir Next" w:cs="Arial"/>
          <w:color w:val="000000" w:themeColor="text1"/>
          <w:lang w:val="es-ES"/>
        </w:rPr>
      </w:pPr>
    </w:p>
    <w:p w14:paraId="39C68E8D" w14:textId="02BF7756" w:rsidR="004A0AF2" w:rsidRPr="00282BBC" w:rsidRDefault="004A0AF2"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3D658E">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w:t>
      </w:r>
      <w:r w:rsidR="00D647AB">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D647AB">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1578EE4" w14:textId="34A778F1" w:rsidR="004A0AF2" w:rsidRPr="00282BBC" w:rsidRDefault="003D6515" w:rsidP="004A0AF2">
      <w:pPr>
        <w:jc w:val="center"/>
        <w:rPr>
          <w:rFonts w:ascii="Avenir Next" w:hAnsi="Avenir Next" w:cs="Arial"/>
          <w:color w:val="000000" w:themeColor="text1"/>
          <w:lang w:val="es-ES"/>
        </w:rPr>
      </w:pPr>
      <w:r w:rsidRPr="003D6515">
        <w:rPr>
          <w:rFonts w:ascii="Avenir Next" w:hAnsi="Avenir Next" w:cs="Arial"/>
          <w:color w:val="000000" w:themeColor="text1"/>
          <w:lang w:val="es-ES"/>
        </w:rPr>
        <w:drawing>
          <wp:inline distT="0" distB="0" distL="0" distR="0" wp14:anchorId="17D7788A" wp14:editId="77288F29">
            <wp:extent cx="5245100" cy="1899702"/>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1349" cy="1920074"/>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3"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57A63ED6" w14:textId="1380DC59" w:rsidR="003D658E" w:rsidRDefault="003D658E" w:rsidP="003D658E">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3240698E" w14:textId="210421F4" w:rsidR="008D10B5" w:rsidRPr="00282BBC" w:rsidRDefault="0068787C" w:rsidP="0068787C">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Datos de proveedor faltantes</w:t>
      </w:r>
    </w:p>
    <w:p w14:paraId="6C1E40A7" w14:textId="77777777" w:rsidR="008D10B5" w:rsidRPr="00282BBC" w:rsidRDefault="008D10B5" w:rsidP="008D10B5">
      <w:pPr>
        <w:jc w:val="both"/>
        <w:rPr>
          <w:rFonts w:ascii="Avenir Next" w:hAnsi="Avenir Next" w:cs="Arial"/>
          <w:color w:val="000000" w:themeColor="text1"/>
          <w:sz w:val="20"/>
          <w:szCs w:val="20"/>
          <w:lang w:val="es-ES"/>
        </w:rPr>
      </w:pPr>
    </w:p>
    <w:p w14:paraId="43AF83FD" w14:textId="36975F2A" w:rsidR="008D10B5" w:rsidRPr="00282BBC" w:rsidRDefault="009020B3"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Los datos de contacto del proveedor están ausentes.</w:t>
      </w:r>
      <w:r w:rsidR="0044554C"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Pr="00282BBC">
        <w:rPr>
          <w:rFonts w:ascii="Avenir Next" w:hAnsi="Avenir Next" w:cs="Arial"/>
          <w:color w:val="000000" w:themeColor="text1"/>
          <w:sz w:val="20"/>
          <w:szCs w:val="20"/>
          <w:lang w:val="es-ES"/>
        </w:rPr>
        <w:t>i alguno de estos no se registra o no tiene sentido (menos de 4 caracteres) entonces se considera riesgoso el proceso.</w:t>
      </w:r>
    </w:p>
    <w:p w14:paraId="46FB2C73" w14:textId="2CE51CEF" w:rsidR="003D6515" w:rsidRDefault="003D6515" w:rsidP="009020B3">
      <w:pPr>
        <w:jc w:val="both"/>
        <w:rPr>
          <w:rFonts w:ascii="Avenir Next" w:hAnsi="Avenir Next" w:cs="Arial"/>
          <w:color w:val="000000" w:themeColor="text1"/>
          <w:sz w:val="20"/>
          <w:szCs w:val="20"/>
          <w:lang w:val="es-ES"/>
        </w:rPr>
      </w:pPr>
    </w:p>
    <w:p w14:paraId="6C93B88A" w14:textId="7A1B7D6A" w:rsidR="003D6515" w:rsidRDefault="003D6515" w:rsidP="009020B3">
      <w:pPr>
        <w:jc w:val="both"/>
        <w:rPr>
          <w:rFonts w:ascii="Avenir Next" w:hAnsi="Avenir Next" w:cs="Arial"/>
          <w:color w:val="000000" w:themeColor="text1"/>
          <w:sz w:val="20"/>
          <w:szCs w:val="20"/>
          <w:lang w:val="es-ES"/>
        </w:rPr>
      </w:pPr>
    </w:p>
    <w:p w14:paraId="0BA7524F" w14:textId="2D0D4B7C" w:rsidR="003D6515" w:rsidRDefault="003D6515" w:rsidP="009020B3">
      <w:pPr>
        <w:jc w:val="both"/>
        <w:rPr>
          <w:rFonts w:ascii="Avenir Next" w:hAnsi="Avenir Next" w:cs="Arial"/>
          <w:color w:val="000000" w:themeColor="text1"/>
          <w:sz w:val="20"/>
          <w:szCs w:val="20"/>
          <w:lang w:val="es-ES"/>
        </w:rPr>
      </w:pPr>
    </w:p>
    <w:p w14:paraId="7215A305" w14:textId="431BE1E4" w:rsidR="003D6515" w:rsidRDefault="003D6515" w:rsidP="009020B3">
      <w:pPr>
        <w:jc w:val="both"/>
        <w:rPr>
          <w:rFonts w:ascii="Avenir Next" w:hAnsi="Avenir Next" w:cs="Arial"/>
          <w:color w:val="000000" w:themeColor="text1"/>
          <w:sz w:val="20"/>
          <w:szCs w:val="20"/>
          <w:lang w:val="es-ES"/>
        </w:rPr>
      </w:pPr>
    </w:p>
    <w:p w14:paraId="1FB5B109" w14:textId="18556B82" w:rsidR="003D6515" w:rsidRDefault="003D6515" w:rsidP="009020B3">
      <w:pPr>
        <w:jc w:val="both"/>
        <w:rPr>
          <w:rFonts w:ascii="Avenir Next" w:hAnsi="Avenir Next" w:cs="Arial"/>
          <w:color w:val="000000" w:themeColor="text1"/>
          <w:sz w:val="20"/>
          <w:szCs w:val="20"/>
          <w:lang w:val="es-ES"/>
        </w:rPr>
      </w:pPr>
    </w:p>
    <w:p w14:paraId="200A0769" w14:textId="3BCB0EED" w:rsidR="003D6515" w:rsidRDefault="003D6515" w:rsidP="009020B3">
      <w:pPr>
        <w:jc w:val="both"/>
        <w:rPr>
          <w:rFonts w:ascii="Avenir Next" w:hAnsi="Avenir Next" w:cs="Arial"/>
          <w:color w:val="000000" w:themeColor="text1"/>
          <w:sz w:val="20"/>
          <w:szCs w:val="20"/>
          <w:lang w:val="es-ES"/>
        </w:rPr>
      </w:pPr>
    </w:p>
    <w:p w14:paraId="78087462" w14:textId="7765CF15" w:rsidR="003D6515" w:rsidRDefault="003D6515" w:rsidP="009020B3">
      <w:pPr>
        <w:jc w:val="both"/>
        <w:rPr>
          <w:rFonts w:ascii="Avenir Next" w:hAnsi="Avenir Next" w:cs="Arial"/>
          <w:color w:val="000000" w:themeColor="text1"/>
          <w:sz w:val="20"/>
          <w:szCs w:val="20"/>
          <w:lang w:val="es-ES"/>
        </w:rPr>
      </w:pPr>
    </w:p>
    <w:p w14:paraId="17C63FA8" w14:textId="2B84E095" w:rsidR="003D6515" w:rsidRDefault="003D6515" w:rsidP="009020B3">
      <w:pPr>
        <w:jc w:val="both"/>
        <w:rPr>
          <w:rFonts w:ascii="Avenir Next" w:hAnsi="Avenir Next" w:cs="Arial"/>
          <w:color w:val="000000" w:themeColor="text1"/>
          <w:sz w:val="20"/>
          <w:szCs w:val="20"/>
          <w:lang w:val="es-ES"/>
        </w:rPr>
      </w:pPr>
    </w:p>
    <w:p w14:paraId="23A871B9" w14:textId="101F8586" w:rsidR="003D6515" w:rsidRDefault="003D6515" w:rsidP="009020B3">
      <w:pPr>
        <w:jc w:val="both"/>
        <w:rPr>
          <w:rFonts w:ascii="Avenir Next" w:hAnsi="Avenir Next" w:cs="Arial"/>
          <w:color w:val="000000" w:themeColor="text1"/>
          <w:sz w:val="20"/>
          <w:szCs w:val="20"/>
          <w:lang w:val="es-ES"/>
        </w:rPr>
      </w:pPr>
    </w:p>
    <w:p w14:paraId="24522BD1" w14:textId="7F67A4FF" w:rsidR="003D6515" w:rsidRDefault="003D6515" w:rsidP="009020B3">
      <w:pPr>
        <w:jc w:val="both"/>
        <w:rPr>
          <w:rFonts w:ascii="Avenir Next" w:hAnsi="Avenir Next" w:cs="Arial"/>
          <w:color w:val="000000" w:themeColor="text1"/>
          <w:sz w:val="20"/>
          <w:szCs w:val="20"/>
          <w:lang w:val="es-ES"/>
        </w:rPr>
      </w:pPr>
    </w:p>
    <w:p w14:paraId="4631D40E" w14:textId="00A0FC06" w:rsidR="003D6515" w:rsidRDefault="003D6515" w:rsidP="009020B3">
      <w:pPr>
        <w:jc w:val="both"/>
        <w:rPr>
          <w:rFonts w:ascii="Avenir Next" w:hAnsi="Avenir Next" w:cs="Arial"/>
          <w:color w:val="000000" w:themeColor="text1"/>
          <w:sz w:val="20"/>
          <w:szCs w:val="20"/>
          <w:lang w:val="es-ES"/>
        </w:rPr>
      </w:pPr>
    </w:p>
    <w:p w14:paraId="3AF12AFA" w14:textId="510A8685" w:rsidR="003D6515" w:rsidRDefault="003D6515" w:rsidP="009020B3">
      <w:pPr>
        <w:jc w:val="both"/>
        <w:rPr>
          <w:rFonts w:ascii="Avenir Next" w:hAnsi="Avenir Next" w:cs="Arial"/>
          <w:color w:val="000000" w:themeColor="text1"/>
          <w:sz w:val="20"/>
          <w:szCs w:val="20"/>
          <w:lang w:val="es-ES"/>
        </w:rPr>
      </w:pPr>
    </w:p>
    <w:p w14:paraId="1BD78F7C" w14:textId="37A8427E" w:rsidR="003D6515" w:rsidRDefault="003D6515" w:rsidP="009020B3">
      <w:pPr>
        <w:jc w:val="both"/>
        <w:rPr>
          <w:rFonts w:ascii="Avenir Next" w:hAnsi="Avenir Next" w:cs="Arial"/>
          <w:color w:val="000000" w:themeColor="text1"/>
          <w:sz w:val="20"/>
          <w:szCs w:val="20"/>
          <w:lang w:val="es-ES"/>
        </w:rPr>
      </w:pPr>
    </w:p>
    <w:p w14:paraId="4D0BA953" w14:textId="77777777" w:rsidR="003D6515" w:rsidRPr="00282BBC" w:rsidRDefault="003D6515" w:rsidP="009020B3">
      <w:pPr>
        <w:jc w:val="both"/>
        <w:rPr>
          <w:rFonts w:ascii="Avenir Next" w:hAnsi="Avenir Next" w:cs="Arial"/>
          <w:color w:val="000000" w:themeColor="text1"/>
          <w:sz w:val="20"/>
          <w:szCs w:val="20"/>
          <w:lang w:val="es-ES"/>
        </w:rPr>
      </w:pPr>
    </w:p>
    <w:p w14:paraId="3F674B2A" w14:textId="4F8E0D21" w:rsidR="008D10B5" w:rsidRPr="00282BBC" w:rsidRDefault="008D10B5" w:rsidP="008D10B5">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w:t>
      </w:r>
      <w:r w:rsidR="003D6515">
        <w:rPr>
          <w:rFonts w:ascii="Avenir Next" w:hAnsi="Avenir Next" w:cs="Arial"/>
          <w:color w:val="000000" w:themeColor="text1"/>
          <w:sz w:val="16"/>
          <w:szCs w:val="16"/>
          <w:lang w:val="es-ES"/>
        </w:rPr>
        <w:t>03</w:t>
      </w:r>
      <w:r w:rsidR="005F0E98" w:rsidRPr="00282BBC">
        <w:rPr>
          <w:rFonts w:ascii="Avenir Next" w:hAnsi="Avenir Next" w:cs="Arial"/>
          <w:color w:val="000000" w:themeColor="text1"/>
          <w:sz w:val="16"/>
          <w:szCs w:val="16"/>
          <w:lang w:val="es-ES"/>
        </w:rPr>
        <w:t>-202</w:t>
      </w:r>
      <w:r w:rsidR="003D6515">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78BB6452" w14:textId="3EFD5BC5" w:rsidR="008D10B5" w:rsidRPr="00282BBC" w:rsidRDefault="005633D9" w:rsidP="008D10B5">
      <w:pPr>
        <w:jc w:val="center"/>
        <w:rPr>
          <w:rFonts w:ascii="Avenir Next" w:hAnsi="Avenir Next" w:cs="Arial"/>
          <w:color w:val="000000" w:themeColor="text1"/>
          <w:lang w:val="es-ES"/>
        </w:rPr>
      </w:pPr>
      <w:r w:rsidRPr="005633D9">
        <w:rPr>
          <w:noProof/>
        </w:rPr>
        <w:drawing>
          <wp:inline distT="0" distB="0" distL="0" distR="0" wp14:anchorId="14FDB99D" wp14:editId="4F59B18D">
            <wp:extent cx="4965700" cy="1995157"/>
            <wp:effectExtent l="0" t="0" r="635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3521" cy="2002317"/>
                    </a:xfrm>
                    <a:prstGeom prst="rect">
                      <a:avLst/>
                    </a:prstGeom>
                  </pic:spPr>
                </pic:pic>
              </a:graphicData>
            </a:graphic>
          </wp:inline>
        </w:drawing>
      </w:r>
    </w:p>
    <w:p w14:paraId="4804845E" w14:textId="77777777" w:rsidR="008D10B5" w:rsidRPr="00282BBC" w:rsidRDefault="008D10B5" w:rsidP="008D10B5">
      <w:pPr>
        <w:jc w:val="both"/>
        <w:rPr>
          <w:rFonts w:ascii="Avenir Next" w:hAnsi="Avenir Next" w:cs="Arial"/>
          <w:color w:val="000000" w:themeColor="text1"/>
          <w:lang w:val="es-ES"/>
        </w:rPr>
      </w:pPr>
    </w:p>
    <w:p w14:paraId="0060061C" w14:textId="5D1CF7AD" w:rsidR="008D10B5" w:rsidRPr="00282BBC" w:rsidRDefault="008D10B5"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B051A1">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 xml:space="preserve">ordenado de manera descendente por la cantidad </w:t>
      </w:r>
      <w:r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corte al 31-</w:t>
      </w:r>
      <w:r w:rsidR="003D6515">
        <w:rPr>
          <w:rFonts w:ascii="Avenir Next" w:hAnsi="Avenir Next" w:cs="Arial"/>
          <w:color w:val="000000" w:themeColor="text1"/>
          <w:sz w:val="16"/>
          <w:szCs w:val="16"/>
          <w:lang w:val="es-ES"/>
        </w:rPr>
        <w:t>03</w:t>
      </w:r>
      <w:r w:rsidR="005A5C8B">
        <w:rPr>
          <w:rFonts w:ascii="Avenir Next" w:hAnsi="Avenir Next" w:cs="Arial"/>
          <w:color w:val="000000" w:themeColor="text1"/>
          <w:sz w:val="16"/>
          <w:szCs w:val="16"/>
          <w:lang w:val="es-ES"/>
        </w:rPr>
        <w:t>-202</w:t>
      </w:r>
      <w:r w:rsidR="003D6515">
        <w:rPr>
          <w:rFonts w:ascii="Avenir Next" w:hAnsi="Avenir Next" w:cs="Arial"/>
          <w:color w:val="000000" w:themeColor="text1"/>
          <w:sz w:val="16"/>
          <w:szCs w:val="16"/>
          <w:lang w:val="es-ES"/>
        </w:rPr>
        <w:t>1</w:t>
      </w:r>
      <w:r w:rsidR="005A5C8B">
        <w:rPr>
          <w:rFonts w:ascii="Avenir Next" w:hAnsi="Avenir Next" w:cs="Arial"/>
          <w:color w:val="000000" w:themeColor="text1"/>
          <w:sz w:val="16"/>
          <w:szCs w:val="16"/>
          <w:lang w:val="es-ES"/>
        </w:rPr>
        <w:t>.</w:t>
      </w:r>
    </w:p>
    <w:p w14:paraId="4F43FB57" w14:textId="34E5B185" w:rsidR="0049078B" w:rsidRPr="00282BBC" w:rsidRDefault="005633D9" w:rsidP="00E2694B">
      <w:pPr>
        <w:jc w:val="center"/>
        <w:rPr>
          <w:rFonts w:ascii="Avenir Next" w:hAnsi="Avenir Next" w:cs="Arial"/>
          <w:color w:val="000000" w:themeColor="text1"/>
          <w:lang w:val="es-ES"/>
        </w:rPr>
      </w:pPr>
      <w:r w:rsidRPr="005633D9">
        <w:rPr>
          <w:noProof/>
        </w:rPr>
        <w:drawing>
          <wp:inline distT="0" distB="0" distL="0" distR="0" wp14:anchorId="2DF9FFD4" wp14:editId="51C7949E">
            <wp:extent cx="4946650" cy="200205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3091" cy="2016805"/>
                    </a:xfrm>
                    <a:prstGeom prst="rect">
                      <a:avLst/>
                    </a:prstGeom>
                  </pic:spPr>
                </pic:pic>
              </a:graphicData>
            </a:graphic>
          </wp:inline>
        </w:drawing>
      </w:r>
    </w:p>
    <w:p w14:paraId="74ED1919" w14:textId="555739BE"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6"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4D2AA4A0" w14:textId="77777777" w:rsidR="00B051A1" w:rsidRDefault="00B051A1" w:rsidP="00B051A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2760B222" w14:textId="2B9DE91A"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Tiempo entre cierre y adjudicación estimado acotado</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2DD7F763" w:rsidR="009020B3" w:rsidRPr="00282BBC" w:rsidRDefault="0044554C"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w:t>
      </w:r>
      <w:r w:rsidR="009020B3" w:rsidRPr="00282BBC">
        <w:rPr>
          <w:rFonts w:ascii="Avenir Next" w:hAnsi="Avenir Next" w:cs="Arial"/>
          <w:color w:val="000000" w:themeColor="text1"/>
          <w:sz w:val="20"/>
          <w:szCs w:val="20"/>
          <w:lang w:val="es-ES"/>
        </w:rPr>
        <w:t xml:space="preserve">a cantidad de días entre el cierre y 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5E67EE6B" w14:textId="6B856CA7" w:rsidR="001E4721" w:rsidRPr="00282BBC" w:rsidRDefault="00541650" w:rsidP="009020B3">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0195F2D0" w14:textId="449D1C9C" w:rsidR="00541650" w:rsidRDefault="00541650">
      <w:pPr>
        <w:rPr>
          <w:rFonts w:ascii="Avenir Next" w:hAnsi="Avenir Next" w:cs="Arial"/>
          <w:color w:val="000000" w:themeColor="text1"/>
          <w:sz w:val="16"/>
          <w:szCs w:val="16"/>
          <w:lang w:val="es-ES"/>
        </w:rPr>
      </w:pPr>
    </w:p>
    <w:p w14:paraId="09E7A88B" w14:textId="77777777" w:rsidR="005633D9" w:rsidRDefault="005633D9">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54325B1B" w14:textId="2488C08A"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5633D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5633D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2ADE0BA7" w14:textId="2B4468A8" w:rsidR="001E4721" w:rsidRPr="00282BBC" w:rsidRDefault="005633D9" w:rsidP="001E4721">
      <w:pPr>
        <w:jc w:val="center"/>
        <w:rPr>
          <w:rFonts w:ascii="Avenir Next" w:hAnsi="Avenir Next" w:cs="Arial"/>
          <w:color w:val="000000" w:themeColor="text1"/>
          <w:lang w:val="es-ES"/>
        </w:rPr>
      </w:pPr>
      <w:r w:rsidRPr="005633D9">
        <w:rPr>
          <w:noProof/>
        </w:rPr>
        <w:drawing>
          <wp:inline distT="0" distB="0" distL="0" distR="0" wp14:anchorId="3A995CD9" wp14:editId="53CAEF1F">
            <wp:extent cx="4832350" cy="1900024"/>
            <wp:effectExtent l="0" t="0" r="635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5461" cy="1905179"/>
                    </a:xfrm>
                    <a:prstGeom prst="rect">
                      <a:avLst/>
                    </a:prstGeom>
                  </pic:spPr>
                </pic:pic>
              </a:graphicData>
            </a:graphic>
          </wp:inline>
        </w:drawing>
      </w:r>
    </w:p>
    <w:p w14:paraId="6562DFED" w14:textId="77777777" w:rsidR="00AF573C" w:rsidRPr="00282BBC" w:rsidRDefault="00AF573C" w:rsidP="00C80817">
      <w:pPr>
        <w:jc w:val="both"/>
        <w:rPr>
          <w:rFonts w:ascii="Avenir Next" w:hAnsi="Avenir Next" w:cs="Arial"/>
          <w:color w:val="000000" w:themeColor="text1"/>
          <w:sz w:val="16"/>
          <w:szCs w:val="16"/>
          <w:lang w:val="es-ES"/>
        </w:rPr>
      </w:pPr>
    </w:p>
    <w:p w14:paraId="263BCD2F" w14:textId="77777777" w:rsidR="00AF573C" w:rsidRPr="00282BBC" w:rsidRDefault="00AF573C" w:rsidP="00C80817">
      <w:pPr>
        <w:jc w:val="both"/>
        <w:rPr>
          <w:rFonts w:ascii="Avenir Next" w:hAnsi="Avenir Next" w:cs="Arial"/>
          <w:color w:val="000000" w:themeColor="text1"/>
          <w:sz w:val="16"/>
          <w:szCs w:val="16"/>
          <w:lang w:val="es-ES"/>
        </w:rPr>
      </w:pP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5318254F"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B051A1">
        <w:rPr>
          <w:rFonts w:ascii="Avenir Next" w:hAnsi="Avenir Next" w:cs="Arial"/>
          <w:color w:val="000000" w:themeColor="text1"/>
          <w:sz w:val="16"/>
          <w:szCs w:val="16"/>
          <w:lang w:val="es-ES"/>
        </w:rPr>
        <w:t xml:space="preserve"> (mismo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corte al 31-</w:t>
      </w:r>
      <w:r w:rsidR="005633D9">
        <w:rPr>
          <w:rFonts w:ascii="Avenir Next" w:hAnsi="Avenir Next" w:cs="Arial"/>
          <w:color w:val="000000" w:themeColor="text1"/>
          <w:sz w:val="16"/>
          <w:szCs w:val="16"/>
          <w:lang w:val="es-ES"/>
        </w:rPr>
        <w:t>03</w:t>
      </w:r>
      <w:r w:rsidR="008609CF">
        <w:rPr>
          <w:rFonts w:ascii="Avenir Next" w:hAnsi="Avenir Next" w:cs="Arial"/>
          <w:color w:val="000000" w:themeColor="text1"/>
          <w:sz w:val="16"/>
          <w:szCs w:val="16"/>
          <w:lang w:val="es-ES"/>
        </w:rPr>
        <w:t>-202</w:t>
      </w:r>
      <w:r w:rsidR="005633D9">
        <w:rPr>
          <w:rFonts w:ascii="Avenir Next" w:hAnsi="Avenir Next" w:cs="Arial"/>
          <w:color w:val="000000" w:themeColor="text1"/>
          <w:sz w:val="16"/>
          <w:szCs w:val="16"/>
          <w:lang w:val="es-ES"/>
        </w:rPr>
        <w:t>1</w:t>
      </w:r>
    </w:p>
    <w:p w14:paraId="4DF7971C" w14:textId="19401395" w:rsidR="001E4721" w:rsidRPr="00282BBC" w:rsidRDefault="005633D9" w:rsidP="001E4721">
      <w:pPr>
        <w:jc w:val="center"/>
        <w:rPr>
          <w:rFonts w:ascii="Avenir Next" w:hAnsi="Avenir Next" w:cs="Arial"/>
          <w:color w:val="000000" w:themeColor="text1"/>
          <w:lang w:val="es-ES"/>
        </w:rPr>
      </w:pPr>
      <w:r w:rsidRPr="005633D9">
        <w:rPr>
          <w:noProof/>
        </w:rPr>
        <w:drawing>
          <wp:inline distT="0" distB="0" distL="0" distR="0" wp14:anchorId="0273D946" wp14:editId="5CD1593D">
            <wp:extent cx="4819650" cy="192775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094" cy="1935128"/>
                    </a:xfrm>
                    <a:prstGeom prst="rect">
                      <a:avLst/>
                    </a:prstGeom>
                  </pic:spPr>
                </pic:pic>
              </a:graphicData>
            </a:graphic>
          </wp:inline>
        </w:drawing>
      </w:r>
    </w:p>
    <w:p w14:paraId="135D0B9A" w14:textId="0C76F239"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9"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26B112CE" w14:textId="75EEAAE7" w:rsidR="001E4721" w:rsidRPr="00C41D11" w:rsidRDefault="00B051A1" w:rsidP="00C41D1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69470657" w14:textId="0FF3E38D"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Presencia de reclamos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49A3F8F2" w14:textId="517561E2" w:rsidR="00C41D11"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si la licitación presenta reclamos.</w:t>
      </w:r>
    </w:p>
    <w:p w14:paraId="1F390F05" w14:textId="66596402" w:rsidR="008609CF" w:rsidRDefault="008609CF" w:rsidP="008609CF">
      <w:pPr>
        <w:jc w:val="both"/>
        <w:rPr>
          <w:rFonts w:ascii="Avenir Next" w:hAnsi="Avenir Next" w:cs="Arial"/>
          <w:color w:val="000000" w:themeColor="text1"/>
          <w:sz w:val="20"/>
          <w:szCs w:val="20"/>
          <w:lang w:val="es-ES"/>
        </w:rPr>
      </w:pPr>
    </w:p>
    <w:p w14:paraId="0E5E7B51" w14:textId="60450A75" w:rsidR="005633D9" w:rsidRDefault="005633D9" w:rsidP="008609CF">
      <w:pPr>
        <w:jc w:val="both"/>
        <w:rPr>
          <w:rFonts w:ascii="Avenir Next" w:hAnsi="Avenir Next" w:cs="Arial"/>
          <w:color w:val="000000" w:themeColor="text1"/>
          <w:sz w:val="20"/>
          <w:szCs w:val="20"/>
          <w:lang w:val="es-ES"/>
        </w:rPr>
      </w:pPr>
    </w:p>
    <w:p w14:paraId="53AF1FEA" w14:textId="0068460E" w:rsidR="005633D9" w:rsidRDefault="005633D9" w:rsidP="008609CF">
      <w:pPr>
        <w:jc w:val="both"/>
        <w:rPr>
          <w:rFonts w:ascii="Avenir Next" w:hAnsi="Avenir Next" w:cs="Arial"/>
          <w:color w:val="000000" w:themeColor="text1"/>
          <w:sz w:val="20"/>
          <w:szCs w:val="20"/>
          <w:lang w:val="es-ES"/>
        </w:rPr>
      </w:pPr>
    </w:p>
    <w:p w14:paraId="3B5425BB" w14:textId="26385BF1" w:rsidR="005633D9" w:rsidRDefault="005633D9" w:rsidP="008609CF">
      <w:pPr>
        <w:jc w:val="both"/>
        <w:rPr>
          <w:rFonts w:ascii="Avenir Next" w:hAnsi="Avenir Next" w:cs="Arial"/>
          <w:color w:val="000000" w:themeColor="text1"/>
          <w:sz w:val="20"/>
          <w:szCs w:val="20"/>
          <w:lang w:val="es-ES"/>
        </w:rPr>
      </w:pPr>
    </w:p>
    <w:p w14:paraId="5B2BE8B8" w14:textId="3E8BAF37" w:rsidR="005633D9" w:rsidRDefault="005633D9" w:rsidP="008609CF">
      <w:pPr>
        <w:jc w:val="both"/>
        <w:rPr>
          <w:rFonts w:ascii="Avenir Next" w:hAnsi="Avenir Next" w:cs="Arial"/>
          <w:color w:val="000000" w:themeColor="text1"/>
          <w:sz w:val="20"/>
          <w:szCs w:val="20"/>
          <w:lang w:val="es-ES"/>
        </w:rPr>
      </w:pPr>
    </w:p>
    <w:p w14:paraId="0FCD98B1" w14:textId="5D676B42" w:rsidR="005633D9" w:rsidRDefault="005633D9" w:rsidP="008609CF">
      <w:pPr>
        <w:jc w:val="both"/>
        <w:rPr>
          <w:rFonts w:ascii="Avenir Next" w:hAnsi="Avenir Next" w:cs="Arial"/>
          <w:color w:val="000000" w:themeColor="text1"/>
          <w:sz w:val="20"/>
          <w:szCs w:val="20"/>
          <w:lang w:val="es-ES"/>
        </w:rPr>
      </w:pPr>
    </w:p>
    <w:p w14:paraId="638A9C37" w14:textId="5797D0A2" w:rsidR="005633D9" w:rsidRDefault="005633D9" w:rsidP="008609CF">
      <w:pPr>
        <w:jc w:val="both"/>
        <w:rPr>
          <w:rFonts w:ascii="Avenir Next" w:hAnsi="Avenir Next" w:cs="Arial"/>
          <w:color w:val="000000" w:themeColor="text1"/>
          <w:sz w:val="20"/>
          <w:szCs w:val="20"/>
          <w:lang w:val="es-ES"/>
        </w:rPr>
      </w:pPr>
    </w:p>
    <w:p w14:paraId="762BAAD8" w14:textId="04461210" w:rsidR="005633D9" w:rsidRDefault="005633D9" w:rsidP="008609CF">
      <w:pPr>
        <w:jc w:val="both"/>
        <w:rPr>
          <w:rFonts w:ascii="Avenir Next" w:hAnsi="Avenir Next" w:cs="Arial"/>
          <w:color w:val="000000" w:themeColor="text1"/>
          <w:sz w:val="20"/>
          <w:szCs w:val="20"/>
          <w:lang w:val="es-ES"/>
        </w:rPr>
      </w:pPr>
    </w:p>
    <w:p w14:paraId="0F2FB161" w14:textId="33B4873E" w:rsidR="005633D9" w:rsidRDefault="005633D9" w:rsidP="008609CF">
      <w:pPr>
        <w:jc w:val="both"/>
        <w:rPr>
          <w:rFonts w:ascii="Avenir Next" w:hAnsi="Avenir Next" w:cs="Arial"/>
          <w:color w:val="000000" w:themeColor="text1"/>
          <w:sz w:val="20"/>
          <w:szCs w:val="20"/>
          <w:lang w:val="es-ES"/>
        </w:rPr>
      </w:pPr>
    </w:p>
    <w:p w14:paraId="2FB5276C" w14:textId="53B6222A" w:rsidR="005633D9" w:rsidRDefault="005633D9" w:rsidP="008609CF">
      <w:pPr>
        <w:jc w:val="both"/>
        <w:rPr>
          <w:rFonts w:ascii="Avenir Next" w:hAnsi="Avenir Next" w:cs="Arial"/>
          <w:color w:val="000000" w:themeColor="text1"/>
          <w:sz w:val="20"/>
          <w:szCs w:val="20"/>
          <w:lang w:val="es-ES"/>
        </w:rPr>
      </w:pPr>
    </w:p>
    <w:p w14:paraId="0D498D7D" w14:textId="59C59AEC" w:rsidR="005633D9" w:rsidRDefault="005633D9" w:rsidP="008609CF">
      <w:pPr>
        <w:jc w:val="both"/>
        <w:rPr>
          <w:rFonts w:ascii="Avenir Next" w:hAnsi="Avenir Next" w:cs="Arial"/>
          <w:color w:val="000000" w:themeColor="text1"/>
          <w:sz w:val="20"/>
          <w:szCs w:val="20"/>
          <w:lang w:val="es-ES"/>
        </w:rPr>
      </w:pPr>
    </w:p>
    <w:p w14:paraId="0CD53783" w14:textId="6ABF6604" w:rsidR="005633D9" w:rsidRDefault="005633D9" w:rsidP="008609CF">
      <w:pPr>
        <w:jc w:val="both"/>
        <w:rPr>
          <w:rFonts w:ascii="Avenir Next" w:hAnsi="Avenir Next" w:cs="Arial"/>
          <w:color w:val="000000" w:themeColor="text1"/>
          <w:sz w:val="20"/>
          <w:szCs w:val="20"/>
          <w:lang w:val="es-ES"/>
        </w:rPr>
      </w:pPr>
    </w:p>
    <w:p w14:paraId="4BB9A7F4" w14:textId="2C6D2930" w:rsidR="005633D9" w:rsidRDefault="005633D9" w:rsidP="008609CF">
      <w:pPr>
        <w:jc w:val="both"/>
        <w:rPr>
          <w:rFonts w:ascii="Avenir Next" w:hAnsi="Avenir Next" w:cs="Arial"/>
          <w:color w:val="000000" w:themeColor="text1"/>
          <w:sz w:val="20"/>
          <w:szCs w:val="20"/>
          <w:lang w:val="es-ES"/>
        </w:rPr>
      </w:pPr>
    </w:p>
    <w:p w14:paraId="72D1DF57" w14:textId="787202B0" w:rsidR="005633D9" w:rsidRDefault="005633D9" w:rsidP="008609CF">
      <w:pPr>
        <w:jc w:val="both"/>
        <w:rPr>
          <w:rFonts w:ascii="Avenir Next" w:hAnsi="Avenir Next" w:cs="Arial"/>
          <w:color w:val="000000" w:themeColor="text1"/>
          <w:sz w:val="20"/>
          <w:szCs w:val="20"/>
          <w:lang w:val="es-ES"/>
        </w:rPr>
      </w:pP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7E6FA0D8" w14:textId="7259942B"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F872D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F872D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B7A759B" w14:textId="4962A583" w:rsidR="001E4721" w:rsidRPr="00282BBC" w:rsidRDefault="000B5AF9" w:rsidP="001E4721">
      <w:pPr>
        <w:jc w:val="center"/>
        <w:rPr>
          <w:rFonts w:ascii="Avenir Next" w:hAnsi="Avenir Next" w:cs="Arial"/>
          <w:color w:val="000000" w:themeColor="text1"/>
          <w:lang w:val="es-ES"/>
        </w:rPr>
      </w:pPr>
      <w:r w:rsidRPr="000B5AF9">
        <w:rPr>
          <w:noProof/>
        </w:rPr>
        <w:drawing>
          <wp:inline distT="0" distB="0" distL="0" distR="0" wp14:anchorId="41136BC2" wp14:editId="0DE77F89">
            <wp:extent cx="4578350" cy="1993898"/>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93817" cy="2000634"/>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361EEB27" w:rsidR="001E4721" w:rsidRPr="00282BBC" w:rsidRDefault="001E4721" w:rsidP="00C41D1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B051A1" w:rsidRPr="00B051A1">
        <w:rPr>
          <w:rFonts w:ascii="Avenir Next" w:hAnsi="Avenir Next" w:cs="Arial"/>
          <w:color w:val="000000" w:themeColor="text1"/>
          <w:sz w:val="16"/>
          <w:szCs w:val="16"/>
          <w:lang w:val="es-ES"/>
        </w:rPr>
        <w:t xml:space="preserve">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5C9D994C" w14:textId="0363743D" w:rsidR="001E4721" w:rsidRPr="00282BBC" w:rsidRDefault="000B5AF9" w:rsidP="001E4721">
      <w:pPr>
        <w:jc w:val="center"/>
        <w:rPr>
          <w:rFonts w:ascii="Avenir Next" w:hAnsi="Avenir Next" w:cs="Arial"/>
          <w:color w:val="000000" w:themeColor="text1"/>
          <w:lang w:val="es-ES"/>
        </w:rPr>
      </w:pPr>
      <w:r w:rsidRPr="000B5AF9">
        <w:rPr>
          <w:noProof/>
        </w:rPr>
        <w:drawing>
          <wp:inline distT="0" distB="0" distL="0" distR="0" wp14:anchorId="518EDCF6" wp14:editId="5F545442">
            <wp:extent cx="4679950" cy="2111977"/>
            <wp:effectExtent l="0" t="0" r="635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4391" cy="2118494"/>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2"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316F936A" w14:textId="77777777" w:rsidR="00C97B8C" w:rsidRPr="00073928" w:rsidRDefault="00C97B8C" w:rsidP="00C97B8C">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00F84AE9" w14:textId="624EB6B6" w:rsidR="001E4721" w:rsidRPr="00282BBC" w:rsidRDefault="009020B3" w:rsidP="009020B3">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Falta de orden de compra</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77777777"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frente a la falta de generación de una orden de compra pese a que ha sido adjudicado el proceso.</w:t>
      </w:r>
    </w:p>
    <w:p w14:paraId="61279A39" w14:textId="4131463D" w:rsidR="000D0BD0" w:rsidRDefault="000D0BD0" w:rsidP="001E4721">
      <w:pPr>
        <w:jc w:val="both"/>
        <w:rPr>
          <w:rFonts w:ascii="Avenir Next" w:hAnsi="Avenir Next" w:cs="Arial"/>
          <w:color w:val="000000" w:themeColor="text1"/>
          <w:sz w:val="16"/>
          <w:szCs w:val="16"/>
          <w:lang w:val="es-ES"/>
        </w:rPr>
      </w:pPr>
    </w:p>
    <w:p w14:paraId="1A6058F8" w14:textId="6CB7C42C" w:rsidR="000B5AF9" w:rsidRDefault="000B5AF9" w:rsidP="001E4721">
      <w:pPr>
        <w:jc w:val="both"/>
        <w:rPr>
          <w:rFonts w:ascii="Avenir Next" w:hAnsi="Avenir Next" w:cs="Arial"/>
          <w:color w:val="000000" w:themeColor="text1"/>
          <w:sz w:val="16"/>
          <w:szCs w:val="16"/>
          <w:lang w:val="es-ES"/>
        </w:rPr>
      </w:pPr>
    </w:p>
    <w:p w14:paraId="60EDAAD8" w14:textId="18BFF8D0" w:rsidR="000B5AF9" w:rsidRDefault="000B5AF9" w:rsidP="001E4721">
      <w:pPr>
        <w:jc w:val="both"/>
        <w:rPr>
          <w:rFonts w:ascii="Avenir Next" w:hAnsi="Avenir Next" w:cs="Arial"/>
          <w:color w:val="000000" w:themeColor="text1"/>
          <w:sz w:val="16"/>
          <w:szCs w:val="16"/>
          <w:lang w:val="es-ES"/>
        </w:rPr>
      </w:pPr>
    </w:p>
    <w:p w14:paraId="17B8FCF6" w14:textId="2ECD2217" w:rsidR="000B5AF9" w:rsidRDefault="000B5AF9" w:rsidP="001E4721">
      <w:pPr>
        <w:jc w:val="both"/>
        <w:rPr>
          <w:rFonts w:ascii="Avenir Next" w:hAnsi="Avenir Next" w:cs="Arial"/>
          <w:color w:val="000000" w:themeColor="text1"/>
          <w:sz w:val="16"/>
          <w:szCs w:val="16"/>
          <w:lang w:val="es-ES"/>
        </w:rPr>
      </w:pPr>
    </w:p>
    <w:p w14:paraId="0EA19317" w14:textId="67949ED0" w:rsidR="000B5AF9" w:rsidRDefault="000B5AF9" w:rsidP="001E4721">
      <w:pPr>
        <w:jc w:val="both"/>
        <w:rPr>
          <w:rFonts w:ascii="Avenir Next" w:hAnsi="Avenir Next" w:cs="Arial"/>
          <w:color w:val="000000" w:themeColor="text1"/>
          <w:sz w:val="16"/>
          <w:szCs w:val="16"/>
          <w:lang w:val="es-ES"/>
        </w:rPr>
      </w:pPr>
    </w:p>
    <w:p w14:paraId="4B9D7A03" w14:textId="735EA6DE" w:rsidR="000B5AF9" w:rsidRDefault="000B5AF9" w:rsidP="001E4721">
      <w:pPr>
        <w:jc w:val="both"/>
        <w:rPr>
          <w:rFonts w:ascii="Avenir Next" w:hAnsi="Avenir Next" w:cs="Arial"/>
          <w:color w:val="000000" w:themeColor="text1"/>
          <w:sz w:val="16"/>
          <w:szCs w:val="16"/>
          <w:lang w:val="es-ES"/>
        </w:rPr>
      </w:pPr>
    </w:p>
    <w:p w14:paraId="1134946D" w14:textId="292EE427" w:rsidR="000B5AF9" w:rsidRDefault="000B5AF9" w:rsidP="001E4721">
      <w:pPr>
        <w:jc w:val="both"/>
        <w:rPr>
          <w:rFonts w:ascii="Avenir Next" w:hAnsi="Avenir Next" w:cs="Arial"/>
          <w:color w:val="000000" w:themeColor="text1"/>
          <w:sz w:val="16"/>
          <w:szCs w:val="16"/>
          <w:lang w:val="es-ES"/>
        </w:rPr>
      </w:pPr>
    </w:p>
    <w:p w14:paraId="06F37BBF" w14:textId="45DEFE1E" w:rsidR="000B5AF9" w:rsidRDefault="000B5AF9" w:rsidP="001E4721">
      <w:pPr>
        <w:jc w:val="both"/>
        <w:rPr>
          <w:rFonts w:ascii="Avenir Next" w:hAnsi="Avenir Next" w:cs="Arial"/>
          <w:color w:val="000000" w:themeColor="text1"/>
          <w:sz w:val="16"/>
          <w:szCs w:val="16"/>
          <w:lang w:val="es-ES"/>
        </w:rPr>
      </w:pPr>
    </w:p>
    <w:p w14:paraId="16C7936D" w14:textId="016F7DDD" w:rsidR="000B5AF9" w:rsidRDefault="000B5AF9" w:rsidP="001E4721">
      <w:pPr>
        <w:jc w:val="both"/>
        <w:rPr>
          <w:rFonts w:ascii="Avenir Next" w:hAnsi="Avenir Next" w:cs="Arial"/>
          <w:color w:val="000000" w:themeColor="text1"/>
          <w:sz w:val="16"/>
          <w:szCs w:val="16"/>
          <w:lang w:val="es-ES"/>
        </w:rPr>
      </w:pPr>
    </w:p>
    <w:p w14:paraId="2D3C42C8" w14:textId="7BDAAEAC" w:rsidR="000B5AF9" w:rsidRDefault="000B5AF9" w:rsidP="001E4721">
      <w:pPr>
        <w:jc w:val="both"/>
        <w:rPr>
          <w:rFonts w:ascii="Avenir Next" w:hAnsi="Avenir Next" w:cs="Arial"/>
          <w:color w:val="000000" w:themeColor="text1"/>
          <w:sz w:val="16"/>
          <w:szCs w:val="16"/>
          <w:lang w:val="es-ES"/>
        </w:rPr>
      </w:pPr>
    </w:p>
    <w:p w14:paraId="0F6BF4C9" w14:textId="3B9A7B4B" w:rsidR="000B5AF9" w:rsidRDefault="000B5AF9" w:rsidP="001E4721">
      <w:pPr>
        <w:jc w:val="both"/>
        <w:rPr>
          <w:rFonts w:ascii="Avenir Next" w:hAnsi="Avenir Next" w:cs="Arial"/>
          <w:color w:val="000000" w:themeColor="text1"/>
          <w:sz w:val="16"/>
          <w:szCs w:val="16"/>
          <w:lang w:val="es-ES"/>
        </w:rPr>
      </w:pPr>
    </w:p>
    <w:p w14:paraId="3078AF88" w14:textId="20F2D298" w:rsidR="000B5AF9" w:rsidRDefault="000B5AF9" w:rsidP="001E4721">
      <w:pPr>
        <w:jc w:val="both"/>
        <w:rPr>
          <w:rFonts w:ascii="Avenir Next" w:hAnsi="Avenir Next" w:cs="Arial"/>
          <w:color w:val="000000" w:themeColor="text1"/>
          <w:sz w:val="16"/>
          <w:szCs w:val="16"/>
          <w:lang w:val="es-ES"/>
        </w:rPr>
      </w:pPr>
    </w:p>
    <w:p w14:paraId="1E85D10F" w14:textId="0EB1FD00" w:rsidR="000B5AF9" w:rsidRDefault="000B5AF9" w:rsidP="001E4721">
      <w:pPr>
        <w:jc w:val="both"/>
        <w:rPr>
          <w:rFonts w:ascii="Avenir Next" w:hAnsi="Avenir Next" w:cs="Arial"/>
          <w:color w:val="000000" w:themeColor="text1"/>
          <w:sz w:val="16"/>
          <w:szCs w:val="16"/>
          <w:lang w:val="es-ES"/>
        </w:rPr>
      </w:pPr>
    </w:p>
    <w:p w14:paraId="5D43A697" w14:textId="075AD489" w:rsidR="000B5AF9" w:rsidRDefault="000B5AF9" w:rsidP="001E4721">
      <w:pPr>
        <w:jc w:val="both"/>
        <w:rPr>
          <w:rFonts w:ascii="Avenir Next" w:hAnsi="Avenir Next" w:cs="Arial"/>
          <w:color w:val="000000" w:themeColor="text1"/>
          <w:sz w:val="16"/>
          <w:szCs w:val="16"/>
          <w:lang w:val="es-ES"/>
        </w:rPr>
      </w:pPr>
    </w:p>
    <w:p w14:paraId="429851E7" w14:textId="688AE55B" w:rsidR="000B5AF9" w:rsidRDefault="000B5AF9" w:rsidP="001E4721">
      <w:pPr>
        <w:jc w:val="both"/>
        <w:rPr>
          <w:rFonts w:ascii="Avenir Next" w:hAnsi="Avenir Next" w:cs="Arial"/>
          <w:color w:val="000000" w:themeColor="text1"/>
          <w:sz w:val="16"/>
          <w:szCs w:val="16"/>
          <w:lang w:val="es-ES"/>
        </w:rPr>
      </w:pPr>
    </w:p>
    <w:p w14:paraId="338DB71D" w14:textId="77777777" w:rsidR="000B5AF9" w:rsidRDefault="000B5AF9" w:rsidP="001E4721">
      <w:pPr>
        <w:jc w:val="both"/>
        <w:rPr>
          <w:rFonts w:ascii="Avenir Next" w:hAnsi="Avenir Next" w:cs="Arial"/>
          <w:color w:val="000000" w:themeColor="text1"/>
          <w:sz w:val="16"/>
          <w:szCs w:val="16"/>
          <w:lang w:val="es-ES"/>
        </w:rPr>
      </w:pPr>
    </w:p>
    <w:p w14:paraId="36FCCA44" w14:textId="11C9793E"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lastRenderedPageBreak/>
        <w:t xml:space="preserve">Figura </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w:t>
      </w:r>
      <w:r w:rsidR="000B5AF9">
        <w:rPr>
          <w:rFonts w:ascii="Avenir Next" w:hAnsi="Avenir Next" w:cs="Arial"/>
          <w:color w:val="000000" w:themeColor="text1"/>
          <w:sz w:val="16"/>
          <w:szCs w:val="16"/>
          <w:lang w:val="es-ES"/>
        </w:rPr>
        <w:t>03</w:t>
      </w:r>
      <w:r w:rsidRPr="00282BBC">
        <w:rPr>
          <w:rFonts w:ascii="Avenir Next" w:hAnsi="Avenir Next" w:cs="Arial"/>
          <w:color w:val="000000" w:themeColor="text1"/>
          <w:sz w:val="16"/>
          <w:szCs w:val="16"/>
          <w:lang w:val="es-ES"/>
        </w:rPr>
        <w:t>-202</w:t>
      </w:r>
      <w:r w:rsidR="000B5AF9">
        <w:rPr>
          <w:rFonts w:ascii="Avenir Next" w:hAnsi="Avenir Next" w:cs="Arial"/>
          <w:color w:val="000000" w:themeColor="text1"/>
          <w:sz w:val="16"/>
          <w:szCs w:val="16"/>
          <w:lang w:val="es-ES"/>
        </w:rPr>
        <w:t>1</w:t>
      </w:r>
      <w:r w:rsidRPr="00282BBC">
        <w:rPr>
          <w:rFonts w:ascii="Avenir Next" w:hAnsi="Avenir Next" w:cs="Arial"/>
          <w:color w:val="000000" w:themeColor="text1"/>
          <w:sz w:val="16"/>
          <w:szCs w:val="16"/>
          <w:lang w:val="es-ES"/>
        </w:rPr>
        <w:t>.</w:t>
      </w:r>
    </w:p>
    <w:p w14:paraId="1AE86AD2" w14:textId="795716A1" w:rsidR="001E4721" w:rsidRPr="00282BBC" w:rsidRDefault="00F41493" w:rsidP="001E4721">
      <w:pPr>
        <w:jc w:val="center"/>
        <w:rPr>
          <w:rFonts w:ascii="Avenir Next" w:hAnsi="Avenir Next" w:cs="Arial"/>
          <w:color w:val="000000" w:themeColor="text1"/>
          <w:lang w:val="es-ES"/>
        </w:rPr>
      </w:pPr>
      <w:r w:rsidRPr="00F41493">
        <w:rPr>
          <w:rFonts w:ascii="Avenir Next" w:hAnsi="Avenir Next" w:cs="Arial"/>
          <w:color w:val="000000" w:themeColor="text1"/>
          <w:lang w:val="es-ES"/>
        </w:rPr>
        <w:drawing>
          <wp:inline distT="0" distB="0" distL="0" distR="0" wp14:anchorId="1D0C05E4" wp14:editId="4A0BA38F">
            <wp:extent cx="4464050" cy="1898156"/>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0007" cy="1917697"/>
                    </a:xfrm>
                    <a:prstGeom prst="rect">
                      <a:avLst/>
                    </a:prstGeom>
                  </pic:spPr>
                </pic:pic>
              </a:graphicData>
            </a:graphic>
          </wp:inline>
        </w:drawing>
      </w:r>
    </w:p>
    <w:p w14:paraId="6156C524" w14:textId="77777777" w:rsidR="001E4721" w:rsidRPr="00282BBC" w:rsidRDefault="001E4721" w:rsidP="001E4721">
      <w:pPr>
        <w:jc w:val="both"/>
        <w:rPr>
          <w:rFonts w:ascii="Avenir Next" w:hAnsi="Avenir Next" w:cs="Arial"/>
          <w:color w:val="000000" w:themeColor="text1"/>
          <w:lang w:val="es-ES"/>
        </w:rPr>
      </w:pPr>
    </w:p>
    <w:p w14:paraId="622D7FB1" w14:textId="26FE4BDC"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7CB5E60A" w14:textId="4E1D7644" w:rsidR="001E4721" w:rsidRDefault="00F41493" w:rsidP="00C80817">
      <w:pPr>
        <w:jc w:val="center"/>
        <w:rPr>
          <w:rFonts w:ascii="Avenir Next" w:hAnsi="Avenir Next" w:cs="Arial"/>
          <w:color w:val="000000" w:themeColor="text1"/>
          <w:lang w:val="es-ES"/>
        </w:rPr>
      </w:pPr>
      <w:r w:rsidRPr="00F41493">
        <w:rPr>
          <w:rFonts w:ascii="Avenir Next" w:hAnsi="Avenir Next" w:cs="Arial"/>
          <w:color w:val="000000" w:themeColor="text1"/>
          <w:lang w:val="es-ES"/>
        </w:rPr>
        <w:drawing>
          <wp:inline distT="0" distB="0" distL="0" distR="0" wp14:anchorId="5B4EE518" wp14:editId="6002A633">
            <wp:extent cx="4578350" cy="1961780"/>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2566" cy="1985011"/>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5"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6" w:history="1">
        <w:r w:rsidRPr="000D0BD0">
          <w:rPr>
            <w:rStyle w:val="Hipervnculo"/>
            <w:rFonts w:ascii="Avenir Next" w:hAnsi="Avenir Next" w:cs="Arial"/>
            <w:b/>
            <w:bCs/>
            <w:lang w:val="es-ES"/>
          </w:rPr>
          <w:t>aquí</w:t>
        </w:r>
      </w:hyperlink>
    </w:p>
    <w:sectPr w:rsidR="00C97B8C" w:rsidRPr="00AF573C" w:rsidSect="004B3CAB">
      <w:footerReference w:type="even" r:id="rId47"/>
      <w:foot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B654F" w14:textId="77777777" w:rsidR="00441840" w:rsidRDefault="00441840" w:rsidP="00BE199E">
      <w:r>
        <w:separator/>
      </w:r>
    </w:p>
  </w:endnote>
  <w:endnote w:type="continuationSeparator" w:id="0">
    <w:p w14:paraId="4F10912E" w14:textId="77777777" w:rsidR="00441840" w:rsidRDefault="00441840"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Roboto">
    <w:altName w:val="﷽﷽﷽﷽﷽﷽﷽﷽"/>
    <w:charset w:val="00"/>
    <w:family w:val="auto"/>
    <w:pitch w:val="variable"/>
    <w:sig w:usb0="E00002FF" w:usb1="5000205B" w:usb2="00000020" w:usb3="00000000" w:csb0="0000019F" w:csb1="00000000"/>
  </w:font>
  <w:font w:name="Avenir Next Medium">
    <w:altName w:val="Calibri"/>
    <w:charset w:val="00"/>
    <w:family w:val="swiss"/>
    <w:pitch w:val="variable"/>
    <w:sig w:usb0="8000002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436C6D" w:rsidRDefault="00436C6D"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6908215"/>
      <w:docPartObj>
        <w:docPartGallery w:val="Page Numbers (Bottom of Page)"/>
        <w:docPartUnique/>
      </w:docPartObj>
    </w:sdtPr>
    <w:sdtEndPr>
      <w:rPr>
        <w:rStyle w:val="Nmerodepgina"/>
      </w:rPr>
    </w:sdtEndPr>
    <w:sdtContent>
      <w:p w14:paraId="744C396E" w14:textId="00F6372E"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436C6D" w:rsidRDefault="00436C6D"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C3B51" w14:textId="77777777" w:rsidR="00441840" w:rsidRDefault="00441840" w:rsidP="00BE199E">
      <w:r>
        <w:separator/>
      </w:r>
    </w:p>
  </w:footnote>
  <w:footnote w:type="continuationSeparator" w:id="0">
    <w:p w14:paraId="7366446A" w14:textId="77777777" w:rsidR="00441840" w:rsidRDefault="00441840" w:rsidP="00BE1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164C0"/>
    <w:rsid w:val="00026F21"/>
    <w:rsid w:val="00027510"/>
    <w:rsid w:val="00046FF9"/>
    <w:rsid w:val="00052D2A"/>
    <w:rsid w:val="00061501"/>
    <w:rsid w:val="00073225"/>
    <w:rsid w:val="00081B8B"/>
    <w:rsid w:val="00095F7A"/>
    <w:rsid w:val="0009778C"/>
    <w:rsid w:val="000A3212"/>
    <w:rsid w:val="000B5AF9"/>
    <w:rsid w:val="000D0BD0"/>
    <w:rsid w:val="000D191D"/>
    <w:rsid w:val="001007F4"/>
    <w:rsid w:val="00142AF1"/>
    <w:rsid w:val="00153367"/>
    <w:rsid w:val="00154F46"/>
    <w:rsid w:val="00162987"/>
    <w:rsid w:val="00172E29"/>
    <w:rsid w:val="00175605"/>
    <w:rsid w:val="0018477F"/>
    <w:rsid w:val="00186D5D"/>
    <w:rsid w:val="00190D0B"/>
    <w:rsid w:val="00192BA5"/>
    <w:rsid w:val="001A04F6"/>
    <w:rsid w:val="001C09B1"/>
    <w:rsid w:val="001E4721"/>
    <w:rsid w:val="001E69C0"/>
    <w:rsid w:val="001F0C27"/>
    <w:rsid w:val="001F7E21"/>
    <w:rsid w:val="00207DCB"/>
    <w:rsid w:val="0023365C"/>
    <w:rsid w:val="00255E44"/>
    <w:rsid w:val="00282BBC"/>
    <w:rsid w:val="002A6481"/>
    <w:rsid w:val="002B46F4"/>
    <w:rsid w:val="002C26E9"/>
    <w:rsid w:val="002C2967"/>
    <w:rsid w:val="002E7041"/>
    <w:rsid w:val="00300516"/>
    <w:rsid w:val="0033511E"/>
    <w:rsid w:val="00335A94"/>
    <w:rsid w:val="00365E42"/>
    <w:rsid w:val="003809C5"/>
    <w:rsid w:val="00397E1B"/>
    <w:rsid w:val="003D6515"/>
    <w:rsid w:val="003D658E"/>
    <w:rsid w:val="003E7720"/>
    <w:rsid w:val="004166D3"/>
    <w:rsid w:val="00436C6D"/>
    <w:rsid w:val="00441840"/>
    <w:rsid w:val="0044554C"/>
    <w:rsid w:val="00446963"/>
    <w:rsid w:val="004653EA"/>
    <w:rsid w:val="00471CF2"/>
    <w:rsid w:val="004866CA"/>
    <w:rsid w:val="0049078B"/>
    <w:rsid w:val="00495ABA"/>
    <w:rsid w:val="004A0AF2"/>
    <w:rsid w:val="004B3CAB"/>
    <w:rsid w:val="004B5CFD"/>
    <w:rsid w:val="004C709F"/>
    <w:rsid w:val="00504BB7"/>
    <w:rsid w:val="00514764"/>
    <w:rsid w:val="00541650"/>
    <w:rsid w:val="00542F60"/>
    <w:rsid w:val="00545B65"/>
    <w:rsid w:val="00547D86"/>
    <w:rsid w:val="00554F8F"/>
    <w:rsid w:val="005633D9"/>
    <w:rsid w:val="00565D46"/>
    <w:rsid w:val="00565FB0"/>
    <w:rsid w:val="00582F85"/>
    <w:rsid w:val="00585778"/>
    <w:rsid w:val="005965F5"/>
    <w:rsid w:val="005A5C8B"/>
    <w:rsid w:val="005C43B1"/>
    <w:rsid w:val="005D7208"/>
    <w:rsid w:val="005E790C"/>
    <w:rsid w:val="005F0E98"/>
    <w:rsid w:val="00606681"/>
    <w:rsid w:val="0061247D"/>
    <w:rsid w:val="00655B06"/>
    <w:rsid w:val="006675F9"/>
    <w:rsid w:val="006841EA"/>
    <w:rsid w:val="00686D03"/>
    <w:rsid w:val="00686E42"/>
    <w:rsid w:val="0068787C"/>
    <w:rsid w:val="00695359"/>
    <w:rsid w:val="006B41BE"/>
    <w:rsid w:val="006C11E2"/>
    <w:rsid w:val="006C74B3"/>
    <w:rsid w:val="006E5B54"/>
    <w:rsid w:val="0070214A"/>
    <w:rsid w:val="007336FC"/>
    <w:rsid w:val="0074228C"/>
    <w:rsid w:val="00770CCE"/>
    <w:rsid w:val="00774489"/>
    <w:rsid w:val="00784FE2"/>
    <w:rsid w:val="00785730"/>
    <w:rsid w:val="007866BC"/>
    <w:rsid w:val="00786F99"/>
    <w:rsid w:val="007A1969"/>
    <w:rsid w:val="007B2DE1"/>
    <w:rsid w:val="007B2FFF"/>
    <w:rsid w:val="007E3C71"/>
    <w:rsid w:val="00814E94"/>
    <w:rsid w:val="008225E5"/>
    <w:rsid w:val="00824BA6"/>
    <w:rsid w:val="008321CE"/>
    <w:rsid w:val="0084251F"/>
    <w:rsid w:val="00842E02"/>
    <w:rsid w:val="008609CF"/>
    <w:rsid w:val="00881352"/>
    <w:rsid w:val="008824E2"/>
    <w:rsid w:val="00883633"/>
    <w:rsid w:val="008864C4"/>
    <w:rsid w:val="008A0DED"/>
    <w:rsid w:val="008B42B9"/>
    <w:rsid w:val="008B6C1E"/>
    <w:rsid w:val="008C26A6"/>
    <w:rsid w:val="008D10B5"/>
    <w:rsid w:val="008D40E1"/>
    <w:rsid w:val="009020B3"/>
    <w:rsid w:val="0092767E"/>
    <w:rsid w:val="00934DD5"/>
    <w:rsid w:val="009369D7"/>
    <w:rsid w:val="00966605"/>
    <w:rsid w:val="00971B8C"/>
    <w:rsid w:val="00992C9B"/>
    <w:rsid w:val="009B6E24"/>
    <w:rsid w:val="009C5DAF"/>
    <w:rsid w:val="009C621A"/>
    <w:rsid w:val="009D4ACF"/>
    <w:rsid w:val="009F2E32"/>
    <w:rsid w:val="009F4B51"/>
    <w:rsid w:val="00A16DF2"/>
    <w:rsid w:val="00A44B34"/>
    <w:rsid w:val="00A71EA4"/>
    <w:rsid w:val="00A90C1E"/>
    <w:rsid w:val="00AA051A"/>
    <w:rsid w:val="00AC52CF"/>
    <w:rsid w:val="00AE138E"/>
    <w:rsid w:val="00AE395E"/>
    <w:rsid w:val="00AE57AA"/>
    <w:rsid w:val="00AF573C"/>
    <w:rsid w:val="00B0162A"/>
    <w:rsid w:val="00B051A1"/>
    <w:rsid w:val="00B113D5"/>
    <w:rsid w:val="00B21D9F"/>
    <w:rsid w:val="00B31C5E"/>
    <w:rsid w:val="00B67B2D"/>
    <w:rsid w:val="00B82311"/>
    <w:rsid w:val="00B9589C"/>
    <w:rsid w:val="00BA0172"/>
    <w:rsid w:val="00BC341C"/>
    <w:rsid w:val="00BE199E"/>
    <w:rsid w:val="00C12620"/>
    <w:rsid w:val="00C1716C"/>
    <w:rsid w:val="00C268E7"/>
    <w:rsid w:val="00C41D11"/>
    <w:rsid w:val="00C44BC2"/>
    <w:rsid w:val="00C44E7C"/>
    <w:rsid w:val="00C528CE"/>
    <w:rsid w:val="00C54B2C"/>
    <w:rsid w:val="00C66303"/>
    <w:rsid w:val="00C77227"/>
    <w:rsid w:val="00C80817"/>
    <w:rsid w:val="00C83407"/>
    <w:rsid w:val="00C843E9"/>
    <w:rsid w:val="00C85EA6"/>
    <w:rsid w:val="00C935C3"/>
    <w:rsid w:val="00C95E88"/>
    <w:rsid w:val="00C97B8C"/>
    <w:rsid w:val="00CB297A"/>
    <w:rsid w:val="00CB6A2E"/>
    <w:rsid w:val="00CC1F25"/>
    <w:rsid w:val="00CC43B5"/>
    <w:rsid w:val="00CC483D"/>
    <w:rsid w:val="00CE1728"/>
    <w:rsid w:val="00CF3742"/>
    <w:rsid w:val="00D019CB"/>
    <w:rsid w:val="00D12DB2"/>
    <w:rsid w:val="00D36149"/>
    <w:rsid w:val="00D647AB"/>
    <w:rsid w:val="00D76574"/>
    <w:rsid w:val="00D77F22"/>
    <w:rsid w:val="00D81F14"/>
    <w:rsid w:val="00DB0B5B"/>
    <w:rsid w:val="00DD1290"/>
    <w:rsid w:val="00DE768E"/>
    <w:rsid w:val="00E01EDC"/>
    <w:rsid w:val="00E24CDB"/>
    <w:rsid w:val="00E2694B"/>
    <w:rsid w:val="00E32B2F"/>
    <w:rsid w:val="00E336EE"/>
    <w:rsid w:val="00E4504F"/>
    <w:rsid w:val="00E46609"/>
    <w:rsid w:val="00E467E1"/>
    <w:rsid w:val="00E73C8A"/>
    <w:rsid w:val="00E76FFD"/>
    <w:rsid w:val="00EA0C8C"/>
    <w:rsid w:val="00EC1146"/>
    <w:rsid w:val="00ED437C"/>
    <w:rsid w:val="00ED70B5"/>
    <w:rsid w:val="00EE667B"/>
    <w:rsid w:val="00EF14EB"/>
    <w:rsid w:val="00EF5CA4"/>
    <w:rsid w:val="00F07C9C"/>
    <w:rsid w:val="00F41493"/>
    <w:rsid w:val="00F7143D"/>
    <w:rsid w:val="00F872D9"/>
    <w:rsid w:val="00FC5B19"/>
    <w:rsid w:val="00FE04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0214A"/>
    <w:pPr>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hyperlink" Target="https://redflags.observatoriofiscal.cl/Home/Informes" TargetMode="External"/><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hyperlink" Target="https://redflags.observatoriofiscal.cl/Home/Inform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Home/Informes" TargetMode="External"/><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hyperlink" Target="https://redflags.observatoriofiscal.cl/Home/Informe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hyperlink" Target="https://redflags.observatoriofiscal.cl/Home/Informes" TargetMode="External"/><Relationship Id="rId38" Type="http://schemas.openxmlformats.org/officeDocument/2006/relationships/image" Target="media/image17.png"/><Relationship Id="rId46" Type="http://schemas.openxmlformats.org/officeDocument/2006/relationships/hyperlink" Target="https://redflags.observatoriofiscal.cl/" TargetMode="External"/><Relationship Id="rId20"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13</Pages>
  <Words>2637</Words>
  <Characters>14508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8</cp:revision>
  <cp:lastPrinted>2021-03-19T15:00:00Z</cp:lastPrinted>
  <dcterms:created xsi:type="dcterms:W3CDTF">2021-03-19T15:00:00Z</dcterms:created>
  <dcterms:modified xsi:type="dcterms:W3CDTF">2021-04-01T21:25:00Z</dcterms:modified>
</cp:coreProperties>
</file>