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30C4A7FD" w:rsidR="00EA0C8C" w:rsidRPr="00282BBC" w:rsidRDefault="00EA0C8C" w:rsidP="00C54B2C">
            <w:pPr>
              <w:pStyle w:val="Normal1"/>
              <w:ind w:left="-284"/>
              <w:jc w:val="center"/>
              <w:rPr>
                <w:rFonts w:asciiTheme="majorHAnsi" w:hAnsiTheme="majorHAnsi"/>
                <w:color w:val="44546A" w:themeColor="text2"/>
                <w:sz w:val="21"/>
                <w:szCs w:val="21"/>
              </w:rPr>
            </w:pPr>
            <w:r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0C0FBD57">
                      <wp:simplePos x="0" y="0"/>
                      <wp:positionH relativeFrom="column">
                        <wp:posOffset>-1348011</wp:posOffset>
                      </wp:positionH>
                      <wp:positionV relativeFrom="paragraph">
                        <wp:posOffset>-874166</wp:posOffset>
                      </wp:positionV>
                      <wp:extent cx="8079698" cy="10560570"/>
                      <wp:effectExtent l="0" t="0" r="0" b="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BD50"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" fillcolor="#002060"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282BBC" w14:paraId="4D52AD71" w14:textId="77777777" w:rsidTr="00C54B2C">
        <w:trPr>
          <w:trHeight w:val="7919"/>
        </w:trPr>
        <w:tc>
          <w:tcPr>
            <w:tcW w:w="8577" w:type="dxa"/>
          </w:tcPr>
          <w:p w14:paraId="62D11989" w14:textId="77777777" w:rsidR="00EA0C8C" w:rsidRPr="00282BBC" w:rsidRDefault="00EA0C8C" w:rsidP="00C54B2C">
            <w:pPr>
              <w:pStyle w:val="Normal1"/>
              <w:ind w:left="-284"/>
              <w:jc w:val="center"/>
              <w:rPr>
                <w:rFonts w:asciiTheme="majorHAnsi" w:eastAsiaTheme="minorEastAsia" w:hAnsiTheme="majorHAnsi" w:cs="Helvetica"/>
                <w:lang w:eastAsia="es-ES_tradnl"/>
              </w:rPr>
            </w:pPr>
          </w:p>
          <w:p w14:paraId="0ACD9329" w14:textId="54102489" w:rsidR="00EA0C8C" w:rsidRPr="00282BBC" w:rsidRDefault="00EA0C8C" w:rsidP="00C54B2C">
            <w:pPr>
              <w:pStyle w:val="Normal1"/>
              <w:ind w:left="-284"/>
              <w:jc w:val="center"/>
              <w:rPr>
                <w:rFonts w:asciiTheme="majorHAnsi" w:eastAsiaTheme="minorEastAsia" w:hAnsiTheme="majorHAnsi" w:cs="Helvetica"/>
                <w:lang w:eastAsia="es-ES_tradnl"/>
              </w:rPr>
            </w:pPr>
          </w:p>
          <w:p w14:paraId="0B933F13" w14:textId="503921F7" w:rsidR="00EA0C8C" w:rsidRPr="00282BBC" w:rsidRDefault="00EA0C8C" w:rsidP="00C54B2C">
            <w:pPr>
              <w:pStyle w:val="Normal1"/>
              <w:ind w:left="-284"/>
              <w:jc w:val="center"/>
              <w:rPr>
                <w:rFonts w:asciiTheme="majorHAnsi" w:eastAsiaTheme="minorEastAsia" w:hAnsiTheme="majorHAnsi" w:cs="Helvetica"/>
                <w:lang w:eastAsia="es-ES_tradnl"/>
              </w:rPr>
            </w:pPr>
          </w:p>
          <w:p w14:paraId="2AE771B4" w14:textId="739DE9E5" w:rsidR="00EA0C8C" w:rsidRPr="00282BBC" w:rsidRDefault="00EA0C8C" w:rsidP="00C54B2C">
            <w:pPr>
              <w:pStyle w:val="Normal1"/>
              <w:ind w:left="-284"/>
              <w:jc w:val="center"/>
              <w:rPr>
                <w:rFonts w:asciiTheme="majorHAnsi" w:eastAsiaTheme="minorEastAsia" w:hAnsiTheme="majorHAnsi" w:cs="Helvetica"/>
                <w:lang w:eastAsia="es-ES_tradnl"/>
              </w:rPr>
            </w:pPr>
          </w:p>
          <w:p w14:paraId="0C01C9E8" w14:textId="08B09A70" w:rsidR="00EA0C8C" w:rsidRPr="00282BBC" w:rsidRDefault="00EA0C8C" w:rsidP="00C54B2C">
            <w:pPr>
              <w:pStyle w:val="Normal1"/>
              <w:ind w:left="-284"/>
              <w:jc w:val="center"/>
              <w:rPr>
                <w:rFonts w:asciiTheme="majorHAnsi" w:eastAsiaTheme="minorEastAsia" w:hAnsiTheme="majorHAnsi" w:cs="Helvetica"/>
                <w:lang w:eastAsia="es-ES_tradnl"/>
              </w:rPr>
            </w:pPr>
          </w:p>
          <w:p w14:paraId="3BAB6FA5" w14:textId="738FDA3F" w:rsidR="00EA0C8C" w:rsidRPr="00282BBC" w:rsidRDefault="00EA0C8C" w:rsidP="00C54B2C">
            <w:pPr>
              <w:tabs>
                <w:tab w:val="left" w:pos="8364"/>
              </w:tabs>
              <w:spacing w:line="288" w:lineRule="auto"/>
              <w:ind w:left="-284" w:right="213"/>
              <w:jc w:val="center"/>
              <w:rPr>
                <w:rFonts w:asciiTheme="majorHAnsi" w:hAnsiTheme="majorHAnsi"/>
                <w:color w:val="FFFFFF" w:themeColor="background1"/>
                <w:sz w:val="13"/>
                <w:lang w:val="es-ES_tradnl"/>
              </w:rPr>
            </w:pPr>
            <w:r w:rsidRPr="00282BBC">
              <w:rPr>
                <w:rFonts w:asciiTheme="majorHAnsi" w:hAnsiTheme="majorHAnsi"/>
                <w:color w:val="FFFFFF" w:themeColor="background1"/>
                <w:sz w:val="13"/>
                <w:lang w:val="es-ES_tradnl"/>
              </w:rPr>
              <w:t>………………………………………………………………………………………………………………………………………………………………………………………………………………………………………………………….</w:t>
            </w:r>
          </w:p>
          <w:p w14:paraId="3AE6E6C8" w14:textId="77777777" w:rsidR="00EA0C8C" w:rsidRPr="00282BBC" w:rsidRDefault="00EA0C8C" w:rsidP="00C54B2C">
            <w:pPr>
              <w:tabs>
                <w:tab w:val="left" w:pos="0"/>
                <w:tab w:val="left" w:pos="8364"/>
              </w:tabs>
              <w:spacing w:line="288" w:lineRule="auto"/>
              <w:ind w:left="-284" w:right="213"/>
              <w:jc w:val="center"/>
              <w:rPr>
                <w:rFonts w:asciiTheme="majorHAnsi" w:hAnsiTheme="majorHAnsi"/>
                <w:color w:val="FFFFFF" w:themeColor="background1"/>
                <w:sz w:val="13"/>
                <w:lang w:val="es-ES_tradnl"/>
              </w:rPr>
            </w:pPr>
          </w:p>
          <w:p w14:paraId="47305854" w14:textId="4A886C0A" w:rsidR="00EA0C8C" w:rsidRPr="00282BBC" w:rsidRDefault="00EA0C8C" w:rsidP="00C54B2C">
            <w:pPr>
              <w:tabs>
                <w:tab w:val="left" w:pos="8364"/>
              </w:tabs>
              <w:ind w:right="213"/>
              <w:jc w:val="center"/>
              <w:rPr>
                <w:rFonts w:asciiTheme="majorHAnsi" w:eastAsia="Roboto" w:hAnsiTheme="majorHAnsi" w:cs="Roboto"/>
                <w:b/>
                <w:color w:val="FFFFFF" w:themeColor="background1"/>
                <w:sz w:val="32"/>
                <w:lang w:val="es-ES_tradnl"/>
              </w:rPr>
            </w:pPr>
          </w:p>
          <w:p w14:paraId="24B967E8" w14:textId="7E1993A1" w:rsidR="00EA0C8C" w:rsidRPr="00282BBC" w:rsidRDefault="00EA0C8C" w:rsidP="00C54B2C">
            <w:pPr>
              <w:tabs>
                <w:tab w:val="left" w:pos="8364"/>
              </w:tabs>
              <w:ind w:right="213"/>
              <w:jc w:val="center"/>
              <w:rPr>
                <w:rFonts w:ascii="Avenir Next Medium" w:eastAsia="Roboto" w:hAnsi="Avenir Next Medium" w:cs="Roboto"/>
                <w:color w:val="FFFFFF" w:themeColor="background1"/>
                <w:sz w:val="32"/>
                <w:lang w:val="es-ES_tradnl"/>
              </w:rPr>
            </w:pPr>
            <w:r w:rsidRPr="00282BBC">
              <w:rPr>
                <w:rFonts w:ascii="Avenir Next Medium" w:eastAsia="Roboto" w:hAnsi="Avenir Next Medium" w:cs="Roboto"/>
                <w:color w:val="FFFFFF" w:themeColor="background1"/>
                <w:sz w:val="32"/>
                <w:lang w:val="es-ES_tradnl"/>
              </w:rPr>
              <w:t>Reporte Trimestral de Red Flags</w:t>
            </w:r>
          </w:p>
          <w:p w14:paraId="77D3FD81" w14:textId="3BA9AEF2"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1AB12FFB" w14:textId="77777777"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p>
          <w:p w14:paraId="1A8A7C3D" w14:textId="4466DF03"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r w:rsidRPr="00282BBC">
              <w:rPr>
                <w:rFonts w:ascii="Avenir Next Medium" w:eastAsia="Arial Narrow" w:hAnsi="Avenir Next Medium" w:cs="Arial Narrow"/>
                <w:color w:val="FFFFFF" w:themeColor="background1"/>
              </w:rPr>
              <w:t xml:space="preserve">- </w:t>
            </w:r>
            <w:r w:rsidR="00966605">
              <w:rPr>
                <w:rFonts w:ascii="Avenir Next Medium" w:eastAsia="Arial Narrow" w:hAnsi="Avenir Next Medium" w:cs="Arial Narrow"/>
                <w:color w:val="FFFFFF" w:themeColor="background1"/>
              </w:rPr>
              <w:t>0</w:t>
            </w:r>
            <w:r w:rsidR="00387371">
              <w:rPr>
                <w:rFonts w:ascii="Avenir Next Medium" w:eastAsia="Arial Narrow" w:hAnsi="Avenir Next Medium" w:cs="Arial Narrow"/>
                <w:color w:val="FFFFFF" w:themeColor="background1"/>
              </w:rPr>
              <w:t>6</w:t>
            </w:r>
            <w:r w:rsidRPr="00282BBC">
              <w:rPr>
                <w:rFonts w:ascii="Avenir Next Medium" w:eastAsia="Arial Narrow" w:hAnsi="Avenir Next Medium" w:cs="Arial Narrow"/>
                <w:color w:val="FFFFFF" w:themeColor="background1"/>
              </w:rPr>
              <w:t>.</w:t>
            </w:r>
            <w:r w:rsidR="00387371">
              <w:rPr>
                <w:rFonts w:ascii="Avenir Next Medium" w:eastAsia="Arial Narrow" w:hAnsi="Avenir Next Medium" w:cs="Arial Narrow"/>
                <w:color w:val="FFFFFF" w:themeColor="background1"/>
              </w:rPr>
              <w:t>10</w:t>
            </w:r>
            <w:r w:rsidRPr="00282BBC">
              <w:rPr>
                <w:rFonts w:ascii="Avenir Next Medium" w:eastAsia="Arial Narrow" w:hAnsi="Avenir Next Medium" w:cs="Arial Narrow"/>
                <w:color w:val="FFFFFF" w:themeColor="background1"/>
              </w:rPr>
              <w:t>.202</w:t>
            </w:r>
            <w:r w:rsidR="00DB0B5B">
              <w:rPr>
                <w:rFonts w:ascii="Avenir Next Medium" w:eastAsia="Arial Narrow" w:hAnsi="Avenir Next Medium" w:cs="Arial Narrow"/>
                <w:color w:val="FFFFFF" w:themeColor="background1"/>
              </w:rPr>
              <w:t>1</w:t>
            </w:r>
            <w:r w:rsidRPr="00282BBC">
              <w:rPr>
                <w:rFonts w:ascii="Avenir Next Medium" w:eastAsia="Arial Narrow" w:hAnsi="Avenir Next Medium" w:cs="Arial Narrow"/>
                <w:color w:val="FFFFFF" w:themeColor="background1"/>
              </w:rPr>
              <w:t xml:space="preserve"> -</w:t>
            </w:r>
          </w:p>
          <w:p w14:paraId="4DCCF1A6" w14:textId="77777777"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4A5F3DB4" w14:textId="3641794E"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r w:rsidRPr="00282BBC">
              <w:rPr>
                <w:rFonts w:ascii="Avenir Next Medium" w:hAnsi="Avenir Next Medium"/>
                <w:color w:val="FFFFFF" w:themeColor="background1"/>
                <w:sz w:val="13"/>
                <w:lang w:val="es-ES_tradnl"/>
              </w:rPr>
              <w:t>………………………………………………………………………………………………………………………………………………………………………………</w:t>
            </w:r>
          </w:p>
          <w:p w14:paraId="42CEF869" w14:textId="56343370"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p>
          <w:p w14:paraId="36F45745" w14:textId="3ECF3DF3" w:rsidR="00EA0C8C" w:rsidRPr="00282BBC" w:rsidRDefault="00EA0C8C" w:rsidP="005E790C">
            <w:pPr>
              <w:tabs>
                <w:tab w:val="left" w:pos="8364"/>
              </w:tabs>
              <w:spacing w:line="288" w:lineRule="auto"/>
              <w:ind w:right="87"/>
              <w:rPr>
                <w:rFonts w:ascii="Avenir Next Medium" w:hAnsi="Avenir Next Medium"/>
                <w:color w:val="FFFFFF" w:themeColor="background1"/>
                <w:sz w:val="13"/>
                <w:lang w:val="es-ES_tradnl"/>
              </w:rPr>
            </w:pPr>
          </w:p>
          <w:p w14:paraId="56C4BC05" w14:textId="3D919B5D" w:rsidR="00EA0C8C" w:rsidRPr="00282BBC" w:rsidRDefault="00EA0C8C" w:rsidP="00C54B2C">
            <w:pPr>
              <w:tabs>
                <w:tab w:val="left" w:pos="8364"/>
              </w:tabs>
              <w:spacing w:line="288" w:lineRule="auto"/>
              <w:ind w:left="-284" w:right="87"/>
              <w:jc w:val="center"/>
              <w:rPr>
                <w:rFonts w:ascii="Avenir Next Medium" w:hAnsi="Avenir Next Medium"/>
                <w:color w:val="FFFFFF" w:themeColor="background1"/>
                <w:sz w:val="13"/>
                <w:lang w:val="es-ES_tradnl"/>
              </w:rPr>
            </w:pPr>
          </w:p>
          <w:p w14:paraId="24AD293B" w14:textId="050A0AFD"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José Mora González</w:t>
            </w:r>
          </w:p>
          <w:p w14:paraId="6D544B72" w14:textId="5C2FC765"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Analista de datos</w:t>
            </w:r>
          </w:p>
          <w:p w14:paraId="7C580C24" w14:textId="7AF5042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lang w:val="es-ES_tradnl"/>
              </w:rPr>
            </w:pPr>
            <w:r w:rsidRPr="00282BBC">
              <w:rPr>
                <w:rFonts w:ascii="Avenir Next Medium" w:hAnsi="Avenir Next Medium"/>
                <w:color w:val="FFFFFF" w:themeColor="background1"/>
                <w:lang w:val="es-ES_tradnl"/>
              </w:rPr>
              <w:t>Observatorio del Gasto Fiscal</w:t>
            </w:r>
          </w:p>
          <w:p w14:paraId="6D711005" w14:textId="77777777" w:rsidR="005E790C"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jose</w:t>
            </w:r>
            <w:r w:rsidR="00EA0C8C" w:rsidRPr="00282BBC">
              <w:rPr>
                <w:rFonts w:ascii="Avenir Next Medium" w:hAnsi="Avenir Next Medium"/>
                <w:color w:val="FFFFFF" w:themeColor="background1"/>
                <w:lang w:val="es-ES_tradnl"/>
              </w:rPr>
              <w:t>@observatoriofiscal.cl</w:t>
            </w:r>
          </w:p>
          <w:p w14:paraId="70DDD5BD" w14:textId="77777777" w:rsidR="005E790C" w:rsidRDefault="005E790C" w:rsidP="00C54B2C">
            <w:pPr>
              <w:tabs>
                <w:tab w:val="left" w:pos="8364"/>
              </w:tabs>
              <w:spacing w:line="288" w:lineRule="auto"/>
              <w:ind w:left="-284" w:right="87"/>
              <w:jc w:val="right"/>
              <w:rPr>
                <w:rFonts w:ascii="Avenir Next Medium" w:hAnsi="Avenir Next Medium"/>
                <w:color w:val="FFFFFF" w:themeColor="background1"/>
                <w:lang w:val="es-ES_tradnl"/>
              </w:rPr>
            </w:pPr>
          </w:p>
          <w:p w14:paraId="58D6C4E0" w14:textId="4FFB259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sz w:val="16"/>
                <w:lang w:val="es-ES_tradnl"/>
              </w:rPr>
            </w:pPr>
            <w:r w:rsidRPr="00282BBC">
              <w:rPr>
                <w:rFonts w:ascii="Avenir Next Medium" w:hAnsi="Avenir Next Medium"/>
                <w:color w:val="FFFFFF" w:themeColor="background1"/>
                <w:lang w:val="es-ES_tradnl"/>
              </w:rPr>
              <w:t xml:space="preserve"> </w:t>
            </w:r>
          </w:p>
          <w:p w14:paraId="424BB2B2" w14:textId="6F77B26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6D133106" w14:textId="668600AC" w:rsidR="00EA0C8C" w:rsidRPr="005E790C" w:rsidRDefault="005E790C" w:rsidP="00C54B2C">
            <w:pPr>
              <w:tabs>
                <w:tab w:val="left" w:pos="8647"/>
              </w:tabs>
              <w:spacing w:line="288" w:lineRule="auto"/>
              <w:ind w:left="-284" w:right="-76"/>
              <w:jc w:val="center"/>
              <w:rPr>
                <w:rFonts w:ascii="Avenir Next Medium" w:hAnsi="Avenir Next Medium"/>
                <w:color w:val="FFFFFF" w:themeColor="background1"/>
                <w:lang w:val="es-ES_tradnl"/>
              </w:rPr>
            </w:pPr>
            <w:r w:rsidRPr="005E790C">
              <w:rPr>
                <w:rFonts w:ascii="Avenir Next Medium" w:hAnsi="Avenir Next Medium"/>
                <w:color w:val="FFFFFF" w:themeColor="background1"/>
                <w:lang w:val="es-ES_tradnl"/>
              </w:rPr>
              <w:t>En colaboración con:</w:t>
            </w:r>
          </w:p>
          <w:p w14:paraId="144CB5A2" w14:textId="202DFCA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5DE0C478" w14:textId="270A7315" w:rsidR="00EA0C8C" w:rsidRPr="00282BBC" w:rsidRDefault="005E790C" w:rsidP="00C54B2C">
            <w:pPr>
              <w:tabs>
                <w:tab w:val="left" w:pos="8647"/>
              </w:tabs>
              <w:spacing w:line="288" w:lineRule="auto"/>
              <w:ind w:left="-284" w:right="-76"/>
              <w:jc w:val="center"/>
              <w:rPr>
                <w:rFonts w:asciiTheme="majorHAnsi" w:hAnsiTheme="majorHAnsi"/>
                <w:color w:val="FFFFFF" w:themeColor="background1"/>
                <w:lang w:val="es-ES_tradnl"/>
              </w:rPr>
            </w:pPr>
            <w:r w:rsidRPr="00282BBC">
              <w:fldChar w:fldCharType="begin"/>
            </w:r>
            <w:r w:rsidRPr="00282BBC">
              <w:instrText xml:space="preserve"> INCLUDEPICTURE "https://www.espaciopublico.cl/wp-content/themes/espacio-p-blico/images/logoep2.png" \* MERGEFORMATINET </w:instrText>
            </w:r>
            <w:r w:rsidRPr="00282BBC">
              <w:fldChar w:fldCharType="separate"/>
            </w:r>
            <w:r w:rsidRPr="00282BBC">
              <w:rPr>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282BBC">
              <w:fldChar w:fldCharType="end"/>
            </w:r>
          </w:p>
          <w:p w14:paraId="12DE076A"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p>
          <w:p w14:paraId="6ACF1C7C"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r w:rsidRPr="00282BBC">
              <w:rPr>
                <w:rFonts w:asciiTheme="majorHAnsi" w:eastAsia="Arial Narrow" w:hAnsiTheme="majorHAnsi"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495ABA" w:rsidRDefault="00495ABA" w:rsidP="00495ABA">
            <w:pPr>
              <w:rPr>
                <w:rFonts w:asciiTheme="majorHAnsi" w:hAnsiTheme="majorHAnsi"/>
                <w:lang w:val="es-ES_tradnl"/>
              </w:rPr>
            </w:pPr>
          </w:p>
        </w:tc>
      </w:tr>
    </w:tbl>
    <w:sdt>
      <w:sdtPr>
        <w:rPr>
          <w:rFonts w:asciiTheme="minorHAnsi" w:eastAsiaTheme="minorHAnsi" w:hAnsiTheme="minorHAnsi" w:cstheme="minorBidi"/>
          <w:b w:val="0"/>
          <w:bCs w:val="0"/>
          <w:color w:val="auto"/>
          <w:sz w:val="22"/>
          <w:szCs w:val="22"/>
          <w:lang w:val="es-ES" w:eastAsia="en-US"/>
        </w:rPr>
        <w:id w:val="-739021801"/>
        <w:docPartObj>
          <w:docPartGallery w:val="Table of Contents"/>
          <w:docPartUnique/>
        </w:docPartObj>
      </w:sdtPr>
      <w:sdtEndPr>
        <w:rPr>
          <w:rFonts w:cstheme="minorHAnsi"/>
          <w:b/>
          <w:bCs/>
          <w:i/>
          <w:iCs/>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261AC1A7" w14:textId="31EA4981" w:rsidR="00387371" w:rsidRDefault="0070214A">
          <w:pPr>
            <w:pStyle w:val="TDC1"/>
            <w:rPr>
              <w:rFonts w:eastAsiaTheme="minorEastAsia" w:cstheme="minorBidi"/>
              <w:b w:val="0"/>
              <w:bCs w:val="0"/>
              <w:i w:val="0"/>
              <w:iCs w:val="0"/>
              <w:noProof/>
              <w:sz w:val="22"/>
              <w:szCs w:val="22"/>
              <w:lang w:eastAsia="es-CL"/>
            </w:rPr>
          </w:pPr>
          <w:r w:rsidRPr="00DB0B5B">
            <w:rPr>
              <w:sz w:val="22"/>
              <w:szCs w:val="22"/>
            </w:rPr>
            <w:fldChar w:fldCharType="begin"/>
          </w:r>
          <w:r w:rsidRPr="00DB0B5B">
            <w:rPr>
              <w:sz w:val="22"/>
              <w:szCs w:val="22"/>
            </w:rPr>
            <w:instrText>TOC \o "1-3" \h \z \u</w:instrText>
          </w:r>
          <w:r w:rsidRPr="00DB0B5B">
            <w:rPr>
              <w:sz w:val="22"/>
              <w:szCs w:val="22"/>
            </w:rPr>
            <w:fldChar w:fldCharType="separate"/>
          </w:r>
          <w:hyperlink w:anchor="_Toc84503139" w:history="1">
            <w:r w:rsidR="00387371" w:rsidRPr="00C25471">
              <w:rPr>
                <w:rStyle w:val="Hipervnculo"/>
                <w:rFonts w:ascii="Avenir Next" w:hAnsi="Avenir Next" w:cs="Arial"/>
                <w:noProof/>
                <w:lang w:val="es-ES"/>
              </w:rPr>
              <w:t>1. INTRODUCCION</w:t>
            </w:r>
            <w:r w:rsidR="00387371">
              <w:rPr>
                <w:noProof/>
                <w:webHidden/>
              </w:rPr>
              <w:tab/>
            </w:r>
            <w:r w:rsidR="00387371">
              <w:rPr>
                <w:noProof/>
                <w:webHidden/>
              </w:rPr>
              <w:fldChar w:fldCharType="begin"/>
            </w:r>
            <w:r w:rsidR="00387371">
              <w:rPr>
                <w:noProof/>
                <w:webHidden/>
              </w:rPr>
              <w:instrText xml:space="preserve"> PAGEREF _Toc84503139 \h </w:instrText>
            </w:r>
            <w:r w:rsidR="00387371">
              <w:rPr>
                <w:noProof/>
                <w:webHidden/>
              </w:rPr>
            </w:r>
            <w:r w:rsidR="00387371">
              <w:rPr>
                <w:noProof/>
                <w:webHidden/>
              </w:rPr>
              <w:fldChar w:fldCharType="separate"/>
            </w:r>
            <w:r w:rsidR="00A06EA1">
              <w:rPr>
                <w:noProof/>
                <w:webHidden/>
              </w:rPr>
              <w:t>3</w:t>
            </w:r>
            <w:r w:rsidR="00387371">
              <w:rPr>
                <w:noProof/>
                <w:webHidden/>
              </w:rPr>
              <w:fldChar w:fldCharType="end"/>
            </w:r>
          </w:hyperlink>
        </w:p>
        <w:p w14:paraId="6B83EF1E" w14:textId="56A9A8D6" w:rsidR="00387371" w:rsidRDefault="00387371">
          <w:pPr>
            <w:pStyle w:val="TDC1"/>
            <w:rPr>
              <w:rFonts w:eastAsiaTheme="minorEastAsia" w:cstheme="minorBidi"/>
              <w:b w:val="0"/>
              <w:bCs w:val="0"/>
              <w:i w:val="0"/>
              <w:iCs w:val="0"/>
              <w:noProof/>
              <w:sz w:val="22"/>
              <w:szCs w:val="22"/>
              <w:lang w:eastAsia="es-CL"/>
            </w:rPr>
          </w:pPr>
          <w:hyperlink w:anchor="_Toc84503140" w:history="1">
            <w:r w:rsidRPr="00C25471">
              <w:rPr>
                <w:rStyle w:val="Hipervnculo"/>
                <w:rFonts w:ascii="Avenir Next" w:hAnsi="Avenir Next" w:cs="Arial"/>
                <w:noProof/>
                <w:lang w:val="es-ES"/>
              </w:rPr>
              <w:t>2. RESUMEN EJECUTIVO</w:t>
            </w:r>
            <w:r>
              <w:rPr>
                <w:noProof/>
                <w:webHidden/>
              </w:rPr>
              <w:tab/>
            </w:r>
            <w:r>
              <w:rPr>
                <w:noProof/>
                <w:webHidden/>
              </w:rPr>
              <w:fldChar w:fldCharType="begin"/>
            </w:r>
            <w:r>
              <w:rPr>
                <w:noProof/>
                <w:webHidden/>
              </w:rPr>
              <w:instrText xml:space="preserve"> PAGEREF _Toc84503140 \h </w:instrText>
            </w:r>
            <w:r>
              <w:rPr>
                <w:noProof/>
                <w:webHidden/>
              </w:rPr>
            </w:r>
            <w:r>
              <w:rPr>
                <w:noProof/>
                <w:webHidden/>
              </w:rPr>
              <w:fldChar w:fldCharType="separate"/>
            </w:r>
            <w:r w:rsidR="00A06EA1">
              <w:rPr>
                <w:noProof/>
                <w:webHidden/>
              </w:rPr>
              <w:t>4</w:t>
            </w:r>
            <w:r>
              <w:rPr>
                <w:noProof/>
                <w:webHidden/>
              </w:rPr>
              <w:fldChar w:fldCharType="end"/>
            </w:r>
          </w:hyperlink>
        </w:p>
        <w:p w14:paraId="3F794EBB" w14:textId="4B4B3903" w:rsidR="00387371" w:rsidRDefault="00387371">
          <w:pPr>
            <w:pStyle w:val="TDC1"/>
            <w:rPr>
              <w:rFonts w:eastAsiaTheme="minorEastAsia" w:cstheme="minorBidi"/>
              <w:b w:val="0"/>
              <w:bCs w:val="0"/>
              <w:i w:val="0"/>
              <w:iCs w:val="0"/>
              <w:noProof/>
              <w:sz w:val="22"/>
              <w:szCs w:val="22"/>
              <w:lang w:eastAsia="es-CL"/>
            </w:rPr>
          </w:pPr>
          <w:hyperlink w:anchor="_Toc84503141" w:history="1">
            <w:r w:rsidRPr="00C25471">
              <w:rPr>
                <w:rStyle w:val="Hipervnculo"/>
                <w:rFonts w:ascii="Avenir Next" w:hAnsi="Avenir Next" w:cs="Arial"/>
                <w:noProof/>
                <w:lang w:val="es-ES"/>
              </w:rPr>
              <w:t>3. RED FLAGS A NIVEL INSTITUCIONAL</w:t>
            </w:r>
            <w:r>
              <w:rPr>
                <w:noProof/>
                <w:webHidden/>
              </w:rPr>
              <w:tab/>
            </w:r>
            <w:r>
              <w:rPr>
                <w:noProof/>
                <w:webHidden/>
              </w:rPr>
              <w:fldChar w:fldCharType="begin"/>
            </w:r>
            <w:r>
              <w:rPr>
                <w:noProof/>
                <w:webHidden/>
              </w:rPr>
              <w:instrText xml:space="preserve"> PAGEREF _Toc84503141 \h </w:instrText>
            </w:r>
            <w:r>
              <w:rPr>
                <w:noProof/>
                <w:webHidden/>
              </w:rPr>
            </w:r>
            <w:r>
              <w:rPr>
                <w:noProof/>
                <w:webHidden/>
              </w:rPr>
              <w:fldChar w:fldCharType="separate"/>
            </w:r>
            <w:r w:rsidR="00A06EA1">
              <w:rPr>
                <w:noProof/>
                <w:webHidden/>
              </w:rPr>
              <w:t>5</w:t>
            </w:r>
            <w:r>
              <w:rPr>
                <w:noProof/>
                <w:webHidden/>
              </w:rPr>
              <w:fldChar w:fldCharType="end"/>
            </w:r>
          </w:hyperlink>
        </w:p>
        <w:p w14:paraId="650910DD" w14:textId="199F5489" w:rsidR="0070214A" w:rsidRPr="00387371" w:rsidRDefault="00387371" w:rsidP="00387371">
          <w:pPr>
            <w:pStyle w:val="TDC1"/>
            <w:rPr>
              <w:rFonts w:eastAsiaTheme="minorEastAsia" w:cstheme="minorBidi"/>
              <w:b w:val="0"/>
              <w:bCs w:val="0"/>
              <w:i w:val="0"/>
              <w:iCs w:val="0"/>
              <w:noProof/>
              <w:sz w:val="22"/>
              <w:szCs w:val="22"/>
              <w:lang w:eastAsia="es-CL"/>
            </w:rPr>
          </w:pPr>
          <w:hyperlink w:anchor="_Toc84503148" w:history="1">
            <w:r w:rsidRPr="00C25471">
              <w:rPr>
                <w:rStyle w:val="Hipervnculo"/>
                <w:rFonts w:ascii="Avenir Next" w:hAnsi="Avenir Next" w:cs="Arial"/>
                <w:noProof/>
                <w:lang w:val="es-ES"/>
              </w:rPr>
              <w:t xml:space="preserve">4. </w:t>
            </w:r>
            <w:r w:rsidRPr="00C25471">
              <w:rPr>
                <w:rStyle w:val="Hipervnculo"/>
                <w:rFonts w:ascii="Avenir Next" w:hAnsi="Avenir Next" w:cs="Arial"/>
                <w:caps/>
                <w:noProof/>
                <w:lang w:val="es-ES"/>
              </w:rPr>
              <w:t>Red Flags a nivel de cada licitación pública</w:t>
            </w:r>
            <w:r>
              <w:rPr>
                <w:noProof/>
                <w:webHidden/>
              </w:rPr>
              <w:tab/>
            </w:r>
            <w:r>
              <w:rPr>
                <w:noProof/>
                <w:webHidden/>
              </w:rPr>
              <w:fldChar w:fldCharType="begin"/>
            </w:r>
            <w:r>
              <w:rPr>
                <w:noProof/>
                <w:webHidden/>
              </w:rPr>
              <w:instrText xml:space="preserve"> PAGEREF _Toc84503148 \h </w:instrText>
            </w:r>
            <w:r>
              <w:rPr>
                <w:noProof/>
                <w:webHidden/>
              </w:rPr>
            </w:r>
            <w:r>
              <w:rPr>
                <w:noProof/>
                <w:webHidden/>
              </w:rPr>
              <w:fldChar w:fldCharType="separate"/>
            </w:r>
            <w:r w:rsidR="00A06EA1">
              <w:rPr>
                <w:noProof/>
                <w:webHidden/>
              </w:rPr>
              <w:t>9</w:t>
            </w:r>
            <w:r>
              <w:rPr>
                <w:noProof/>
                <w:webHidden/>
              </w:rPr>
              <w:fldChar w:fldCharType="end"/>
            </w:r>
          </w:hyperlink>
          <w:r w:rsidR="0070214A"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84503139"/>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77A93DF9"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w:t>
      </w:r>
      <w:r w:rsidR="00D019CB">
        <w:rPr>
          <w:rFonts w:ascii="Avenir Next" w:hAnsi="Avenir Next"/>
          <w:color w:val="000000" w:themeColor="text1"/>
          <w:sz w:val="20"/>
          <w:szCs w:val="20"/>
          <w:lang w:val="es-ES"/>
        </w:rPr>
        <w:t xml:space="preserve"> </w:t>
      </w:r>
      <w:r w:rsidR="00C41C72">
        <w:rPr>
          <w:rFonts w:ascii="Avenir Next" w:hAnsi="Avenir Next"/>
          <w:color w:val="000000" w:themeColor="text1"/>
          <w:sz w:val="20"/>
          <w:szCs w:val="20"/>
          <w:lang w:val="es-ES"/>
        </w:rPr>
        <w:t>junio</w:t>
      </w:r>
      <w:r w:rsidR="00D019CB">
        <w:rPr>
          <w:rFonts w:ascii="Avenir Next" w:hAnsi="Avenir Next"/>
          <w:color w:val="000000" w:themeColor="text1"/>
          <w:sz w:val="20"/>
          <w:szCs w:val="20"/>
          <w:lang w:val="es-ES"/>
        </w:rPr>
        <w:t xml:space="preserve"> de</w:t>
      </w:r>
      <w:r w:rsidRPr="00282BBC">
        <w:rPr>
          <w:rFonts w:ascii="Avenir Next" w:hAnsi="Avenir Next"/>
          <w:color w:val="000000" w:themeColor="text1"/>
          <w:sz w:val="20"/>
          <w:szCs w:val="20"/>
          <w:lang w:val="es-ES"/>
        </w:rPr>
        <w:t xml:space="preserve"> 202</w:t>
      </w:r>
      <w:r w:rsidR="00D019CB">
        <w:rPr>
          <w:rFonts w:ascii="Avenir Next" w:hAnsi="Avenir Next"/>
          <w:color w:val="000000" w:themeColor="text1"/>
          <w:sz w:val="20"/>
          <w:szCs w:val="20"/>
          <w:lang w:val="es-ES"/>
        </w:rPr>
        <w:t>1</w:t>
      </w:r>
      <w:r w:rsidRPr="00282BBC">
        <w:rPr>
          <w:rFonts w:ascii="Avenir Next" w:hAnsi="Avenir Next"/>
          <w:color w:val="000000" w:themeColor="text1"/>
          <w:sz w:val="20"/>
          <w:szCs w:val="20"/>
          <w:lang w:val="es-ES"/>
        </w:rPr>
        <w:t>.</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09C2976B"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“Red flag</w:t>
      </w:r>
      <w:r w:rsidR="00D019CB">
        <w:rPr>
          <w:rFonts w:ascii="Avenir Next" w:hAnsi="Avenir Next"/>
          <w:color w:val="000000" w:themeColor="text1"/>
          <w:sz w:val="20"/>
          <w:szCs w:val="20"/>
          <w:lang w:val="es-ES"/>
        </w:rPr>
        <w:t xml:space="preserve">” </w:t>
      </w:r>
      <w:r w:rsidR="00DE4AEC">
        <w:rPr>
          <w:rFonts w:ascii="Avenir Next" w:hAnsi="Avenir Next"/>
          <w:color w:val="000000" w:themeColor="text1"/>
          <w:sz w:val="20"/>
          <w:szCs w:val="20"/>
          <w:lang w:val="es-ES"/>
        </w:rPr>
        <w:t>o</w:t>
      </w:r>
      <w:r w:rsidR="00DE4AEC"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“bandera roja” es</w:t>
      </w:r>
      <w:r w:rsidR="00DE4AEC">
        <w:rPr>
          <w:rFonts w:ascii="Avenir Next" w:hAnsi="Avenir Next"/>
          <w:color w:val="000000" w:themeColor="text1"/>
          <w:sz w:val="20"/>
          <w:szCs w:val="20"/>
          <w:lang w:val="es-ES"/>
        </w:rPr>
        <w:t>tá concebida, para estos efectos, como</w:t>
      </w:r>
      <w:r w:rsidRPr="00282BBC">
        <w:rPr>
          <w:rFonts w:ascii="Avenir Next" w:hAnsi="Avenir Next"/>
          <w:color w:val="000000" w:themeColor="text1"/>
          <w:sz w:val="20"/>
          <w:szCs w:val="20"/>
          <w:lang w:val="es-ES"/>
        </w:rPr>
        <w:t xml:space="preserve"> una señal de advertencia. En el caso de las compras públicas, l</w:t>
      </w:r>
      <w:r w:rsidR="00DE4AE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 xml:space="preserve">s “red flags” representan riesgos </w:t>
      </w:r>
      <w:r w:rsidR="00DE4AEC">
        <w:rPr>
          <w:rFonts w:ascii="Avenir Next" w:hAnsi="Avenir Next"/>
          <w:color w:val="000000" w:themeColor="text1"/>
          <w:sz w:val="20"/>
          <w:szCs w:val="20"/>
          <w:lang w:val="es-ES"/>
        </w:rPr>
        <w:t xml:space="preserve">asociados a </w:t>
      </w:r>
      <w:r w:rsidRPr="00282BBC">
        <w:rPr>
          <w:rFonts w:ascii="Avenir Next" w:hAnsi="Avenir Next"/>
          <w:color w:val="000000" w:themeColor="text1"/>
          <w:sz w:val="20"/>
          <w:szCs w:val="20"/>
          <w:lang w:val="es-ES"/>
        </w:rPr>
        <w:t>materia</w:t>
      </w:r>
      <w:r w:rsidR="00DE4AEC">
        <w:rPr>
          <w:rFonts w:ascii="Avenir Next" w:hAnsi="Avenir Next"/>
          <w:color w:val="000000" w:themeColor="text1"/>
          <w:sz w:val="20"/>
          <w:szCs w:val="20"/>
          <w:lang w:val="es-ES"/>
        </w:rPr>
        <w:t>s de</w:t>
      </w:r>
      <w:r w:rsidRPr="00282BBC">
        <w:rPr>
          <w:rFonts w:ascii="Avenir Next" w:hAnsi="Avenir Next"/>
          <w:color w:val="000000" w:themeColor="text1"/>
          <w:sz w:val="20"/>
          <w:szCs w:val="20"/>
          <w:lang w:val="es-ES"/>
        </w:rPr>
        <w:t xml:space="preserve">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4B41C74C" w14:textId="5BB2CFF0"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w:t>
      </w:r>
      <w:r w:rsidR="00262038">
        <w:rPr>
          <w:rFonts w:ascii="Avenir Next" w:hAnsi="Avenir Next"/>
          <w:color w:val="000000" w:themeColor="text1"/>
          <w:sz w:val="20"/>
          <w:szCs w:val="20"/>
          <w:lang w:val="es-ES"/>
        </w:rPr>
        <w:t>ste reporte</w:t>
      </w:r>
      <w:r w:rsidRPr="00282BBC">
        <w:rPr>
          <w:rFonts w:ascii="Avenir Next" w:hAnsi="Avenir Next"/>
          <w:color w:val="000000" w:themeColor="text1"/>
          <w:sz w:val="20"/>
          <w:szCs w:val="20"/>
          <w:lang w:val="es-ES"/>
        </w:rPr>
        <w:t xml:space="preserv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xml:space="preserve">. Por un lado, </w:t>
      </w:r>
      <w:r w:rsidR="00262038">
        <w:rPr>
          <w:rFonts w:ascii="Avenir Next" w:hAnsi="Avenir Next"/>
          <w:color w:val="000000" w:themeColor="text1"/>
          <w:sz w:val="20"/>
          <w:szCs w:val="20"/>
          <w:lang w:val="es-ES"/>
        </w:rPr>
        <w:t xml:space="preserve">se </w:t>
      </w:r>
      <w:r w:rsidR="002E7041" w:rsidRPr="00282BBC">
        <w:rPr>
          <w:rFonts w:ascii="Avenir Next" w:hAnsi="Avenir Next"/>
          <w:color w:val="000000" w:themeColor="text1"/>
          <w:sz w:val="20"/>
          <w:szCs w:val="20"/>
          <w:lang w:val="es-ES"/>
        </w:rPr>
        <w:t>muestran riesgos en compras públicas basado</w:t>
      </w:r>
      <w:r w:rsidR="00262038">
        <w:rPr>
          <w:rFonts w:ascii="Avenir Next" w:hAnsi="Avenir Next"/>
          <w:color w:val="000000" w:themeColor="text1"/>
          <w:sz w:val="20"/>
          <w:szCs w:val="20"/>
          <w:lang w:val="es-ES"/>
        </w:rPr>
        <w:t>s</w:t>
      </w:r>
      <w:r w:rsidR="002E7041" w:rsidRPr="00282BBC">
        <w:rPr>
          <w:rFonts w:ascii="Avenir Next" w:hAnsi="Avenir Next"/>
          <w:color w:val="000000" w:themeColor="text1"/>
          <w:sz w:val="20"/>
          <w:szCs w:val="20"/>
          <w:lang w:val="es-ES"/>
        </w:rPr>
        <w:t xml:space="preserve"> en indicadores </w:t>
      </w:r>
      <w:r w:rsidR="00262038">
        <w:rPr>
          <w:rFonts w:ascii="Avenir Next" w:hAnsi="Avenir Next"/>
          <w:color w:val="000000" w:themeColor="text1"/>
          <w:sz w:val="20"/>
          <w:szCs w:val="20"/>
          <w:lang w:val="es-ES"/>
        </w:rPr>
        <w:t>desarrollados</w:t>
      </w:r>
      <w:r w:rsidR="00262038" w:rsidRPr="00282BBC">
        <w:rPr>
          <w:rFonts w:ascii="Avenir Next" w:hAnsi="Avenir Next"/>
          <w:color w:val="000000" w:themeColor="text1"/>
          <w:sz w:val="20"/>
          <w:szCs w:val="20"/>
          <w:lang w:val="es-ES"/>
        </w:rPr>
        <w:t xml:space="preserve"> por Espacio Público (vea documento </w:t>
      </w:r>
      <w:r w:rsidR="00262038" w:rsidRPr="00EF14EB">
        <w:rPr>
          <w:rFonts w:ascii="Avenir Next" w:hAnsi="Avenir Next"/>
          <w:color w:val="000000" w:themeColor="text1"/>
          <w:sz w:val="20"/>
          <w:szCs w:val="20"/>
          <w:lang w:val="es-ES"/>
        </w:rPr>
        <w:t xml:space="preserve">metodológico </w:t>
      </w:r>
      <w:hyperlink r:id="rId12" w:history="1">
        <w:r w:rsidR="00262038" w:rsidRPr="00EF14EB">
          <w:rPr>
            <w:rStyle w:val="Hipervnculo"/>
            <w:rFonts w:ascii="Avenir Next" w:hAnsi="Avenir Next"/>
            <w:color w:val="000000" w:themeColor="text1"/>
            <w:sz w:val="20"/>
            <w:szCs w:val="20"/>
            <w:lang w:val="es-ES"/>
          </w:rPr>
          <w:t>aquí</w:t>
        </w:r>
      </w:hyperlink>
      <w:r w:rsidR="00262038"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y </w:t>
      </w:r>
      <w:r w:rsidR="00547D86">
        <w:rPr>
          <w:rFonts w:ascii="Avenir Next" w:hAnsi="Avenir Next"/>
          <w:color w:val="000000" w:themeColor="text1"/>
          <w:sz w:val="20"/>
          <w:szCs w:val="20"/>
          <w:lang w:val="es-ES"/>
        </w:rPr>
        <w:t>cuy</w:t>
      </w:r>
      <w:r w:rsidR="002C7110">
        <w:rPr>
          <w:rFonts w:ascii="Avenir Next" w:hAnsi="Avenir Next"/>
          <w:color w:val="000000" w:themeColor="text1"/>
          <w:sz w:val="20"/>
          <w:szCs w:val="20"/>
          <w:lang w:val="es-ES"/>
        </w:rPr>
        <w:t>o</w:t>
      </w:r>
      <w:r w:rsidR="00547D86">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ámbito</w:t>
      </w:r>
      <w:r w:rsidR="00547D86">
        <w:rPr>
          <w:rFonts w:ascii="Avenir Next" w:hAnsi="Avenir Next"/>
          <w:color w:val="000000" w:themeColor="text1"/>
          <w:sz w:val="20"/>
          <w:szCs w:val="20"/>
          <w:lang w:val="es-ES"/>
        </w:rPr>
        <w:t xml:space="preserve"> de análisis </w:t>
      </w:r>
      <w:r w:rsidR="00DE4AEC">
        <w:rPr>
          <w:rFonts w:ascii="Avenir Next" w:hAnsi="Avenir Next"/>
          <w:color w:val="000000" w:themeColor="text1"/>
          <w:sz w:val="20"/>
          <w:szCs w:val="20"/>
          <w:lang w:val="es-ES"/>
        </w:rPr>
        <w:t xml:space="preserve">corresponde a </w:t>
      </w:r>
      <w:r w:rsidR="00547D86">
        <w:rPr>
          <w:rFonts w:ascii="Avenir Next" w:hAnsi="Avenir Next"/>
          <w:color w:val="000000" w:themeColor="text1"/>
          <w:sz w:val="20"/>
          <w:szCs w:val="20"/>
          <w:lang w:val="es-ES"/>
        </w:rPr>
        <w:t xml:space="preserve">las </w:t>
      </w:r>
      <w:r w:rsidR="002E7041" w:rsidRPr="00282BBC">
        <w:rPr>
          <w:rFonts w:ascii="Avenir Next" w:hAnsi="Avenir Next"/>
          <w:color w:val="000000" w:themeColor="text1"/>
          <w:sz w:val="20"/>
          <w:szCs w:val="20"/>
          <w:lang w:val="es-ES"/>
        </w:rPr>
        <w:t>institucione</w:t>
      </w:r>
      <w:r w:rsidR="00262038">
        <w:rPr>
          <w:rFonts w:ascii="Avenir Next" w:hAnsi="Avenir Next"/>
          <w:color w:val="000000" w:themeColor="text1"/>
          <w:sz w:val="20"/>
          <w:szCs w:val="20"/>
          <w:lang w:val="es-ES"/>
        </w:rPr>
        <w:t>s públicas.</w:t>
      </w:r>
      <w:r w:rsidR="002E7041" w:rsidRPr="00282BBC">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En segundo término, </w:t>
      </w:r>
      <w:r w:rsidR="005C0485">
        <w:rPr>
          <w:rFonts w:ascii="Avenir Next" w:hAnsi="Avenir Next"/>
          <w:color w:val="000000" w:themeColor="text1"/>
          <w:sz w:val="20"/>
          <w:szCs w:val="20"/>
          <w:lang w:val="es-ES"/>
        </w:rPr>
        <w:t xml:space="preserve">se </w:t>
      </w:r>
      <w:r w:rsidR="005C0485" w:rsidRPr="00EF14EB">
        <w:rPr>
          <w:rFonts w:ascii="Avenir Next" w:hAnsi="Avenir Next"/>
          <w:color w:val="000000" w:themeColor="text1"/>
          <w:sz w:val="20"/>
          <w:szCs w:val="20"/>
          <w:lang w:val="es-ES"/>
        </w:rPr>
        <w:t>exponen</w:t>
      </w:r>
      <w:r w:rsidR="002E7041" w:rsidRPr="00EF14EB">
        <w:rPr>
          <w:rFonts w:ascii="Avenir Next" w:hAnsi="Avenir Next"/>
          <w:color w:val="000000" w:themeColor="text1"/>
          <w:sz w:val="20"/>
          <w:szCs w:val="20"/>
          <w:lang w:val="es-ES"/>
        </w:rPr>
        <w:t xml:space="preserve"> “red flags” </w:t>
      </w:r>
      <w:r w:rsidR="00262038">
        <w:rPr>
          <w:rFonts w:ascii="Avenir Next" w:hAnsi="Avenir Next"/>
          <w:color w:val="000000" w:themeColor="text1"/>
          <w:sz w:val="20"/>
          <w:szCs w:val="20"/>
          <w:lang w:val="es-ES"/>
        </w:rPr>
        <w:t xml:space="preserve">asociados </w:t>
      </w:r>
      <w:r w:rsidR="00DE4AEC">
        <w:rPr>
          <w:rFonts w:ascii="Avenir Next" w:hAnsi="Avenir Next"/>
          <w:color w:val="000000" w:themeColor="text1"/>
          <w:sz w:val="20"/>
          <w:szCs w:val="20"/>
          <w:lang w:val="es-ES"/>
        </w:rPr>
        <w:t>a</w:t>
      </w:r>
      <w:r w:rsidR="00547D86" w:rsidRPr="00EF14EB">
        <w:rPr>
          <w:rFonts w:ascii="Avenir Next" w:hAnsi="Avenir Next"/>
          <w:color w:val="000000" w:themeColor="text1"/>
          <w:sz w:val="20"/>
          <w:szCs w:val="20"/>
          <w:lang w:val="es-ES"/>
        </w:rPr>
        <w:t xml:space="preserve"> </w:t>
      </w:r>
      <w:r w:rsidRPr="00EF14EB">
        <w:rPr>
          <w:rFonts w:ascii="Avenir Next" w:hAnsi="Avenir Next"/>
          <w:color w:val="000000" w:themeColor="text1"/>
          <w:sz w:val="20"/>
          <w:szCs w:val="20"/>
          <w:lang w:val="es-ES"/>
        </w:rPr>
        <w:t>cada licitación</w:t>
      </w:r>
      <w:r w:rsidR="008D3158">
        <w:rPr>
          <w:rFonts w:ascii="Avenir Next" w:hAnsi="Avenir Next"/>
          <w:color w:val="000000" w:themeColor="text1"/>
          <w:sz w:val="20"/>
          <w:szCs w:val="20"/>
          <w:lang w:val="es-ES"/>
        </w:rPr>
        <w:t xml:space="preserve"> (como transacción)</w:t>
      </w:r>
      <w:r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considerando </w:t>
      </w:r>
      <w:r w:rsidRPr="00EF14EB">
        <w:rPr>
          <w:rFonts w:ascii="Avenir Next" w:hAnsi="Avenir Next"/>
          <w:color w:val="000000" w:themeColor="text1"/>
          <w:sz w:val="20"/>
          <w:szCs w:val="20"/>
          <w:lang w:val="es-ES"/>
        </w:rPr>
        <w:t xml:space="preserve">indicadores </w:t>
      </w:r>
      <w:r w:rsidR="002E7041" w:rsidRPr="00EF14EB">
        <w:rPr>
          <w:rFonts w:ascii="Avenir Next" w:hAnsi="Avenir Next"/>
          <w:color w:val="000000" w:themeColor="text1"/>
          <w:sz w:val="20"/>
          <w:szCs w:val="20"/>
          <w:lang w:val="es-ES"/>
        </w:rPr>
        <w:t xml:space="preserve">que fueron </w:t>
      </w:r>
      <w:r w:rsidR="008D3158">
        <w:rPr>
          <w:rFonts w:ascii="Avenir Next" w:hAnsi="Avenir Next"/>
          <w:color w:val="000000" w:themeColor="text1"/>
          <w:sz w:val="20"/>
          <w:szCs w:val="20"/>
          <w:lang w:val="es-ES"/>
        </w:rPr>
        <w:t>desarrollados</w:t>
      </w:r>
      <w:r w:rsidR="008D3158" w:rsidRPr="00EF14EB">
        <w:rPr>
          <w:rFonts w:ascii="Avenir Next" w:hAnsi="Avenir Next"/>
          <w:color w:val="000000" w:themeColor="text1"/>
          <w:sz w:val="20"/>
          <w:szCs w:val="20"/>
          <w:lang w:val="es-ES"/>
        </w:rPr>
        <w:t xml:space="preserve"> </w:t>
      </w:r>
      <w:r w:rsidR="002E7041" w:rsidRPr="00EF14EB">
        <w:rPr>
          <w:rFonts w:ascii="Avenir Next" w:hAnsi="Avenir Next"/>
          <w:color w:val="000000" w:themeColor="text1"/>
          <w:sz w:val="20"/>
          <w:szCs w:val="20"/>
          <w:lang w:val="es-ES"/>
        </w:rPr>
        <w:t xml:space="preserve">desde el Observatorio del Gasto Fiscal (vea documento metodológico </w:t>
      </w:r>
      <w:hyperlink r:id="rId13"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w:t>
      </w:r>
    </w:p>
    <w:p w14:paraId="7E10E92E" w14:textId="699A0E42"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 xml:space="preserve">Open </w:t>
      </w:r>
      <w:proofErr w:type="spellStart"/>
      <w:r w:rsidRPr="00282BBC">
        <w:rPr>
          <w:rFonts w:ascii="Avenir Next" w:hAnsi="Avenir Next"/>
          <w:color w:val="000000" w:themeColor="text1"/>
          <w:sz w:val="20"/>
          <w:szCs w:val="20"/>
          <w:lang w:val="es-ES"/>
        </w:rPr>
        <w:t>Contracting</w:t>
      </w:r>
      <w:proofErr w:type="spellEnd"/>
      <w:r w:rsidRPr="00282BBC">
        <w:rPr>
          <w:rFonts w:ascii="Avenir Next" w:hAnsi="Avenir Next"/>
          <w:color w:val="000000" w:themeColor="text1"/>
          <w:sz w:val="20"/>
          <w:szCs w:val="20"/>
          <w:lang w:val="es-ES"/>
        </w:rPr>
        <w:t xml:space="preserve"> </w:t>
      </w:r>
      <w:proofErr w:type="spellStart"/>
      <w:r w:rsidRPr="00282BBC">
        <w:rPr>
          <w:rFonts w:ascii="Avenir Next" w:hAnsi="Avenir Next"/>
          <w:color w:val="000000" w:themeColor="text1"/>
          <w:sz w:val="20"/>
          <w:szCs w:val="20"/>
          <w:lang w:val="es-ES"/>
        </w:rPr>
        <w:t>Partnership</w:t>
      </w:r>
      <w:proofErr w:type="spellEnd"/>
      <w:r w:rsidR="008D3158">
        <w:rPr>
          <w:rFonts w:ascii="Avenir Next" w:hAnsi="Avenir Next"/>
          <w:color w:val="000000" w:themeColor="text1"/>
          <w:sz w:val="20"/>
          <w:szCs w:val="20"/>
          <w:lang w:val="es-ES"/>
        </w:rPr>
        <w:t xml:space="preserve"> (OCP)</w:t>
      </w:r>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2E5A9AC0" w14:textId="1A81D175" w:rsidR="00C51BEB" w:rsidRPr="00282BBC" w:rsidRDefault="00C51BEB" w:rsidP="00C51BEB">
      <w:pPr>
        <w:pStyle w:val="Ttulo1"/>
        <w:rPr>
          <w:rFonts w:ascii="Avenir Next" w:hAnsi="Avenir Next" w:cs="Arial"/>
          <w:color w:val="000000" w:themeColor="text1"/>
          <w:lang w:val="es-ES"/>
        </w:rPr>
      </w:pPr>
      <w:bookmarkStart w:id="1" w:name="_Toc84503140"/>
      <w:r>
        <w:rPr>
          <w:rFonts w:ascii="Avenir Next" w:hAnsi="Avenir Next" w:cs="Arial"/>
          <w:color w:val="000000" w:themeColor="text1"/>
          <w:lang w:val="es-ES"/>
        </w:rPr>
        <w:lastRenderedPageBreak/>
        <w:t>2</w:t>
      </w:r>
      <w:r w:rsidRPr="00282BBC">
        <w:rPr>
          <w:rFonts w:ascii="Avenir Next" w:hAnsi="Avenir Next" w:cs="Arial"/>
          <w:color w:val="000000" w:themeColor="text1"/>
          <w:lang w:val="es-ES"/>
        </w:rPr>
        <w:t xml:space="preserve">. </w:t>
      </w:r>
      <w:r>
        <w:rPr>
          <w:rFonts w:ascii="Avenir Next" w:hAnsi="Avenir Next" w:cs="Arial"/>
          <w:color w:val="000000" w:themeColor="text1"/>
          <w:lang w:val="es-ES"/>
        </w:rPr>
        <w:t>RESUMEN</w:t>
      </w:r>
      <w:r w:rsidR="008D3158">
        <w:rPr>
          <w:rFonts w:ascii="Avenir Next" w:hAnsi="Avenir Next" w:cs="Arial"/>
          <w:color w:val="000000" w:themeColor="text1"/>
          <w:lang w:val="es-ES"/>
        </w:rPr>
        <w:t xml:space="preserve"> EJECUTIVO</w:t>
      </w:r>
      <w:bookmarkEnd w:id="1"/>
    </w:p>
    <w:p w14:paraId="64EF7B1C" w14:textId="77777777" w:rsidR="00C51BEB" w:rsidRPr="00282BBC" w:rsidRDefault="00C51BEB" w:rsidP="00C51BEB">
      <w:pPr>
        <w:rPr>
          <w:color w:val="000000" w:themeColor="text1"/>
          <w:lang w:val="es-ES"/>
        </w:rPr>
      </w:pPr>
    </w:p>
    <w:p w14:paraId="0D293804" w14:textId="496910FB" w:rsidR="008D3158" w:rsidRDefault="00C51BEB" w:rsidP="008D3158">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De la aplicación </w:t>
      </w:r>
      <w:r w:rsidR="008F16A6">
        <w:rPr>
          <w:rFonts w:ascii="Avenir Next" w:hAnsi="Avenir Next"/>
          <w:color w:val="000000" w:themeColor="text1"/>
          <w:sz w:val="20"/>
          <w:szCs w:val="20"/>
          <w:lang w:val="es-ES"/>
        </w:rPr>
        <w:t xml:space="preserve">de los indicadores </w:t>
      </w:r>
      <w:r w:rsidR="008D3158">
        <w:rPr>
          <w:rFonts w:ascii="Avenir Next" w:hAnsi="Avenir Next"/>
          <w:color w:val="000000" w:themeColor="text1"/>
          <w:sz w:val="20"/>
          <w:szCs w:val="20"/>
          <w:lang w:val="es-ES"/>
        </w:rPr>
        <w:t>utilizados para</w:t>
      </w:r>
      <w:r w:rsidR="008F16A6">
        <w:rPr>
          <w:rFonts w:ascii="Avenir Next" w:hAnsi="Avenir Next"/>
          <w:color w:val="000000" w:themeColor="text1"/>
          <w:sz w:val="20"/>
          <w:szCs w:val="20"/>
          <w:lang w:val="es-ES"/>
        </w:rPr>
        <w:t xml:space="preserve"> las compras realizadas a través de </w:t>
      </w:r>
      <w:r w:rsidR="00FD46A5">
        <w:rPr>
          <w:rFonts w:ascii="Avenir Next" w:hAnsi="Avenir Next"/>
          <w:color w:val="000000" w:themeColor="text1"/>
          <w:sz w:val="20"/>
          <w:szCs w:val="20"/>
          <w:lang w:val="es-ES"/>
        </w:rPr>
        <w:t>Mercado Público</w:t>
      </w:r>
      <w:r w:rsidR="002C7110">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por cada institución </w:t>
      </w:r>
      <w:r w:rsidR="00442602">
        <w:rPr>
          <w:rFonts w:ascii="Avenir Next" w:hAnsi="Avenir Next"/>
          <w:color w:val="000000" w:themeColor="text1"/>
          <w:sz w:val="20"/>
          <w:szCs w:val="20"/>
          <w:lang w:val="es-ES"/>
        </w:rPr>
        <w:t>al 30 de septiembre</w:t>
      </w:r>
      <w:r w:rsidR="00FD46A5">
        <w:rPr>
          <w:rFonts w:ascii="Avenir Next" w:hAnsi="Avenir Next"/>
          <w:color w:val="000000" w:themeColor="text1"/>
          <w:sz w:val="20"/>
          <w:szCs w:val="20"/>
          <w:lang w:val="es-ES"/>
        </w:rPr>
        <w:t xml:space="preserve"> </w:t>
      </w:r>
      <w:r w:rsidR="008D3158">
        <w:rPr>
          <w:rFonts w:ascii="Avenir Next" w:hAnsi="Avenir Next"/>
          <w:color w:val="000000" w:themeColor="text1"/>
          <w:sz w:val="20"/>
          <w:szCs w:val="20"/>
          <w:lang w:val="es-ES"/>
        </w:rPr>
        <w:t xml:space="preserve">del año 2021, </w:t>
      </w:r>
      <w:r w:rsidR="00FD46A5">
        <w:rPr>
          <w:rFonts w:ascii="Avenir Next" w:hAnsi="Avenir Next"/>
          <w:color w:val="000000" w:themeColor="text1"/>
          <w:sz w:val="20"/>
          <w:szCs w:val="20"/>
          <w:lang w:val="es-ES"/>
        </w:rPr>
        <w:t xml:space="preserve">se desprende </w:t>
      </w:r>
      <w:r w:rsidR="005825EE">
        <w:rPr>
          <w:rFonts w:ascii="Avenir Next" w:hAnsi="Avenir Next"/>
          <w:color w:val="000000" w:themeColor="text1"/>
          <w:sz w:val="20"/>
          <w:szCs w:val="20"/>
          <w:lang w:val="es-ES"/>
        </w:rPr>
        <w:t>que</w:t>
      </w:r>
      <w:r w:rsidR="008D3158">
        <w:rPr>
          <w:rFonts w:ascii="Avenir Next" w:hAnsi="Avenir Next"/>
          <w:color w:val="000000" w:themeColor="text1"/>
          <w:sz w:val="20"/>
          <w:szCs w:val="20"/>
          <w:lang w:val="es-ES"/>
        </w:rPr>
        <w:t>:</w:t>
      </w:r>
    </w:p>
    <w:p w14:paraId="08E8127B" w14:textId="42310BDC" w:rsidR="008D3158" w:rsidRDefault="008D3158" w:rsidP="008D3158">
      <w:pPr>
        <w:pStyle w:val="Prrafodelista"/>
        <w:numPr>
          <w:ilvl w:val="0"/>
          <w:numId w:val="6"/>
        </w:num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E</w:t>
      </w:r>
      <w:r w:rsidR="00FD46A5" w:rsidRPr="00C83ABA">
        <w:rPr>
          <w:rFonts w:ascii="Avenir Next" w:hAnsi="Avenir Next"/>
          <w:color w:val="000000" w:themeColor="text1"/>
          <w:sz w:val="20"/>
          <w:szCs w:val="20"/>
          <w:lang w:val="es-ES"/>
        </w:rPr>
        <w:t>n el caso de los municipios analizado</w:t>
      </w:r>
      <w:r>
        <w:rPr>
          <w:rFonts w:ascii="Avenir Next" w:hAnsi="Avenir Next"/>
          <w:color w:val="000000" w:themeColor="text1"/>
          <w:sz w:val="20"/>
          <w:szCs w:val="20"/>
          <w:lang w:val="es-ES"/>
        </w:rPr>
        <w:t>s</w:t>
      </w:r>
      <w:r w:rsidR="005825EE" w:rsidRPr="00C83ABA">
        <w:rPr>
          <w:rFonts w:ascii="Avenir Next" w:hAnsi="Avenir Next"/>
          <w:color w:val="000000" w:themeColor="text1"/>
          <w:sz w:val="20"/>
          <w:szCs w:val="20"/>
          <w:lang w:val="es-ES"/>
        </w:rPr>
        <w:t xml:space="preserve">, aquellos de menor tamaño lideran los rankings en términos porcentuales. </w:t>
      </w:r>
    </w:p>
    <w:p w14:paraId="20B385BB" w14:textId="0FF105BC" w:rsidR="00FD46A5" w:rsidRPr="00C83ABA" w:rsidRDefault="005825EE" w:rsidP="00C83ABA">
      <w:pPr>
        <w:pStyle w:val="Prrafodelista"/>
        <w:numPr>
          <w:ilvl w:val="0"/>
          <w:numId w:val="6"/>
        </w:numPr>
        <w:jc w:val="both"/>
        <w:rPr>
          <w:rFonts w:ascii="Avenir Next" w:hAnsi="Avenir Next"/>
          <w:color w:val="000000" w:themeColor="text1"/>
          <w:sz w:val="20"/>
          <w:szCs w:val="20"/>
          <w:lang w:val="es-ES"/>
        </w:rPr>
      </w:pPr>
      <w:r w:rsidRPr="00C83ABA">
        <w:rPr>
          <w:rFonts w:ascii="Avenir Next" w:hAnsi="Avenir Next"/>
          <w:color w:val="000000" w:themeColor="text1"/>
          <w:sz w:val="20"/>
          <w:szCs w:val="20"/>
          <w:lang w:val="es-ES"/>
        </w:rPr>
        <w:t xml:space="preserve">Sin embargo, llama la atención </w:t>
      </w:r>
      <w:r w:rsidR="00190EDC" w:rsidRPr="00C83ABA">
        <w:rPr>
          <w:rFonts w:ascii="Avenir Next" w:hAnsi="Avenir Next"/>
          <w:color w:val="000000" w:themeColor="text1"/>
          <w:sz w:val="20"/>
          <w:szCs w:val="20"/>
          <w:lang w:val="es-ES"/>
        </w:rPr>
        <w:t>que,</w:t>
      </w:r>
      <w:r w:rsidRPr="00C83ABA">
        <w:rPr>
          <w:rFonts w:ascii="Avenir Next" w:hAnsi="Avenir Next"/>
          <w:color w:val="000000" w:themeColor="text1"/>
          <w:sz w:val="20"/>
          <w:szCs w:val="20"/>
          <w:lang w:val="es-ES"/>
        </w:rPr>
        <w:t xml:space="preserve"> en el caso del indicador de </w:t>
      </w:r>
      <w:r w:rsidR="008D3158">
        <w:rPr>
          <w:rFonts w:ascii="Avenir Next" w:hAnsi="Avenir Next"/>
          <w:color w:val="000000" w:themeColor="text1"/>
          <w:sz w:val="20"/>
          <w:szCs w:val="20"/>
          <w:lang w:val="es-ES"/>
        </w:rPr>
        <w:t>“</w:t>
      </w:r>
      <w:r w:rsidRPr="00C83ABA">
        <w:rPr>
          <w:rFonts w:ascii="Avenir Next" w:hAnsi="Avenir Next"/>
          <w:color w:val="000000" w:themeColor="text1"/>
          <w:sz w:val="20"/>
          <w:szCs w:val="20"/>
          <w:lang w:val="es-ES"/>
        </w:rPr>
        <w:t>promedio del porcentaje de incumplimiento en la publicación de documentos obligatorios</w:t>
      </w:r>
      <w:r w:rsidR="008D3158">
        <w:rPr>
          <w:rFonts w:ascii="Avenir Next" w:hAnsi="Avenir Next"/>
          <w:color w:val="000000" w:themeColor="text1"/>
          <w:sz w:val="20"/>
          <w:szCs w:val="20"/>
          <w:lang w:val="es-ES"/>
        </w:rPr>
        <w:t>”</w:t>
      </w:r>
      <w:r w:rsidRPr="00C83ABA">
        <w:rPr>
          <w:rFonts w:ascii="Avenir Next" w:hAnsi="Avenir Next"/>
          <w:color w:val="000000" w:themeColor="text1"/>
          <w:sz w:val="20"/>
          <w:szCs w:val="20"/>
          <w:lang w:val="es-ES"/>
        </w:rPr>
        <w:t xml:space="preserve">, los municipios de Quinta Normal y Viña del Mar se encuentren entre los primeros </w:t>
      </w:r>
      <w:r w:rsidR="008D3158">
        <w:rPr>
          <w:rFonts w:ascii="Avenir Next" w:hAnsi="Avenir Next"/>
          <w:color w:val="000000" w:themeColor="text1"/>
          <w:sz w:val="20"/>
          <w:szCs w:val="20"/>
          <w:lang w:val="es-ES"/>
        </w:rPr>
        <w:t>lugares de riesgo</w:t>
      </w:r>
      <w:r w:rsidRPr="00C83ABA">
        <w:rPr>
          <w:rFonts w:ascii="Avenir Next" w:hAnsi="Avenir Next"/>
          <w:color w:val="000000" w:themeColor="text1"/>
          <w:sz w:val="20"/>
          <w:szCs w:val="20"/>
          <w:lang w:val="es-ES"/>
        </w:rPr>
        <w:t>.</w:t>
      </w:r>
    </w:p>
    <w:p w14:paraId="6E12978E" w14:textId="5A4D25A3" w:rsidR="005825EE" w:rsidRPr="00190EDC" w:rsidRDefault="005825EE" w:rsidP="00C51BEB">
      <w:pPr>
        <w:jc w:val="both"/>
        <w:rPr>
          <w:rFonts w:ascii="Avenir Next" w:hAnsi="Avenir Next"/>
          <w:color w:val="000000" w:themeColor="text1"/>
          <w:sz w:val="20"/>
          <w:szCs w:val="20"/>
          <w:lang w:val="es-ES"/>
        </w:rPr>
      </w:pPr>
    </w:p>
    <w:p w14:paraId="49FE7FD0" w14:textId="797A8C5A" w:rsidR="008D3158" w:rsidRDefault="008D3158" w:rsidP="00C83ABA">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Por su parte, y r</w:t>
      </w:r>
      <w:r w:rsidR="005825EE">
        <w:rPr>
          <w:rFonts w:ascii="Avenir Next" w:hAnsi="Avenir Next"/>
          <w:color w:val="000000" w:themeColor="text1"/>
          <w:sz w:val="20"/>
          <w:szCs w:val="20"/>
          <w:lang w:val="es-ES"/>
        </w:rPr>
        <w:t xml:space="preserve">especto del análisis a nivel de </w:t>
      </w:r>
      <w:r w:rsidR="00190EDC">
        <w:rPr>
          <w:rFonts w:ascii="Avenir Next" w:hAnsi="Avenir Next"/>
          <w:color w:val="000000" w:themeColor="text1"/>
          <w:sz w:val="20"/>
          <w:szCs w:val="20"/>
          <w:lang w:val="es-ES"/>
        </w:rPr>
        <w:t>licitación pública</w:t>
      </w:r>
      <w:r>
        <w:rPr>
          <w:rFonts w:ascii="Avenir Next" w:hAnsi="Avenir Next"/>
          <w:color w:val="000000" w:themeColor="text1"/>
          <w:sz w:val="20"/>
          <w:szCs w:val="20"/>
          <w:lang w:val="es-ES"/>
        </w:rPr>
        <w:t xml:space="preserve"> para igual período</w:t>
      </w:r>
      <w:r w:rsidR="002C7110">
        <w:rPr>
          <w:rFonts w:ascii="Avenir Next" w:hAnsi="Avenir Next"/>
          <w:color w:val="000000" w:themeColor="text1"/>
          <w:sz w:val="20"/>
          <w:szCs w:val="20"/>
          <w:lang w:val="es-ES"/>
        </w:rPr>
        <w:t>, es posible apreciar que</w:t>
      </w:r>
      <w:r>
        <w:rPr>
          <w:rFonts w:ascii="Avenir Next" w:hAnsi="Avenir Next"/>
          <w:color w:val="000000" w:themeColor="text1"/>
          <w:sz w:val="20"/>
          <w:szCs w:val="20"/>
          <w:lang w:val="es-ES"/>
        </w:rPr>
        <w:t>:</w:t>
      </w:r>
    </w:p>
    <w:p w14:paraId="7DB80321" w14:textId="1411BA4F" w:rsidR="008D3158" w:rsidRPr="008F047B" w:rsidRDefault="005C0485" w:rsidP="008D3158">
      <w:pPr>
        <w:pStyle w:val="Prrafodelista"/>
        <w:numPr>
          <w:ilvl w:val="0"/>
          <w:numId w:val="6"/>
        </w:numPr>
        <w:jc w:val="both"/>
        <w:rPr>
          <w:rFonts w:ascii="Avenir Next" w:hAnsi="Avenir Next"/>
          <w:color w:val="000000" w:themeColor="text1"/>
          <w:sz w:val="20"/>
          <w:szCs w:val="20"/>
          <w:lang w:val="es-ES"/>
        </w:rPr>
      </w:pPr>
      <w:r w:rsidRPr="008F047B">
        <w:rPr>
          <w:rFonts w:ascii="Avenir Next" w:hAnsi="Avenir Next"/>
          <w:color w:val="000000" w:themeColor="text1"/>
          <w:sz w:val="20"/>
          <w:szCs w:val="20"/>
          <w:lang w:val="es-ES"/>
        </w:rPr>
        <w:t>Al</w:t>
      </w:r>
      <w:r>
        <w:rPr>
          <w:rFonts w:ascii="Avenir Next" w:hAnsi="Avenir Next"/>
          <w:color w:val="000000" w:themeColor="text1"/>
          <w:sz w:val="20"/>
          <w:szCs w:val="20"/>
          <w:lang w:val="es-ES"/>
        </w:rPr>
        <w:t xml:space="preserve"> </w:t>
      </w:r>
      <w:proofErr w:type="spellStart"/>
      <w:r>
        <w:rPr>
          <w:rFonts w:ascii="Avenir Next" w:hAnsi="Avenir Next"/>
          <w:color w:val="000000" w:themeColor="text1"/>
          <w:sz w:val="20"/>
          <w:szCs w:val="20"/>
          <w:lang w:val="es-ES"/>
        </w:rPr>
        <w:t>rankear</w:t>
      </w:r>
      <w:proofErr w:type="spellEnd"/>
      <w:r>
        <w:rPr>
          <w:rFonts w:ascii="Avenir Next" w:hAnsi="Avenir Next"/>
          <w:color w:val="000000" w:themeColor="text1"/>
          <w:sz w:val="20"/>
          <w:szCs w:val="20"/>
          <w:lang w:val="es-ES"/>
        </w:rPr>
        <w:t xml:space="preserve"> en</w:t>
      </w:r>
      <w:r w:rsidR="008D3158">
        <w:rPr>
          <w:rFonts w:ascii="Avenir Next" w:hAnsi="Avenir Next"/>
          <w:color w:val="000000" w:themeColor="text1"/>
          <w:sz w:val="20"/>
          <w:szCs w:val="20"/>
          <w:lang w:val="es-ES"/>
        </w:rPr>
        <w:t xml:space="preserve"> términos </w:t>
      </w:r>
      <w:r>
        <w:rPr>
          <w:rFonts w:ascii="Avenir Next" w:hAnsi="Avenir Next"/>
          <w:color w:val="000000" w:themeColor="text1"/>
          <w:sz w:val="20"/>
          <w:szCs w:val="20"/>
          <w:lang w:val="es-ES"/>
        </w:rPr>
        <w:t>del porcentaje de licitaciones riesgosas</w:t>
      </w:r>
      <w:r w:rsidR="002C7110">
        <w:rPr>
          <w:rFonts w:ascii="Avenir Next" w:hAnsi="Avenir Next"/>
          <w:color w:val="000000" w:themeColor="text1"/>
          <w:sz w:val="20"/>
          <w:szCs w:val="20"/>
          <w:lang w:val="es-ES"/>
        </w:rPr>
        <w:t xml:space="preserve">, </w:t>
      </w:r>
      <w:r w:rsidR="008D3158">
        <w:rPr>
          <w:rFonts w:ascii="Avenir Next" w:hAnsi="Avenir Next"/>
          <w:color w:val="000000" w:themeColor="text1"/>
          <w:sz w:val="20"/>
          <w:szCs w:val="20"/>
          <w:lang w:val="es-ES"/>
        </w:rPr>
        <w:t xml:space="preserve">se presenta un comportamiento similar al reflejado </w:t>
      </w:r>
      <w:r w:rsidR="002C7110">
        <w:rPr>
          <w:rFonts w:ascii="Avenir Next" w:hAnsi="Avenir Next"/>
          <w:color w:val="000000" w:themeColor="text1"/>
          <w:sz w:val="20"/>
          <w:szCs w:val="20"/>
          <w:lang w:val="es-ES"/>
        </w:rPr>
        <w:t xml:space="preserve">cuando se analiza </w:t>
      </w:r>
      <w:r>
        <w:rPr>
          <w:rFonts w:ascii="Avenir Next" w:hAnsi="Avenir Next"/>
          <w:color w:val="000000" w:themeColor="text1"/>
          <w:sz w:val="20"/>
          <w:szCs w:val="20"/>
          <w:lang w:val="es-ES"/>
        </w:rPr>
        <w:t xml:space="preserve">a nivel de </w:t>
      </w:r>
      <w:r w:rsidR="00756837">
        <w:rPr>
          <w:rFonts w:ascii="Avenir Next" w:hAnsi="Avenir Next"/>
          <w:color w:val="000000" w:themeColor="text1"/>
          <w:sz w:val="20"/>
          <w:szCs w:val="20"/>
          <w:lang w:val="es-ES"/>
        </w:rPr>
        <w:t>municipio</w:t>
      </w:r>
      <w:r w:rsidR="008D3158">
        <w:rPr>
          <w:rFonts w:ascii="Avenir Next" w:hAnsi="Avenir Next"/>
          <w:color w:val="000000" w:themeColor="text1"/>
          <w:sz w:val="20"/>
          <w:szCs w:val="20"/>
          <w:lang w:val="es-ES"/>
        </w:rPr>
        <w:t xml:space="preserve">, </w:t>
      </w:r>
      <w:r w:rsidR="002C7110">
        <w:rPr>
          <w:rFonts w:ascii="Avenir Next" w:hAnsi="Avenir Next"/>
          <w:color w:val="000000" w:themeColor="text1"/>
          <w:sz w:val="20"/>
          <w:szCs w:val="20"/>
          <w:lang w:val="es-ES"/>
        </w:rPr>
        <w:t xml:space="preserve">en que </w:t>
      </w:r>
      <w:r w:rsidR="008D3158">
        <w:rPr>
          <w:rFonts w:ascii="Avenir Next" w:hAnsi="Avenir Next"/>
          <w:color w:val="000000" w:themeColor="text1"/>
          <w:sz w:val="20"/>
          <w:szCs w:val="20"/>
          <w:lang w:val="es-ES"/>
        </w:rPr>
        <w:t xml:space="preserve">destacan </w:t>
      </w:r>
      <w:r>
        <w:rPr>
          <w:rFonts w:ascii="Avenir Next" w:hAnsi="Avenir Next"/>
          <w:color w:val="000000" w:themeColor="text1"/>
          <w:sz w:val="20"/>
          <w:szCs w:val="20"/>
          <w:lang w:val="es-ES"/>
        </w:rPr>
        <w:t xml:space="preserve">en los primeros lugares </w:t>
      </w:r>
      <w:r w:rsidR="008D3158">
        <w:rPr>
          <w:rFonts w:ascii="Avenir Next" w:hAnsi="Avenir Next"/>
          <w:color w:val="000000" w:themeColor="text1"/>
          <w:sz w:val="20"/>
          <w:szCs w:val="20"/>
          <w:lang w:val="es-ES"/>
        </w:rPr>
        <w:t>aquellos ministerios con una baja cantidad de licitaciones realizadas.</w:t>
      </w:r>
      <w:r w:rsidR="00262038">
        <w:rPr>
          <w:rFonts w:ascii="Avenir Next" w:hAnsi="Avenir Next"/>
          <w:color w:val="000000" w:themeColor="text1"/>
          <w:sz w:val="20"/>
          <w:szCs w:val="20"/>
          <w:lang w:val="es-ES"/>
        </w:rPr>
        <w:t xml:space="preserve"> </w:t>
      </w:r>
    </w:p>
    <w:p w14:paraId="6590FEBD" w14:textId="26B46472" w:rsidR="008D3158" w:rsidRDefault="00337373" w:rsidP="008D3158">
      <w:pPr>
        <w:pStyle w:val="Prrafodelista"/>
        <w:numPr>
          <w:ilvl w:val="0"/>
          <w:numId w:val="6"/>
        </w:num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Asimismo,</w:t>
      </w:r>
      <w:r w:rsidR="008D3158">
        <w:rPr>
          <w:rFonts w:ascii="Avenir Next" w:hAnsi="Avenir Next"/>
          <w:color w:val="000000" w:themeColor="text1"/>
          <w:sz w:val="20"/>
          <w:szCs w:val="20"/>
          <w:lang w:val="es-ES"/>
        </w:rPr>
        <w:t xml:space="preserve"> se aprecia</w:t>
      </w:r>
      <w:r w:rsidR="00262038">
        <w:rPr>
          <w:rFonts w:ascii="Avenir Next" w:hAnsi="Avenir Next"/>
          <w:color w:val="000000" w:themeColor="text1"/>
          <w:sz w:val="20"/>
          <w:szCs w:val="20"/>
          <w:lang w:val="es-ES"/>
        </w:rPr>
        <w:t xml:space="preserve">n significativos niveles de riesgo en </w:t>
      </w:r>
      <w:r w:rsidR="005825EE">
        <w:rPr>
          <w:rFonts w:ascii="Avenir Next" w:hAnsi="Avenir Next"/>
          <w:color w:val="000000" w:themeColor="text1"/>
          <w:sz w:val="20"/>
          <w:szCs w:val="20"/>
          <w:lang w:val="es-ES"/>
        </w:rPr>
        <w:t>la mayoría de los indicadores en todos los Ministerios</w:t>
      </w:r>
      <w:r w:rsidR="008D3158">
        <w:rPr>
          <w:rFonts w:ascii="Avenir Next" w:hAnsi="Avenir Next"/>
          <w:color w:val="000000" w:themeColor="text1"/>
          <w:sz w:val="20"/>
          <w:szCs w:val="20"/>
          <w:lang w:val="es-ES"/>
        </w:rPr>
        <w:t xml:space="preserve">. </w:t>
      </w:r>
    </w:p>
    <w:p w14:paraId="61E737C5" w14:textId="2048B275" w:rsidR="008D3158" w:rsidRDefault="00262038" w:rsidP="008D3158">
      <w:pPr>
        <w:pStyle w:val="Prrafodelista"/>
        <w:numPr>
          <w:ilvl w:val="0"/>
          <w:numId w:val="6"/>
        </w:num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E</w:t>
      </w:r>
      <w:r w:rsidR="00190EDC">
        <w:rPr>
          <w:rFonts w:ascii="Avenir Next" w:hAnsi="Avenir Next"/>
          <w:color w:val="000000" w:themeColor="text1"/>
          <w:sz w:val="20"/>
          <w:szCs w:val="20"/>
          <w:lang w:val="es-ES"/>
        </w:rPr>
        <w:t>n términos de cantidad de licitaciones riesgosas, en la mayoría de los indicadores</w:t>
      </w:r>
      <w:r w:rsidR="008D3158">
        <w:rPr>
          <w:rFonts w:ascii="Avenir Next" w:hAnsi="Avenir Next"/>
          <w:color w:val="000000" w:themeColor="text1"/>
          <w:sz w:val="20"/>
          <w:szCs w:val="20"/>
          <w:lang w:val="es-ES"/>
        </w:rPr>
        <w:t>,</w:t>
      </w:r>
      <w:r w:rsidR="00190EDC">
        <w:rPr>
          <w:rFonts w:ascii="Avenir Next" w:hAnsi="Avenir Next"/>
          <w:color w:val="000000" w:themeColor="text1"/>
          <w:sz w:val="20"/>
          <w:szCs w:val="20"/>
          <w:lang w:val="es-ES"/>
        </w:rPr>
        <w:t xml:space="preserve"> destacan los municipios (como grupo), el Ministerio de Salud y el Ministerio de Defensa.</w:t>
      </w:r>
    </w:p>
    <w:p w14:paraId="50EB7463" w14:textId="73DCED47" w:rsidR="005825EE" w:rsidRDefault="005825EE" w:rsidP="00C51BEB">
      <w:pPr>
        <w:jc w:val="both"/>
        <w:rPr>
          <w:rFonts w:ascii="Avenir Next" w:hAnsi="Avenir Next"/>
          <w:color w:val="000000" w:themeColor="text1"/>
          <w:sz w:val="20"/>
          <w:szCs w:val="20"/>
          <w:lang w:val="es-ES"/>
        </w:rPr>
      </w:pPr>
    </w:p>
    <w:p w14:paraId="1C9408EE" w14:textId="290006DB" w:rsidR="00C51BEB" w:rsidRDefault="00C51BEB">
      <w:pPr>
        <w:rPr>
          <w:rFonts w:ascii="Avenir Next" w:eastAsiaTheme="majorEastAsia" w:hAnsi="Avenir Next" w:cs="Arial"/>
          <w:color w:val="000000" w:themeColor="text1"/>
          <w:sz w:val="32"/>
          <w:szCs w:val="32"/>
          <w:lang w:val="es-ES"/>
        </w:rPr>
      </w:pPr>
      <w:r>
        <w:rPr>
          <w:rFonts w:ascii="Avenir Next" w:hAnsi="Avenir Next" w:cs="Arial"/>
          <w:color w:val="000000" w:themeColor="text1"/>
          <w:lang w:val="es-ES"/>
        </w:rPr>
        <w:br w:type="page"/>
      </w:r>
    </w:p>
    <w:p w14:paraId="3115D934" w14:textId="533F7A06" w:rsidR="00BE199E" w:rsidRPr="00282BBC" w:rsidRDefault="00C51BEB" w:rsidP="00BE199E">
      <w:pPr>
        <w:pStyle w:val="Ttulo1"/>
        <w:rPr>
          <w:rFonts w:ascii="Avenir Next" w:hAnsi="Avenir Next" w:cs="Arial"/>
          <w:color w:val="000000" w:themeColor="text1"/>
          <w:lang w:val="es-ES"/>
        </w:rPr>
      </w:pPr>
      <w:bookmarkStart w:id="2" w:name="_Toc84503141"/>
      <w:r>
        <w:rPr>
          <w:rFonts w:ascii="Avenir Next" w:hAnsi="Avenir Next" w:cs="Arial"/>
          <w:color w:val="000000" w:themeColor="text1"/>
          <w:lang w:val="es-ES"/>
        </w:rPr>
        <w:lastRenderedPageBreak/>
        <w:t>3</w:t>
      </w:r>
      <w:r w:rsidR="00881352" w:rsidRPr="00282BBC">
        <w:rPr>
          <w:rFonts w:ascii="Avenir Next" w:hAnsi="Avenir Next" w:cs="Arial"/>
          <w:color w:val="000000" w:themeColor="text1"/>
          <w:lang w:val="es-ES"/>
        </w:rPr>
        <w:t>. RED FLAGS A NIVEL INSTITUCIONAL</w:t>
      </w:r>
      <w:bookmarkEnd w:id="2"/>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6839BA3D" w:rsidR="00DD1290" w:rsidRDefault="002E7041"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w:t>
      </w:r>
      <w:r w:rsidR="004148F8">
        <w:rPr>
          <w:rFonts w:ascii="Avenir Next" w:hAnsi="Avenir Next"/>
          <w:color w:val="000000" w:themeColor="text1"/>
          <w:sz w:val="20"/>
          <w:szCs w:val="20"/>
          <w:lang w:val="es-ES"/>
        </w:rPr>
        <w:t>unto</w:t>
      </w:r>
      <w:r w:rsidRPr="00282BBC">
        <w:rPr>
          <w:rFonts w:ascii="Avenir Next" w:hAnsi="Avenir Next"/>
          <w:color w:val="000000" w:themeColor="text1"/>
          <w:sz w:val="20"/>
          <w:szCs w:val="20"/>
          <w:lang w:val="es-ES"/>
        </w:rPr>
        <w:t xml:space="preserve">, se </w:t>
      </w:r>
      <w:r w:rsidR="004148F8">
        <w:rPr>
          <w:rFonts w:ascii="Avenir Next" w:hAnsi="Avenir Next"/>
          <w:color w:val="000000" w:themeColor="text1"/>
          <w:sz w:val="20"/>
          <w:szCs w:val="20"/>
          <w:lang w:val="es-ES"/>
        </w:rPr>
        <w:t>presentan</w:t>
      </w:r>
      <w:r w:rsidR="004148F8"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Red Flags específic</w:t>
      </w:r>
      <w:r w:rsidR="004148F8">
        <w:rPr>
          <w:rFonts w:ascii="Avenir Next" w:hAnsi="Avenir Next"/>
          <w:color w:val="000000" w:themeColor="text1"/>
          <w:sz w:val="20"/>
          <w:szCs w:val="20"/>
          <w:lang w:val="es-ES"/>
        </w:rPr>
        <w:t>o</w:t>
      </w:r>
      <w:r w:rsidR="00BE199E" w:rsidRPr="00282BBC">
        <w:rPr>
          <w:rFonts w:ascii="Avenir Next" w:hAnsi="Avenir Next"/>
          <w:color w:val="000000" w:themeColor="text1"/>
          <w:sz w:val="20"/>
          <w:szCs w:val="20"/>
          <w:lang w:val="es-ES"/>
        </w:rPr>
        <w:t xml:space="preserve">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w:t>
      </w:r>
      <w:r w:rsidR="004148F8">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con indicadores</w:t>
      </w:r>
      <w:r w:rsidR="00262038">
        <w:rPr>
          <w:rFonts w:ascii="Avenir Next" w:hAnsi="Avenir Next"/>
          <w:color w:val="000000" w:themeColor="text1"/>
          <w:sz w:val="20"/>
          <w:szCs w:val="20"/>
          <w:lang w:val="es-ES"/>
        </w:rPr>
        <w:t xml:space="preserve"> de</w:t>
      </w:r>
      <w:r w:rsidR="00DD1290" w:rsidRPr="00282BBC">
        <w:rPr>
          <w:rFonts w:ascii="Avenir Next" w:hAnsi="Avenir Next"/>
          <w:color w:val="000000" w:themeColor="text1"/>
          <w:sz w:val="20"/>
          <w:szCs w:val="20"/>
          <w:lang w:val="es-ES"/>
        </w:rPr>
        <w:t xml:space="preserve"> riesgo más alto en sus compras</w:t>
      </w:r>
      <w:r w:rsidR="00BE199E" w:rsidRPr="00282BBC">
        <w:rPr>
          <w:rFonts w:ascii="Avenir Next" w:hAnsi="Avenir Next"/>
          <w:color w:val="000000" w:themeColor="text1"/>
          <w:sz w:val="20"/>
          <w:szCs w:val="20"/>
          <w:lang w:val="es-ES"/>
        </w:rPr>
        <w:t>.</w:t>
      </w:r>
      <w:r w:rsidR="00073225" w:rsidRPr="00282BBC">
        <w:rPr>
          <w:rFonts w:ascii="Avenir Next" w:hAnsi="Avenir Next"/>
          <w:color w:val="000000" w:themeColor="text1"/>
          <w:sz w:val="20"/>
          <w:szCs w:val="20"/>
          <w:lang w:val="es-ES"/>
        </w:rPr>
        <w:t xml:space="preserve"> </w:t>
      </w:r>
    </w:p>
    <w:p w14:paraId="38A048B1" w14:textId="492F46CF" w:rsidR="00E24CDB" w:rsidRPr="00282BBC" w:rsidRDefault="00E24CDB" w:rsidP="00C83ABA">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Si bien, los resultados en la plataforma se presentan </w:t>
      </w:r>
      <w:r w:rsidR="004148F8">
        <w:rPr>
          <w:rFonts w:ascii="Avenir Next" w:hAnsi="Avenir Next"/>
          <w:color w:val="000000" w:themeColor="text1"/>
          <w:sz w:val="20"/>
          <w:szCs w:val="20"/>
          <w:lang w:val="es-ES"/>
        </w:rPr>
        <w:t xml:space="preserve">tanto </w:t>
      </w:r>
      <w:r>
        <w:rPr>
          <w:rFonts w:ascii="Avenir Next" w:hAnsi="Avenir Next"/>
          <w:color w:val="000000" w:themeColor="text1"/>
          <w:sz w:val="20"/>
          <w:szCs w:val="20"/>
          <w:lang w:val="es-ES"/>
        </w:rPr>
        <w:t>para el Gobierno Central como</w:t>
      </w:r>
      <w:r w:rsidR="004148F8">
        <w:rPr>
          <w:rFonts w:ascii="Avenir Next" w:hAnsi="Avenir Next"/>
          <w:color w:val="000000" w:themeColor="text1"/>
          <w:sz w:val="20"/>
          <w:szCs w:val="20"/>
          <w:lang w:val="es-ES"/>
        </w:rPr>
        <w:t xml:space="preserve"> a nivel Municipal</w:t>
      </w:r>
      <w:r>
        <w:rPr>
          <w:rFonts w:ascii="Avenir Next" w:hAnsi="Avenir Next"/>
          <w:color w:val="000000" w:themeColor="text1"/>
          <w:sz w:val="20"/>
          <w:szCs w:val="20"/>
          <w:lang w:val="es-ES"/>
        </w:rPr>
        <w:t xml:space="preserve">, en el presente </w:t>
      </w:r>
      <w:r w:rsidR="00262038">
        <w:rPr>
          <w:rFonts w:ascii="Avenir Next" w:hAnsi="Avenir Next"/>
          <w:color w:val="000000" w:themeColor="text1"/>
          <w:sz w:val="20"/>
          <w:szCs w:val="20"/>
          <w:lang w:val="es-ES"/>
        </w:rPr>
        <w:t xml:space="preserve">segmento del </w:t>
      </w:r>
      <w:r>
        <w:rPr>
          <w:rFonts w:ascii="Avenir Next" w:hAnsi="Avenir Next"/>
          <w:color w:val="000000" w:themeColor="text1"/>
          <w:sz w:val="20"/>
          <w:szCs w:val="20"/>
          <w:lang w:val="es-ES"/>
        </w:rPr>
        <w:t xml:space="preserve">informe se muestran solo los municipios, con la finalidad de hacer comparaciones entre instituciones </w:t>
      </w:r>
      <w:r w:rsidR="00262038">
        <w:rPr>
          <w:rFonts w:ascii="Avenir Next" w:hAnsi="Avenir Next"/>
          <w:color w:val="000000" w:themeColor="text1"/>
          <w:sz w:val="20"/>
          <w:szCs w:val="20"/>
          <w:lang w:val="es-ES"/>
        </w:rPr>
        <w:t xml:space="preserve">afines. </w:t>
      </w:r>
    </w:p>
    <w:p w14:paraId="7166D3B4" w14:textId="1036633B" w:rsidR="00BE199E" w:rsidRPr="00282BBC" w:rsidRDefault="00DD1290"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ara todos los análisis de la plataforma</w:t>
      </w:r>
      <w:r w:rsidR="004148F8">
        <w:rPr>
          <w:rFonts w:ascii="Avenir Next" w:hAnsi="Avenir Next"/>
          <w:color w:val="000000" w:themeColor="text1"/>
          <w:sz w:val="20"/>
          <w:szCs w:val="20"/>
          <w:lang w:val="es-ES"/>
        </w:rPr>
        <w:t xml:space="preserve">, </w:t>
      </w:r>
      <w:r w:rsidR="00073225" w:rsidRPr="00282BBC">
        <w:rPr>
          <w:rFonts w:ascii="Avenir Next" w:hAnsi="Avenir Next"/>
          <w:color w:val="000000" w:themeColor="text1"/>
          <w:sz w:val="20"/>
          <w:szCs w:val="20"/>
          <w:lang w:val="es-ES"/>
        </w:rPr>
        <w:t xml:space="preserve">y de este informe, se usaron los datos de Mercado Público </w:t>
      </w:r>
      <w:r w:rsidR="004148F8">
        <w:rPr>
          <w:rFonts w:ascii="Avenir Next" w:hAnsi="Avenir Next"/>
          <w:color w:val="000000" w:themeColor="text1"/>
          <w:sz w:val="20"/>
          <w:szCs w:val="20"/>
          <w:lang w:val="es-ES"/>
        </w:rPr>
        <w:t xml:space="preserve">a la fecha de corte </w:t>
      </w:r>
      <w:r w:rsidR="004148F8" w:rsidRPr="005C0485">
        <w:rPr>
          <w:rFonts w:ascii="Avenir Next" w:hAnsi="Avenir Next"/>
          <w:color w:val="000000" w:themeColor="text1"/>
          <w:sz w:val="20"/>
          <w:szCs w:val="20"/>
          <w:lang w:val="es-ES"/>
        </w:rPr>
        <w:t xml:space="preserve">señalada </w:t>
      </w:r>
      <w:r w:rsidR="00E73C8A" w:rsidRPr="005C0485">
        <w:rPr>
          <w:rFonts w:ascii="Avenir Next" w:hAnsi="Avenir Next"/>
          <w:color w:val="000000" w:themeColor="text1"/>
          <w:sz w:val="20"/>
          <w:szCs w:val="20"/>
          <w:lang w:val="es-ES"/>
        </w:rPr>
        <w:t>y,</w:t>
      </w:r>
      <w:r w:rsidR="00F269DB" w:rsidRPr="005C0485">
        <w:rPr>
          <w:rFonts w:ascii="Avenir Next" w:hAnsi="Avenir Next"/>
          <w:color w:val="000000" w:themeColor="text1"/>
          <w:sz w:val="20"/>
          <w:szCs w:val="20"/>
          <w:lang w:val="es-ES"/>
        </w:rPr>
        <w:t xml:space="preserve"> en consecuencia</w:t>
      </w:r>
      <w:r w:rsidR="00073225" w:rsidRPr="005C0485">
        <w:rPr>
          <w:rFonts w:ascii="Avenir Next" w:hAnsi="Avenir Next"/>
          <w:color w:val="000000" w:themeColor="text1"/>
          <w:sz w:val="20"/>
          <w:szCs w:val="20"/>
          <w:lang w:val="es-ES"/>
        </w:rPr>
        <w:t xml:space="preserve">, en el caso del Ministerio de Obras Públicas y los Servicios de Vivienda y Urbanización, la información </w:t>
      </w:r>
      <w:r w:rsidR="00F269DB" w:rsidRPr="005C0485">
        <w:rPr>
          <w:rFonts w:ascii="Avenir Next" w:hAnsi="Avenir Next"/>
          <w:color w:val="000000" w:themeColor="text1"/>
          <w:sz w:val="20"/>
          <w:szCs w:val="20"/>
          <w:lang w:val="es-ES"/>
        </w:rPr>
        <w:t>disponible en la plataforma, no refleja la totalidad de sus compras a la fecha señalada</w:t>
      </w:r>
      <w:r w:rsidR="005C0485" w:rsidRPr="005C0485">
        <w:rPr>
          <w:rFonts w:ascii="Avenir Next" w:hAnsi="Avenir Next"/>
          <w:color w:val="000000" w:themeColor="text1"/>
          <w:sz w:val="20"/>
          <w:szCs w:val="20"/>
          <w:lang w:val="es-ES"/>
        </w:rPr>
        <w:t>, ya que no tienen la obligación de informar todas sus compras vía esta plataforma</w:t>
      </w:r>
      <w:r w:rsidR="00F269DB" w:rsidRPr="005C0485">
        <w:rPr>
          <w:rFonts w:ascii="Avenir Next" w:hAnsi="Avenir Next"/>
          <w:color w:val="000000" w:themeColor="text1"/>
          <w:sz w:val="20"/>
          <w:szCs w:val="20"/>
          <w:lang w:val="es-ES"/>
        </w:rPr>
        <w:t>.</w:t>
      </w:r>
    </w:p>
    <w:p w14:paraId="10D4882B" w14:textId="4A6E1796" w:rsidR="00BE199E" w:rsidRPr="00282BBC" w:rsidRDefault="002828FC" w:rsidP="00BE199E">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Nuestro análisis distingue </w:t>
      </w:r>
      <w:r w:rsidR="005C0485">
        <w:rPr>
          <w:rFonts w:ascii="Avenir Next" w:hAnsi="Avenir Next"/>
          <w:color w:val="000000" w:themeColor="text1"/>
          <w:sz w:val="20"/>
          <w:szCs w:val="20"/>
          <w:lang w:val="es-ES"/>
        </w:rPr>
        <w:t xml:space="preserve">entre </w:t>
      </w:r>
      <w:r w:rsidR="005C0485" w:rsidRPr="00282BBC">
        <w:rPr>
          <w:rFonts w:ascii="Avenir Next" w:hAnsi="Avenir Next"/>
          <w:color w:val="000000" w:themeColor="text1"/>
          <w:sz w:val="20"/>
          <w:szCs w:val="20"/>
          <w:lang w:val="es-ES"/>
        </w:rPr>
        <w:t>riesgos</w:t>
      </w:r>
      <w:r w:rsidR="00BE199E" w:rsidRPr="00282BBC">
        <w:rPr>
          <w:rFonts w:ascii="Avenir Next" w:hAnsi="Avenir Next"/>
          <w:color w:val="000000" w:themeColor="text1"/>
          <w:sz w:val="20"/>
          <w:szCs w:val="20"/>
          <w:lang w:val="es-ES"/>
        </w:rPr>
        <w:t xml:space="preserve"> </w:t>
      </w:r>
      <w:r w:rsidR="00C85EA6" w:rsidRPr="00282BBC">
        <w:rPr>
          <w:rFonts w:ascii="Avenir Next" w:hAnsi="Avenir Next"/>
          <w:color w:val="000000" w:themeColor="text1"/>
          <w:sz w:val="20"/>
          <w:szCs w:val="20"/>
          <w:lang w:val="es-ES"/>
        </w:rPr>
        <w:t xml:space="preserve">a nivel </w:t>
      </w:r>
      <w:r w:rsidR="00BE199E"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00BE199E"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 xml:space="preserve">(ii) </w:t>
      </w:r>
      <w:r w:rsidR="00BE199E"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 xml:space="preserve">y (iii)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00BE199E"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Pr>
          <w:rFonts w:ascii="Avenir Next" w:hAnsi="Avenir Next"/>
          <w:color w:val="000000" w:themeColor="text1"/>
          <w:sz w:val="20"/>
          <w:szCs w:val="20"/>
          <w:lang w:val="es-ES"/>
        </w:rPr>
        <w:t xml:space="preserve"> según el siguiente criterio</w:t>
      </w:r>
      <w:r w:rsidR="00F269DB">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0DDAE02A"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de riesgo por competencia</w:t>
      </w:r>
      <w:r w:rsidRPr="00282BBC">
        <w:rPr>
          <w:rFonts w:ascii="Avenir Next" w:hAnsi="Avenir Next"/>
          <w:color w:val="000000" w:themeColor="text1"/>
          <w:sz w:val="20"/>
          <w:szCs w:val="20"/>
          <w:lang w:val="es-ES"/>
        </w:rPr>
        <w:t xml:space="preserve"> implica</w:t>
      </w:r>
      <w:r w:rsidR="001007F4" w:rsidRPr="00282BBC">
        <w:rPr>
          <w:rFonts w:ascii="Avenir Next" w:hAnsi="Avenir Next"/>
          <w:color w:val="000000" w:themeColor="text1"/>
          <w:sz w:val="20"/>
          <w:szCs w:val="20"/>
          <w:lang w:val="es-ES"/>
        </w:rPr>
        <w:t xml:space="preserve"> que</w:t>
      </w:r>
      <w:r w:rsidR="00F269DB">
        <w:rPr>
          <w:rFonts w:ascii="Avenir Next" w:hAnsi="Avenir Next"/>
          <w:color w:val="000000" w:themeColor="text1"/>
          <w:sz w:val="20"/>
          <w:szCs w:val="20"/>
          <w:lang w:val="es-ES"/>
        </w:rPr>
        <w:t>,</w:t>
      </w:r>
      <w:r w:rsidR="001007F4" w:rsidRPr="00282BBC">
        <w:rPr>
          <w:rFonts w:ascii="Avenir Next" w:hAnsi="Avenir Next"/>
          <w:color w:val="000000" w:themeColor="text1"/>
          <w:sz w:val="20"/>
          <w:szCs w:val="20"/>
          <w:lang w:val="es-ES"/>
        </w:rPr>
        <w:t xml:space="preserve"> </w:t>
      </w:r>
      <w:r w:rsidR="00770CCE" w:rsidRPr="00282BBC">
        <w:rPr>
          <w:rFonts w:ascii="Avenir Next" w:hAnsi="Avenir Next"/>
          <w:color w:val="000000" w:themeColor="text1"/>
          <w:sz w:val="20"/>
          <w:szCs w:val="20"/>
          <w:lang w:val="es-ES"/>
        </w:rPr>
        <w:t>existen elevados porcentajes de licitaciones con oferentes únicos o muy pocos oferentes,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3D64B85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a nivel de riesgo por transparencia</w:t>
      </w:r>
      <w:r w:rsidRPr="00282BBC">
        <w:rPr>
          <w:rFonts w:ascii="Avenir Next" w:hAnsi="Avenir Next"/>
          <w:color w:val="000000" w:themeColor="text1"/>
          <w:sz w:val="20"/>
          <w:szCs w:val="20"/>
          <w:lang w:val="es-ES"/>
        </w:rPr>
        <w:t xml:space="preserve"> 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7C8BC2A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 xml:space="preserve">Un alto % a nivel de riesgo </w:t>
      </w:r>
      <w:r w:rsidR="00D76574" w:rsidRPr="00C83ABA">
        <w:rPr>
          <w:rFonts w:ascii="Avenir Next" w:hAnsi="Avenir Next"/>
          <w:i/>
          <w:iCs/>
          <w:color w:val="000000" w:themeColor="text1"/>
          <w:sz w:val="20"/>
          <w:szCs w:val="20"/>
          <w:u w:val="single"/>
          <w:lang w:val="es-ES"/>
        </w:rPr>
        <w:t>en otros</w:t>
      </w:r>
      <w:r w:rsidR="00D76574">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 se identifican</w:t>
      </w:r>
      <w:r w:rsidR="00770CCE" w:rsidRPr="00282BBC">
        <w:rPr>
          <w:rFonts w:ascii="Avenir Next" w:hAnsi="Avenir Next"/>
          <w:color w:val="000000" w:themeColor="text1"/>
          <w:sz w:val="20"/>
          <w:szCs w:val="20"/>
          <w:lang w:val="es-ES"/>
        </w:rPr>
        <w:t xml:space="preserve"> incumplimientos de publicación de información, no se realiza o publica el contrato correspondiente, </w:t>
      </w:r>
      <w:r w:rsidR="002828FC">
        <w:rPr>
          <w:rFonts w:ascii="Avenir Next" w:hAnsi="Avenir Next"/>
          <w:color w:val="000000" w:themeColor="text1"/>
          <w:sz w:val="20"/>
          <w:szCs w:val="20"/>
          <w:lang w:val="es-ES"/>
        </w:rPr>
        <w:t xml:space="preserve">no se emite la orden de compra, </w:t>
      </w:r>
      <w:r w:rsidR="00AC52CF" w:rsidRPr="00282BBC">
        <w:rPr>
          <w:rFonts w:ascii="Avenir Next" w:hAnsi="Avenir Next"/>
          <w:color w:val="000000" w:themeColor="text1"/>
          <w:sz w:val="20"/>
          <w:szCs w:val="20"/>
          <w:lang w:val="es-ES"/>
        </w:rPr>
        <w:t>entre otr</w:t>
      </w:r>
      <w:r w:rsidR="002828FC">
        <w:rPr>
          <w:rFonts w:ascii="Avenir Next" w:hAnsi="Avenir Next"/>
          <w:color w:val="000000" w:themeColor="text1"/>
          <w:sz w:val="20"/>
          <w:szCs w:val="20"/>
          <w:lang w:val="es-ES"/>
        </w:rPr>
        <w:t>a</w:t>
      </w:r>
      <w:r w:rsidR="00AC52CF" w:rsidRPr="00282BBC">
        <w:rPr>
          <w:rFonts w:ascii="Avenir Next" w:hAnsi="Avenir Next"/>
          <w:color w:val="000000" w:themeColor="text1"/>
          <w:sz w:val="20"/>
          <w:szCs w:val="20"/>
          <w:lang w:val="es-ES"/>
        </w:rPr>
        <w:t>s</w:t>
      </w:r>
      <w:r w:rsidR="002828FC">
        <w:rPr>
          <w:rFonts w:ascii="Avenir Next" w:hAnsi="Avenir Next"/>
          <w:color w:val="000000" w:themeColor="text1"/>
          <w:sz w:val="20"/>
          <w:szCs w:val="20"/>
          <w:lang w:val="es-ES"/>
        </w:rPr>
        <w:t xml:space="preserve"> anomalías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3BC540D9" w:rsidR="00BE199E" w:rsidRPr="00282BBC" w:rsidRDefault="00C51BEB" w:rsidP="00D12DB2">
      <w:pPr>
        <w:pStyle w:val="Ttulo2"/>
        <w:rPr>
          <w:rFonts w:ascii="Avenir Next" w:hAnsi="Avenir Next"/>
          <w:color w:val="000000" w:themeColor="text1"/>
          <w:lang w:val="es-ES"/>
        </w:rPr>
      </w:pPr>
      <w:bookmarkStart w:id="3" w:name="_Toc84503142"/>
      <w:r>
        <w:rPr>
          <w:rFonts w:ascii="Avenir Next" w:hAnsi="Avenir Next"/>
          <w:color w:val="000000" w:themeColor="text1"/>
          <w:lang w:val="es-ES"/>
        </w:rPr>
        <w:t>3</w:t>
      </w:r>
      <w:r w:rsidR="00192BA5" w:rsidRPr="00282BBC">
        <w:rPr>
          <w:rFonts w:ascii="Avenir Next" w:hAnsi="Avenir Next"/>
          <w:color w:val="000000" w:themeColor="text1"/>
          <w:lang w:val="es-ES"/>
        </w:rPr>
        <w:t>.</w:t>
      </w:r>
      <w:r w:rsidR="00547D86">
        <w:rPr>
          <w:rFonts w:ascii="Avenir Next" w:hAnsi="Avenir Next"/>
          <w:color w:val="000000" w:themeColor="text1"/>
          <w:lang w:val="es-ES"/>
        </w:rPr>
        <w:t>1</w:t>
      </w:r>
      <w:r w:rsidR="00192BA5"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3"/>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586CDF"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8203A0">
        <w:rPr>
          <w:rFonts w:ascii="Avenir Next" w:hAnsi="Avenir Next"/>
          <w:color w:val="000000" w:themeColor="text1"/>
          <w:sz w:val="20"/>
          <w:szCs w:val="20"/>
          <w:lang w:val="es-ES"/>
        </w:rPr>
        <w:t>continuación,</w:t>
      </w:r>
      <w:r w:rsidR="002828FC">
        <w:rPr>
          <w:rFonts w:ascii="Avenir Next" w:hAnsi="Avenir Next"/>
          <w:color w:val="000000" w:themeColor="text1"/>
          <w:sz w:val="20"/>
          <w:szCs w:val="20"/>
          <w:lang w:val="es-ES"/>
        </w:rPr>
        <w:t xml:space="preserve"> y en base </w:t>
      </w:r>
      <w:r w:rsidR="00CB6A2E" w:rsidRPr="00282BBC">
        <w:rPr>
          <w:rFonts w:ascii="Avenir Next" w:hAnsi="Avenir Next"/>
          <w:color w:val="000000" w:themeColor="text1"/>
          <w:sz w:val="20"/>
          <w:szCs w:val="20"/>
          <w:lang w:val="es-ES"/>
        </w:rPr>
        <w:t>alguna</w:t>
      </w:r>
      <w:r w:rsidR="00F269DB">
        <w:rPr>
          <w:rFonts w:ascii="Avenir Next" w:hAnsi="Avenir Next"/>
          <w:color w:val="000000" w:themeColor="text1"/>
          <w:sz w:val="20"/>
          <w:szCs w:val="20"/>
          <w:lang w:val="es-ES"/>
        </w:rPr>
        <w:t>s R</w:t>
      </w:r>
      <w:r w:rsidR="00CB6A2E" w:rsidRPr="00282BBC">
        <w:rPr>
          <w:rFonts w:ascii="Avenir Next" w:hAnsi="Avenir Next"/>
          <w:color w:val="000000" w:themeColor="text1"/>
          <w:sz w:val="20"/>
          <w:szCs w:val="20"/>
          <w:lang w:val="es-ES"/>
        </w:rPr>
        <w:t>ed</w:t>
      </w:r>
      <w:r w:rsidRPr="00282BBC">
        <w:rPr>
          <w:rFonts w:ascii="Avenir Next" w:hAnsi="Avenir Next"/>
          <w:color w:val="000000" w:themeColor="text1"/>
          <w:sz w:val="20"/>
          <w:szCs w:val="20"/>
          <w:lang w:val="es-ES"/>
        </w:rPr>
        <w:t xml:space="preserve"> </w:t>
      </w:r>
      <w:r w:rsidR="00F269DB">
        <w:rPr>
          <w:rFonts w:ascii="Avenir Next" w:hAnsi="Avenir Next"/>
          <w:color w:val="000000" w:themeColor="text1"/>
          <w:sz w:val="20"/>
          <w:szCs w:val="20"/>
          <w:lang w:val="es-ES"/>
        </w:rPr>
        <w:t>F</w:t>
      </w:r>
      <w:r w:rsidRPr="00282BBC">
        <w:rPr>
          <w:rFonts w:ascii="Avenir Next" w:hAnsi="Avenir Next"/>
          <w:color w:val="000000" w:themeColor="text1"/>
          <w:sz w:val="20"/>
          <w:szCs w:val="20"/>
          <w:lang w:val="es-ES"/>
        </w:rPr>
        <w:t>lag</w:t>
      </w:r>
      <w:r w:rsidR="00F269DB">
        <w:rPr>
          <w:rFonts w:ascii="Avenir Next" w:hAnsi="Avenir Next"/>
          <w:color w:val="000000" w:themeColor="text1"/>
          <w:sz w:val="20"/>
          <w:szCs w:val="20"/>
          <w:lang w:val="es-ES"/>
        </w:rPr>
        <w:t>s</w:t>
      </w:r>
      <w:r w:rsidR="00EA0FD7">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claves</w:t>
      </w:r>
      <w:r w:rsidR="00EA0FD7">
        <w:rPr>
          <w:rFonts w:ascii="Avenir Next" w:hAnsi="Avenir Next"/>
          <w:color w:val="000000" w:themeColor="text1"/>
          <w:sz w:val="20"/>
          <w:szCs w:val="20"/>
          <w:lang w:val="es-ES"/>
        </w:rPr>
        <w:t>,</w:t>
      </w:r>
      <w:r w:rsidR="00F07C9C" w:rsidRPr="00282BBC">
        <w:rPr>
          <w:rFonts w:ascii="Avenir Next" w:hAnsi="Avenir Next"/>
          <w:color w:val="000000" w:themeColor="text1"/>
          <w:sz w:val="20"/>
          <w:szCs w:val="20"/>
          <w:lang w:val="es-ES"/>
        </w:rPr>
        <w:t xml:space="preserve"> </w:t>
      </w:r>
      <w:r w:rsidR="00EA0FD7">
        <w:rPr>
          <w:rFonts w:ascii="Avenir Next" w:hAnsi="Avenir Next"/>
          <w:color w:val="000000" w:themeColor="text1"/>
          <w:sz w:val="20"/>
          <w:szCs w:val="20"/>
          <w:lang w:val="es-ES"/>
        </w:rPr>
        <w:t>seleccionadas</w:t>
      </w:r>
      <w:r w:rsidR="00F07C9C" w:rsidRPr="00282BBC">
        <w:rPr>
          <w:rFonts w:ascii="Avenir Next" w:hAnsi="Avenir Next"/>
          <w:color w:val="000000" w:themeColor="text1"/>
          <w:sz w:val="20"/>
          <w:szCs w:val="20"/>
          <w:lang w:val="es-ES"/>
        </w:rPr>
        <w:t xml:space="preserve"> por Espacio Público</w:t>
      </w:r>
      <w:r w:rsidR="002828FC">
        <w:rPr>
          <w:rFonts w:ascii="Avenir Next" w:hAnsi="Avenir Next"/>
          <w:color w:val="000000" w:themeColor="text1"/>
          <w:sz w:val="20"/>
          <w:szCs w:val="20"/>
          <w:lang w:val="es-ES"/>
        </w:rPr>
        <w:t xml:space="preserve">, se exhibe la situación observada en las municipalidades: </w:t>
      </w:r>
      <w:r w:rsidR="00F07C9C" w:rsidRPr="00282BBC">
        <w:rPr>
          <w:rFonts w:ascii="Avenir Next" w:hAnsi="Avenir Next"/>
          <w:color w:val="000000" w:themeColor="text1"/>
          <w:sz w:val="20"/>
          <w:szCs w:val="20"/>
          <w:lang w:val="es-ES"/>
        </w:rPr>
        <w:t xml:space="preserve"> </w:t>
      </w: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52DDA667" w:rsidR="00BE199E" w:rsidRPr="00C83ABA" w:rsidRDefault="00073225" w:rsidP="00C83ABA">
      <w:pPr>
        <w:pStyle w:val="Ttulo2"/>
        <w:numPr>
          <w:ilvl w:val="0"/>
          <w:numId w:val="8"/>
        </w:numPr>
        <w:spacing w:after="60"/>
        <w:ind w:left="357" w:hanging="357"/>
        <w:rPr>
          <w:rFonts w:ascii="Avenir Next" w:hAnsi="Avenir Next"/>
          <w:color w:val="000000" w:themeColor="text1"/>
          <w:lang w:val="es-ES"/>
        </w:rPr>
      </w:pPr>
      <w:bookmarkStart w:id="4" w:name="_Toc84503143"/>
      <w:r w:rsidRPr="00C83ABA">
        <w:rPr>
          <w:rFonts w:ascii="Avenir Next" w:hAnsi="Avenir Next"/>
          <w:color w:val="000000" w:themeColor="text1"/>
          <w:lang w:val="es-ES"/>
        </w:rPr>
        <w:t xml:space="preserve">Competencia - </w:t>
      </w:r>
      <w:r w:rsidR="00BE199E" w:rsidRPr="00C83ABA">
        <w:rPr>
          <w:rFonts w:ascii="Avenir Next" w:hAnsi="Avenir Next"/>
          <w:color w:val="000000" w:themeColor="text1"/>
          <w:lang w:val="es-ES"/>
        </w:rPr>
        <w:t xml:space="preserve">Porcentaje de Licitaciones con un </w:t>
      </w:r>
      <w:r w:rsidR="00EA0FD7">
        <w:rPr>
          <w:rFonts w:ascii="Avenir Next" w:hAnsi="Avenir Next"/>
          <w:color w:val="000000" w:themeColor="text1"/>
          <w:lang w:val="es-ES"/>
        </w:rPr>
        <w:t>Ú</w:t>
      </w:r>
      <w:r w:rsidR="00BE199E" w:rsidRPr="00C83ABA">
        <w:rPr>
          <w:rFonts w:ascii="Avenir Next" w:hAnsi="Avenir Next"/>
          <w:color w:val="000000" w:themeColor="text1"/>
          <w:lang w:val="es-ES"/>
        </w:rPr>
        <w:t xml:space="preserve">nico </w:t>
      </w:r>
      <w:r w:rsidR="00EA0FD7">
        <w:rPr>
          <w:rFonts w:ascii="Avenir Next" w:hAnsi="Avenir Next"/>
          <w:color w:val="000000" w:themeColor="text1"/>
          <w:lang w:val="es-ES"/>
        </w:rPr>
        <w:t>O</w:t>
      </w:r>
      <w:r w:rsidR="00BE199E" w:rsidRPr="00C83ABA">
        <w:rPr>
          <w:rFonts w:ascii="Avenir Next" w:hAnsi="Avenir Next"/>
          <w:color w:val="000000" w:themeColor="text1"/>
          <w:lang w:val="es-ES"/>
        </w:rPr>
        <w:t>ferente.</w:t>
      </w:r>
      <w:bookmarkEnd w:id="4"/>
    </w:p>
    <w:p w14:paraId="60F2768B" w14:textId="4A3C6B49" w:rsidR="004653EA" w:rsidRDefault="00BE199E" w:rsidP="00EA0FD7">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Este indicador de competencia muestra</w:t>
      </w:r>
      <w:r w:rsidR="00EA0FD7">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w:t>
      </w:r>
      <w:r w:rsidR="002828FC">
        <w:rPr>
          <w:rFonts w:ascii="Avenir Next" w:hAnsi="Avenir Next"/>
          <w:color w:val="000000" w:themeColor="text1"/>
          <w:sz w:val="20"/>
          <w:szCs w:val="20"/>
          <w:lang w:val="es-ES"/>
        </w:rPr>
        <w:t xml:space="preserve"> con el riesgo natural de que la falta de competencia impida al organismo acceder a las mejores condiciones de precio y calidad.</w:t>
      </w:r>
    </w:p>
    <w:p w14:paraId="31289FA0" w14:textId="18DF4F9F" w:rsidR="00377B5A" w:rsidRDefault="00377B5A" w:rsidP="00EA0FD7">
      <w:pPr>
        <w:jc w:val="both"/>
        <w:rPr>
          <w:rFonts w:ascii="Avenir Next" w:hAnsi="Avenir Next"/>
          <w:color w:val="000000" w:themeColor="text1"/>
          <w:sz w:val="20"/>
          <w:szCs w:val="20"/>
          <w:lang w:val="es-ES"/>
        </w:rPr>
      </w:pPr>
    </w:p>
    <w:p w14:paraId="49FE44E1" w14:textId="2A320865" w:rsidR="00377B5A" w:rsidRDefault="00377B5A" w:rsidP="00EA0FD7">
      <w:pPr>
        <w:jc w:val="both"/>
        <w:rPr>
          <w:rFonts w:ascii="Avenir Next" w:hAnsi="Avenir Next"/>
          <w:color w:val="000000" w:themeColor="text1"/>
          <w:sz w:val="20"/>
          <w:szCs w:val="20"/>
          <w:lang w:val="es-ES"/>
        </w:rPr>
      </w:pPr>
    </w:p>
    <w:p w14:paraId="5C78D3E5" w14:textId="5D2093C6" w:rsidR="00377B5A" w:rsidRDefault="00377B5A" w:rsidP="00EA0FD7">
      <w:pPr>
        <w:jc w:val="both"/>
        <w:rPr>
          <w:rFonts w:ascii="Avenir Next" w:hAnsi="Avenir Next"/>
          <w:color w:val="000000" w:themeColor="text1"/>
          <w:sz w:val="20"/>
          <w:szCs w:val="20"/>
          <w:lang w:val="es-ES"/>
        </w:rPr>
      </w:pPr>
    </w:p>
    <w:p w14:paraId="45D1E859" w14:textId="320A1DBE" w:rsidR="00377B5A" w:rsidRDefault="00377B5A" w:rsidP="00EA0FD7">
      <w:pPr>
        <w:jc w:val="both"/>
        <w:rPr>
          <w:rFonts w:ascii="Avenir Next" w:hAnsi="Avenir Next"/>
          <w:color w:val="000000" w:themeColor="text1"/>
          <w:sz w:val="20"/>
          <w:szCs w:val="20"/>
          <w:lang w:val="es-ES"/>
        </w:rPr>
      </w:pPr>
    </w:p>
    <w:p w14:paraId="4923DF3C" w14:textId="77777777" w:rsidR="00377B5A" w:rsidRPr="00DB0B5B" w:rsidRDefault="00377B5A" w:rsidP="00EA0FD7">
      <w:pPr>
        <w:jc w:val="both"/>
        <w:rPr>
          <w:rFonts w:ascii="Avenir Next" w:hAnsi="Avenir Next"/>
          <w:color w:val="000000" w:themeColor="text1"/>
          <w:sz w:val="20"/>
          <w:szCs w:val="20"/>
          <w:lang w:val="es-ES"/>
        </w:rPr>
      </w:pPr>
    </w:p>
    <w:p w14:paraId="046BCB59" w14:textId="43CBEFFF" w:rsidR="004653EA" w:rsidRDefault="004653EA" w:rsidP="00BE199E">
      <w:pPr>
        <w:jc w:val="both"/>
        <w:rPr>
          <w:rFonts w:ascii="Avenir Next" w:hAnsi="Avenir Next"/>
          <w:color w:val="000000" w:themeColor="text1"/>
          <w:lang w:val="es-ES"/>
        </w:rPr>
      </w:pPr>
    </w:p>
    <w:p w14:paraId="01C2E654" w14:textId="2D0ACC14" w:rsidR="0081173D" w:rsidRDefault="0081173D" w:rsidP="00BE199E">
      <w:pPr>
        <w:jc w:val="both"/>
        <w:rPr>
          <w:rFonts w:ascii="Avenir Next" w:hAnsi="Avenir Next"/>
          <w:color w:val="000000" w:themeColor="text1"/>
          <w:lang w:val="es-ES"/>
        </w:rPr>
      </w:pPr>
    </w:p>
    <w:p w14:paraId="1243F183" w14:textId="5394FBB1" w:rsidR="0081173D" w:rsidRDefault="0081173D" w:rsidP="00BE199E">
      <w:pPr>
        <w:jc w:val="both"/>
        <w:rPr>
          <w:rFonts w:ascii="Avenir Next" w:hAnsi="Avenir Next"/>
          <w:color w:val="000000" w:themeColor="text1"/>
          <w:lang w:val="es-ES"/>
        </w:rPr>
      </w:pPr>
    </w:p>
    <w:p w14:paraId="15888B9F" w14:textId="32610FD4" w:rsidR="0081173D" w:rsidRDefault="0081173D" w:rsidP="00BE199E">
      <w:pPr>
        <w:jc w:val="both"/>
        <w:rPr>
          <w:rFonts w:ascii="Avenir Next" w:hAnsi="Avenir Next"/>
          <w:color w:val="000000" w:themeColor="text1"/>
          <w:lang w:val="es-ES"/>
        </w:rPr>
      </w:pPr>
    </w:p>
    <w:p w14:paraId="50A91347" w14:textId="01556DC7" w:rsidR="0081173D" w:rsidRDefault="0081173D" w:rsidP="00BE199E">
      <w:pPr>
        <w:jc w:val="both"/>
        <w:rPr>
          <w:rFonts w:ascii="Avenir Next" w:hAnsi="Avenir Next"/>
          <w:color w:val="000000" w:themeColor="text1"/>
          <w:lang w:val="es-ES"/>
        </w:rPr>
      </w:pPr>
    </w:p>
    <w:p w14:paraId="45611CBF" w14:textId="3998A0BB" w:rsidR="0081173D" w:rsidRDefault="0081173D" w:rsidP="00BE199E">
      <w:pPr>
        <w:jc w:val="both"/>
        <w:rPr>
          <w:rFonts w:ascii="Avenir Next" w:hAnsi="Avenir Next"/>
          <w:color w:val="000000" w:themeColor="text1"/>
          <w:lang w:val="es-ES"/>
        </w:rPr>
      </w:pPr>
    </w:p>
    <w:p w14:paraId="403E42D7" w14:textId="77777777" w:rsidR="0081173D" w:rsidRPr="00282BBC" w:rsidRDefault="0081173D" w:rsidP="00BE199E">
      <w:pPr>
        <w:jc w:val="both"/>
        <w:rPr>
          <w:rFonts w:ascii="Avenir Next" w:hAnsi="Avenir Next"/>
          <w:color w:val="000000" w:themeColor="text1"/>
          <w:lang w:val="es-ES"/>
        </w:rPr>
      </w:pPr>
    </w:p>
    <w:p w14:paraId="20DB2FEE" w14:textId="1E0166DD" w:rsidR="00BE199E" w:rsidRPr="00282BBC" w:rsidRDefault="00BE199E" w:rsidP="008E1CCB">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 xml:space="preserve">Tabla </w:t>
      </w:r>
      <w:r w:rsidR="00C83ABA">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xml:space="preserve">: Ranking de los </w:t>
      </w:r>
      <w:r w:rsidR="008B6C1E" w:rsidRPr="00282BBC">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organismos </w:t>
      </w:r>
      <w:r w:rsidR="00F97CFA">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con la mayor fracción de licitaciones con un único oferente</w:t>
      </w:r>
      <w:r w:rsidR="00784FE2" w:rsidRPr="00282BBC">
        <w:rPr>
          <w:rFonts w:ascii="Avenir Next" w:hAnsi="Avenir Next"/>
          <w:i w:val="0"/>
          <w:iCs w:val="0"/>
          <w:color w:val="000000" w:themeColor="text1"/>
          <w:sz w:val="16"/>
          <w:szCs w:val="16"/>
        </w:rPr>
        <w:t xml:space="preserve"> en 202</w:t>
      </w:r>
      <w:r w:rsidR="00D019CB">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30-0</w:t>
      </w:r>
      <w:r w:rsidR="00442602">
        <w:rPr>
          <w:rFonts w:ascii="Avenir Next" w:hAnsi="Avenir Next"/>
          <w:i w:val="0"/>
          <w:iCs w:val="0"/>
          <w:color w:val="000000" w:themeColor="text1"/>
          <w:sz w:val="16"/>
          <w:szCs w:val="16"/>
        </w:rPr>
        <w:t>9</w:t>
      </w:r>
      <w:r w:rsidR="00C41C72">
        <w:rPr>
          <w:rFonts w:ascii="Avenir Next" w:hAnsi="Avenir Next"/>
          <w:i w:val="0"/>
          <w:iCs w:val="0"/>
          <w:color w:val="000000" w:themeColor="text1"/>
          <w:sz w:val="16"/>
          <w:szCs w:val="16"/>
        </w:rPr>
        <w:t>-2021</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w:t>
      </w:r>
      <w:r w:rsidR="00D019CB">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300516" w:rsidRPr="00282BBC">
        <w:rPr>
          <w:rFonts w:ascii="Avenir Next" w:hAnsi="Avenir Next"/>
          <w:i w:val="0"/>
          <w:iCs w:val="0"/>
          <w:color w:val="000000" w:themeColor="text1"/>
          <w:sz w:val="16"/>
          <w:szCs w:val="16"/>
        </w:rPr>
        <w:t xml:space="preserve"> Montos en pesos.</w:t>
      </w:r>
    </w:p>
    <w:p w14:paraId="0E4B1945" w14:textId="340AAE30" w:rsidR="008B6C1E" w:rsidRPr="00282BBC" w:rsidRDefault="00442602" w:rsidP="008864C4">
      <w:pPr>
        <w:jc w:val="center"/>
        <w:rPr>
          <w:color w:val="000000" w:themeColor="text1"/>
        </w:rPr>
      </w:pPr>
      <w:r w:rsidRPr="00442602">
        <w:rPr>
          <w:noProof/>
          <w:color w:val="000000" w:themeColor="text1"/>
        </w:rPr>
        <w:drawing>
          <wp:inline distT="0" distB="0" distL="0" distR="0" wp14:anchorId="074EC100" wp14:editId="4C8F1848">
            <wp:extent cx="4116431" cy="213995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4"/>
                    <a:stretch>
                      <a:fillRect/>
                    </a:stretch>
                  </pic:blipFill>
                  <pic:spPr>
                    <a:xfrm>
                      <a:off x="0" y="0"/>
                      <a:ext cx="4125869" cy="2144856"/>
                    </a:xfrm>
                    <a:prstGeom prst="rect">
                      <a:avLst/>
                    </a:prstGeom>
                  </pic:spPr>
                </pic:pic>
              </a:graphicData>
            </a:graphic>
          </wp:inline>
        </w:drawing>
      </w:r>
      <w:r w:rsidR="0043494D" w:rsidRPr="0043494D">
        <w:rPr>
          <w:noProof/>
          <w:color w:val="000000" w:themeColor="text1"/>
        </w:rPr>
        <w:t xml:space="preserve"> </w:t>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07565805" w:rsidR="00B21D9F" w:rsidRDefault="00B21D9F" w:rsidP="00BE199E">
      <w:pPr>
        <w:jc w:val="both"/>
        <w:rPr>
          <w:rFonts w:ascii="Avenir Next" w:hAnsi="Avenir Next"/>
          <w:color w:val="000000" w:themeColor="text1"/>
          <w:lang w:val="es-ES"/>
        </w:rPr>
      </w:pPr>
    </w:p>
    <w:p w14:paraId="167B7017" w14:textId="77777777" w:rsidR="00377B5A" w:rsidRPr="00282BBC" w:rsidRDefault="00377B5A" w:rsidP="00BE199E">
      <w:pPr>
        <w:jc w:val="both"/>
        <w:rPr>
          <w:rFonts w:ascii="Avenir Next" w:hAnsi="Avenir Next"/>
          <w:color w:val="000000" w:themeColor="text1"/>
          <w:lang w:val="es-ES"/>
        </w:rPr>
      </w:pPr>
    </w:p>
    <w:p w14:paraId="4D2BF37F" w14:textId="629DE36E" w:rsidR="00B21D9F" w:rsidRPr="00C83ABA" w:rsidRDefault="002C26E9" w:rsidP="00377B5A">
      <w:pPr>
        <w:pStyle w:val="Ttulo2"/>
        <w:numPr>
          <w:ilvl w:val="0"/>
          <w:numId w:val="8"/>
        </w:numPr>
        <w:spacing w:after="60"/>
        <w:ind w:left="357" w:hanging="357"/>
        <w:rPr>
          <w:rFonts w:ascii="Avenir Next" w:hAnsi="Avenir Next"/>
          <w:color w:val="000000" w:themeColor="text1"/>
          <w:lang w:val="es-ES"/>
        </w:rPr>
      </w:pPr>
      <w:bookmarkStart w:id="5" w:name="_Toc84503144"/>
      <w:r w:rsidRPr="00377B5A">
        <w:rPr>
          <w:rFonts w:ascii="Avenir Next" w:hAnsi="Avenir Next"/>
          <w:color w:val="000000" w:themeColor="text1"/>
          <w:lang w:val="es-ES"/>
        </w:rPr>
        <w:t xml:space="preserve">Competencia - </w:t>
      </w:r>
      <w:r w:rsidR="00B21D9F" w:rsidRPr="00377B5A">
        <w:rPr>
          <w:rFonts w:ascii="Avenir Next" w:hAnsi="Avenir Next"/>
          <w:color w:val="000000" w:themeColor="text1"/>
          <w:lang w:val="es-ES"/>
        </w:rPr>
        <w:t xml:space="preserve">Promedio de </w:t>
      </w:r>
      <w:r w:rsidR="00377B5A">
        <w:rPr>
          <w:rFonts w:ascii="Avenir Next" w:hAnsi="Avenir Next"/>
          <w:color w:val="000000" w:themeColor="text1"/>
          <w:lang w:val="es-ES"/>
        </w:rPr>
        <w:t>P</w:t>
      </w:r>
      <w:r w:rsidR="00B21D9F" w:rsidRPr="00C83ABA">
        <w:rPr>
          <w:rFonts w:ascii="Avenir Next" w:hAnsi="Avenir Next"/>
          <w:color w:val="000000" w:themeColor="text1"/>
          <w:lang w:val="es-ES"/>
        </w:rPr>
        <w:t xml:space="preserve">articipantes por </w:t>
      </w:r>
      <w:r w:rsidR="00377B5A">
        <w:rPr>
          <w:rFonts w:ascii="Avenir Next" w:hAnsi="Avenir Next"/>
          <w:color w:val="000000" w:themeColor="text1"/>
          <w:lang w:val="es-ES"/>
        </w:rPr>
        <w:t>P</w:t>
      </w:r>
      <w:r w:rsidR="00B21D9F" w:rsidRPr="00C83ABA">
        <w:rPr>
          <w:rFonts w:ascii="Avenir Next" w:hAnsi="Avenir Next"/>
          <w:color w:val="000000" w:themeColor="text1"/>
          <w:lang w:val="es-ES"/>
        </w:rPr>
        <w:t>rocedimiento</w:t>
      </w:r>
      <w:bookmarkEnd w:id="5"/>
    </w:p>
    <w:p w14:paraId="55E599A1" w14:textId="5E2ACF7F"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tuvieron una mayor oferta. Mientras menor es el n</w:t>
      </w:r>
      <w:r w:rsidR="00377B5A">
        <w:rPr>
          <w:rFonts w:ascii="Avenir Next" w:hAnsi="Avenir Next"/>
          <w:color w:val="000000" w:themeColor="text1"/>
          <w:sz w:val="20"/>
          <w:szCs w:val="20"/>
          <w:lang w:val="es-ES"/>
        </w:rPr>
        <w:t>ú</w:t>
      </w:r>
      <w:r w:rsidRPr="00282BBC">
        <w:rPr>
          <w:rFonts w:ascii="Avenir Next" w:hAnsi="Avenir Next"/>
          <w:color w:val="000000" w:themeColor="text1"/>
          <w:sz w:val="20"/>
          <w:szCs w:val="20"/>
          <w:lang w:val="es-ES"/>
        </w:rPr>
        <w:t>mero,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588CD43C"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2: Ranking de los 5 organismos </w:t>
      </w:r>
      <w:r w:rsidR="00F97CFA">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con el menor número de oferentes promedio</w:t>
      </w:r>
      <w:r w:rsidR="00784FE2" w:rsidRPr="00282BBC">
        <w:rPr>
          <w:rFonts w:ascii="Avenir Next" w:hAnsi="Avenir Next"/>
          <w:i w:val="0"/>
          <w:iCs w:val="0"/>
          <w:color w:val="000000" w:themeColor="text1"/>
          <w:sz w:val="16"/>
          <w:szCs w:val="16"/>
        </w:rPr>
        <w:t xml:space="preserve"> en 202</w:t>
      </w:r>
      <w:r w:rsidR="00B113D5">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30-0</w:t>
      </w:r>
      <w:r w:rsidR="00442602">
        <w:rPr>
          <w:rFonts w:ascii="Avenir Next" w:hAnsi="Avenir Next"/>
          <w:i w:val="0"/>
          <w:iCs w:val="0"/>
          <w:color w:val="000000" w:themeColor="text1"/>
          <w:sz w:val="16"/>
          <w:szCs w:val="16"/>
        </w:rPr>
        <w:t>9</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B113D5">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5C4E41E8" w14:textId="5DDE9477" w:rsidR="00B21D9F" w:rsidRPr="00282BBC" w:rsidRDefault="00442602" w:rsidP="0043494D">
      <w:pPr>
        <w:jc w:val="center"/>
        <w:rPr>
          <w:rFonts w:ascii="Avenir Next" w:hAnsi="Avenir Next"/>
          <w:color w:val="000000" w:themeColor="text1"/>
          <w:sz w:val="20"/>
          <w:szCs w:val="20"/>
        </w:rPr>
      </w:pPr>
      <w:r w:rsidRPr="00442602">
        <w:rPr>
          <w:rFonts w:ascii="Avenir Next" w:hAnsi="Avenir Next"/>
          <w:noProof/>
          <w:color w:val="000000" w:themeColor="text1"/>
          <w:sz w:val="20"/>
          <w:szCs w:val="20"/>
        </w:rPr>
        <w:drawing>
          <wp:inline distT="0" distB="0" distL="0" distR="0" wp14:anchorId="10E6D983" wp14:editId="6F266E33">
            <wp:extent cx="4241800" cy="2032689"/>
            <wp:effectExtent l="0" t="0" r="6350" b="5715"/>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6"/>
                    <a:stretch>
                      <a:fillRect/>
                    </a:stretch>
                  </pic:blipFill>
                  <pic:spPr>
                    <a:xfrm>
                      <a:off x="0" y="0"/>
                      <a:ext cx="4279514" cy="2050761"/>
                    </a:xfrm>
                    <a:prstGeom prst="rect">
                      <a:avLst/>
                    </a:prstGeom>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AF19A82" w:rsidR="00784FE2"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6" w:name="_Toc84503145"/>
      <w:r w:rsidRPr="00C83ABA">
        <w:rPr>
          <w:rFonts w:ascii="Avenir Next" w:hAnsi="Avenir Next"/>
          <w:color w:val="000000" w:themeColor="text1"/>
          <w:lang w:val="es-ES"/>
        </w:rPr>
        <w:t xml:space="preserve">Competencia - </w:t>
      </w:r>
      <w:r w:rsidR="00D76574" w:rsidRPr="00C83ABA">
        <w:rPr>
          <w:rFonts w:ascii="Avenir Next" w:hAnsi="Avenir Next"/>
          <w:color w:val="000000" w:themeColor="text1"/>
          <w:lang w:val="es-ES"/>
        </w:rPr>
        <w:t xml:space="preserve">Porcentaje de </w:t>
      </w:r>
      <w:r w:rsidR="00377B5A">
        <w:rPr>
          <w:rFonts w:ascii="Avenir Next" w:hAnsi="Avenir Next"/>
          <w:color w:val="000000" w:themeColor="text1"/>
          <w:lang w:val="es-ES"/>
        </w:rPr>
        <w:t>P</w:t>
      </w:r>
      <w:r w:rsidR="00D76574" w:rsidRPr="00C83ABA">
        <w:rPr>
          <w:rFonts w:ascii="Avenir Next" w:hAnsi="Avenir Next"/>
          <w:color w:val="000000" w:themeColor="text1"/>
          <w:lang w:val="es-ES"/>
        </w:rPr>
        <w:t xml:space="preserve">rocedimientos que </w:t>
      </w:r>
      <w:r w:rsidR="00377B5A">
        <w:rPr>
          <w:rFonts w:ascii="Avenir Next" w:hAnsi="Avenir Next"/>
          <w:color w:val="000000" w:themeColor="text1"/>
          <w:lang w:val="es-ES"/>
        </w:rPr>
        <w:t>U</w:t>
      </w:r>
      <w:r w:rsidR="00D76574" w:rsidRPr="00C83ABA">
        <w:rPr>
          <w:rFonts w:ascii="Avenir Next" w:hAnsi="Avenir Next"/>
          <w:color w:val="000000" w:themeColor="text1"/>
          <w:lang w:val="es-ES"/>
        </w:rPr>
        <w:t xml:space="preserve">tilizaron </w:t>
      </w:r>
      <w:r w:rsidR="00377B5A">
        <w:rPr>
          <w:rFonts w:ascii="Avenir Next" w:hAnsi="Avenir Next"/>
          <w:color w:val="000000" w:themeColor="text1"/>
          <w:lang w:val="es-ES"/>
        </w:rPr>
        <w:t>A</w:t>
      </w:r>
      <w:r w:rsidR="00D76574" w:rsidRPr="00C83ABA">
        <w:rPr>
          <w:rFonts w:ascii="Avenir Next" w:hAnsi="Avenir Next"/>
          <w:color w:val="000000" w:themeColor="text1"/>
          <w:lang w:val="es-ES"/>
        </w:rPr>
        <w:t xml:space="preserve">djudicación </w:t>
      </w:r>
      <w:r w:rsidR="00377B5A">
        <w:rPr>
          <w:rFonts w:ascii="Avenir Next" w:hAnsi="Avenir Next"/>
          <w:color w:val="000000" w:themeColor="text1"/>
          <w:lang w:val="es-ES"/>
        </w:rPr>
        <w:t>D</w:t>
      </w:r>
      <w:r w:rsidR="00D76574" w:rsidRPr="00C83ABA">
        <w:rPr>
          <w:rFonts w:ascii="Avenir Next" w:hAnsi="Avenir Next"/>
          <w:color w:val="000000" w:themeColor="text1"/>
          <w:lang w:val="es-ES"/>
        </w:rPr>
        <w:t xml:space="preserve">irecta o </w:t>
      </w:r>
      <w:r w:rsidR="00377B5A">
        <w:rPr>
          <w:rFonts w:ascii="Avenir Next" w:hAnsi="Avenir Next"/>
          <w:color w:val="000000" w:themeColor="text1"/>
          <w:lang w:val="es-ES"/>
        </w:rPr>
        <w:t>L</w:t>
      </w:r>
      <w:r w:rsidR="00D76574" w:rsidRPr="00C83ABA">
        <w:rPr>
          <w:rFonts w:ascii="Avenir Next" w:hAnsi="Avenir Next"/>
          <w:color w:val="000000" w:themeColor="text1"/>
          <w:lang w:val="es-ES"/>
        </w:rPr>
        <w:t xml:space="preserve">icitación </w:t>
      </w:r>
      <w:r w:rsidR="00377B5A">
        <w:rPr>
          <w:rFonts w:ascii="Avenir Next" w:hAnsi="Avenir Next"/>
          <w:color w:val="000000" w:themeColor="text1"/>
          <w:lang w:val="es-ES"/>
        </w:rPr>
        <w:t>P</w:t>
      </w:r>
      <w:r w:rsidR="00D76574" w:rsidRPr="00C83ABA">
        <w:rPr>
          <w:rFonts w:ascii="Avenir Next" w:hAnsi="Avenir Next"/>
          <w:color w:val="000000" w:themeColor="text1"/>
          <w:lang w:val="es-ES"/>
        </w:rPr>
        <w:t>rivada</w:t>
      </w:r>
      <w:bookmarkEnd w:id="6"/>
    </w:p>
    <w:p w14:paraId="612F1248" w14:textId="4E5F2D30"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r w:rsidR="00F97CFA">
        <w:rPr>
          <w:rFonts w:ascii="Avenir Next" w:hAnsi="Avenir Next"/>
          <w:color w:val="000000" w:themeColor="text1"/>
          <w:sz w:val="20"/>
          <w:szCs w:val="20"/>
          <w:lang w:val="es-ES"/>
        </w:rPr>
        <w:t>.</w:t>
      </w:r>
    </w:p>
    <w:p w14:paraId="65DD399B" w14:textId="2F96FDEF" w:rsidR="00B21D9F" w:rsidRDefault="00B21D9F" w:rsidP="00B21D9F">
      <w:pPr>
        <w:jc w:val="both"/>
        <w:rPr>
          <w:rFonts w:ascii="Avenir Next" w:hAnsi="Avenir Next"/>
          <w:color w:val="000000" w:themeColor="text1"/>
          <w:sz w:val="20"/>
          <w:szCs w:val="20"/>
          <w:lang w:val="es-ES"/>
        </w:rPr>
      </w:pPr>
    </w:p>
    <w:p w14:paraId="4E988CC5" w14:textId="4D5D3E54" w:rsidR="0081173D" w:rsidRDefault="0081173D" w:rsidP="00B21D9F">
      <w:pPr>
        <w:jc w:val="both"/>
        <w:rPr>
          <w:rFonts w:ascii="Avenir Next" w:hAnsi="Avenir Next"/>
          <w:color w:val="000000" w:themeColor="text1"/>
          <w:sz w:val="20"/>
          <w:szCs w:val="20"/>
          <w:lang w:val="es-ES"/>
        </w:rPr>
      </w:pPr>
    </w:p>
    <w:p w14:paraId="0D2CF16A" w14:textId="10361B45" w:rsidR="0081173D" w:rsidRDefault="0081173D" w:rsidP="00B21D9F">
      <w:pPr>
        <w:jc w:val="both"/>
        <w:rPr>
          <w:rFonts w:ascii="Avenir Next" w:hAnsi="Avenir Next"/>
          <w:color w:val="000000" w:themeColor="text1"/>
          <w:sz w:val="20"/>
          <w:szCs w:val="20"/>
          <w:lang w:val="es-ES"/>
        </w:rPr>
      </w:pPr>
    </w:p>
    <w:p w14:paraId="06C0DC8B" w14:textId="2FD975FF" w:rsidR="0081173D" w:rsidRDefault="0081173D" w:rsidP="00B21D9F">
      <w:pPr>
        <w:jc w:val="both"/>
        <w:rPr>
          <w:rFonts w:ascii="Avenir Next" w:hAnsi="Avenir Next"/>
          <w:color w:val="000000" w:themeColor="text1"/>
          <w:sz w:val="20"/>
          <w:szCs w:val="20"/>
          <w:lang w:val="es-ES"/>
        </w:rPr>
      </w:pPr>
    </w:p>
    <w:p w14:paraId="449085A3" w14:textId="77777777" w:rsidR="0081173D" w:rsidRPr="00282BBC" w:rsidRDefault="0081173D" w:rsidP="00B21D9F">
      <w:pPr>
        <w:jc w:val="both"/>
        <w:rPr>
          <w:rFonts w:ascii="Avenir Next" w:hAnsi="Avenir Next"/>
          <w:color w:val="000000" w:themeColor="text1"/>
          <w:sz w:val="20"/>
          <w:szCs w:val="20"/>
          <w:lang w:val="es-ES"/>
        </w:rPr>
      </w:pPr>
    </w:p>
    <w:p w14:paraId="72F7ED43" w14:textId="44B1A031"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5 organismos </w:t>
      </w:r>
      <w:r w:rsidR="00F97CFA">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 xml:space="preserve">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w:t>
      </w:r>
      <w:r w:rsidR="00046FF9">
        <w:rPr>
          <w:rFonts w:ascii="Avenir Next" w:hAnsi="Avenir Next"/>
          <w:i w:val="0"/>
          <w:iCs w:val="0"/>
          <w:color w:val="000000" w:themeColor="text1"/>
          <w:sz w:val="16"/>
          <w:szCs w:val="16"/>
        </w:rPr>
        <w:t>1</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30-0</w:t>
      </w:r>
      <w:r w:rsidR="00B921A6">
        <w:rPr>
          <w:rFonts w:ascii="Avenir Next" w:hAnsi="Avenir Next"/>
          <w:i w:val="0"/>
          <w:iCs w:val="0"/>
          <w:color w:val="000000" w:themeColor="text1"/>
          <w:sz w:val="16"/>
          <w:szCs w:val="16"/>
        </w:rPr>
        <w:t>9</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02E7C5AF" w14:textId="4B7B8E81" w:rsidR="00B21D9F" w:rsidRPr="00282BBC" w:rsidRDefault="00B921A6" w:rsidP="0043494D">
      <w:pPr>
        <w:jc w:val="center"/>
        <w:rPr>
          <w:rFonts w:ascii="Avenir Next" w:hAnsi="Avenir Next"/>
          <w:color w:val="000000" w:themeColor="text1"/>
          <w:sz w:val="20"/>
          <w:szCs w:val="20"/>
        </w:rPr>
      </w:pPr>
      <w:r w:rsidRPr="00B921A6">
        <w:rPr>
          <w:noProof/>
        </w:rPr>
        <w:drawing>
          <wp:inline distT="0" distB="0" distL="0" distR="0" wp14:anchorId="572798B9" wp14:editId="684C202F">
            <wp:extent cx="4660900" cy="2181204"/>
            <wp:effectExtent l="0" t="0" r="635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8"/>
                    <a:stretch>
                      <a:fillRect/>
                    </a:stretch>
                  </pic:blipFill>
                  <pic:spPr>
                    <a:xfrm>
                      <a:off x="0" y="0"/>
                      <a:ext cx="4671269" cy="2186056"/>
                    </a:xfrm>
                    <a:prstGeom prst="rect">
                      <a:avLst/>
                    </a:prstGeom>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30BFC58C" w:rsidR="008C26A6"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7" w:name="_Toc84503146"/>
      <w:r w:rsidRPr="00C83ABA">
        <w:rPr>
          <w:rFonts w:ascii="Avenir Next" w:hAnsi="Avenir Next"/>
          <w:color w:val="000000" w:themeColor="text1"/>
          <w:lang w:val="es-ES"/>
        </w:rPr>
        <w:t xml:space="preserve">Transparencia - </w:t>
      </w:r>
      <w:bookmarkStart w:id="8" w:name="_Hlk68766714"/>
      <w:r w:rsidR="00CF3742" w:rsidRPr="00C83ABA">
        <w:rPr>
          <w:rFonts w:ascii="Avenir Next" w:hAnsi="Avenir Next"/>
          <w:color w:val="000000" w:themeColor="text1"/>
          <w:lang w:val="es-ES"/>
        </w:rPr>
        <w:t xml:space="preserve">Promedio del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orcentaje de </w:t>
      </w:r>
      <w:r w:rsidR="00377B5A">
        <w:rPr>
          <w:rFonts w:ascii="Avenir Next" w:hAnsi="Avenir Next"/>
          <w:color w:val="000000" w:themeColor="text1"/>
          <w:lang w:val="es-ES"/>
        </w:rPr>
        <w:t>I</w:t>
      </w:r>
      <w:r w:rsidR="00CF3742" w:rsidRPr="00C83ABA">
        <w:rPr>
          <w:rFonts w:ascii="Avenir Next" w:hAnsi="Avenir Next"/>
          <w:color w:val="000000" w:themeColor="text1"/>
          <w:lang w:val="es-ES"/>
        </w:rPr>
        <w:t xml:space="preserve">ncumplimiento en la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ublicación de </w:t>
      </w:r>
      <w:r w:rsidR="00377B5A">
        <w:rPr>
          <w:rFonts w:ascii="Avenir Next" w:hAnsi="Avenir Next"/>
          <w:color w:val="000000" w:themeColor="text1"/>
          <w:lang w:val="es-ES"/>
        </w:rPr>
        <w:t>D</w:t>
      </w:r>
      <w:r w:rsidR="00CF3742" w:rsidRPr="00C83ABA">
        <w:rPr>
          <w:rFonts w:ascii="Avenir Next" w:hAnsi="Avenir Next"/>
          <w:color w:val="000000" w:themeColor="text1"/>
          <w:lang w:val="es-ES"/>
        </w:rPr>
        <w:t xml:space="preserve">ocumentos </w:t>
      </w:r>
      <w:r w:rsidR="00377B5A">
        <w:rPr>
          <w:rFonts w:ascii="Avenir Next" w:hAnsi="Avenir Next"/>
          <w:color w:val="000000" w:themeColor="text1"/>
          <w:lang w:val="es-ES"/>
        </w:rPr>
        <w:t>O</w:t>
      </w:r>
      <w:r w:rsidR="00CF3742" w:rsidRPr="00C83ABA">
        <w:rPr>
          <w:rFonts w:ascii="Avenir Next" w:hAnsi="Avenir Next"/>
          <w:color w:val="000000" w:themeColor="text1"/>
          <w:lang w:val="es-ES"/>
        </w:rPr>
        <w:t>bligatorios</w:t>
      </w:r>
      <w:bookmarkEnd w:id="7"/>
      <w:bookmarkEnd w:id="8"/>
    </w:p>
    <w:p w14:paraId="7A166604" w14:textId="4E73474B" w:rsidR="008C26A6" w:rsidRPr="00282BBC" w:rsidRDefault="008C26A6" w:rsidP="00377B5A">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630755DF"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4: Ranking de los 5 organismos </w:t>
      </w:r>
      <w:r w:rsidR="003875BC">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con el mayor porcentaje de licitaciones que no adjuntaron todos los documentos obligatorios en 2020</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30-0</w:t>
      </w:r>
      <w:r w:rsidR="00B921A6">
        <w:rPr>
          <w:rFonts w:ascii="Avenir Next" w:hAnsi="Avenir Next"/>
          <w:i w:val="0"/>
          <w:iCs w:val="0"/>
          <w:color w:val="000000" w:themeColor="text1"/>
          <w:sz w:val="16"/>
          <w:szCs w:val="16"/>
        </w:rPr>
        <w:t>9</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046FF9">
        <w:rPr>
          <w:rFonts w:ascii="Avenir Next" w:hAnsi="Avenir Next"/>
          <w:i w:val="0"/>
          <w:iCs w:val="0"/>
          <w:color w:val="000000" w:themeColor="text1"/>
          <w:sz w:val="16"/>
          <w:szCs w:val="16"/>
        </w:rPr>
        <w:t>1</w:t>
      </w:r>
      <w:r w:rsidR="002C26E9" w:rsidRPr="00282BBC">
        <w:rPr>
          <w:rFonts w:ascii="Avenir Next" w:hAnsi="Avenir Next"/>
          <w:i w:val="0"/>
          <w:iCs w:val="0"/>
          <w:color w:val="000000" w:themeColor="text1"/>
          <w:sz w:val="16"/>
          <w:szCs w:val="16"/>
        </w:rPr>
        <w:t>.</w:t>
      </w:r>
    </w:p>
    <w:p w14:paraId="0B480170" w14:textId="0A22E005" w:rsidR="008C26A6" w:rsidRPr="00282BBC" w:rsidRDefault="00B921A6" w:rsidP="0043494D">
      <w:pPr>
        <w:jc w:val="center"/>
        <w:rPr>
          <w:rFonts w:ascii="Avenir Next" w:hAnsi="Avenir Next"/>
          <w:color w:val="000000" w:themeColor="text1"/>
          <w:sz w:val="20"/>
          <w:szCs w:val="20"/>
        </w:rPr>
      </w:pPr>
      <w:r w:rsidRPr="00B921A6">
        <w:rPr>
          <w:noProof/>
        </w:rPr>
        <w:drawing>
          <wp:inline distT="0" distB="0" distL="0" distR="0" wp14:anchorId="12C01A66" wp14:editId="645774A6">
            <wp:extent cx="4674187" cy="1911350"/>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20"/>
                    <a:stretch>
                      <a:fillRect/>
                    </a:stretch>
                  </pic:blipFill>
                  <pic:spPr>
                    <a:xfrm>
                      <a:off x="0" y="0"/>
                      <a:ext cx="4683027" cy="1914965"/>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4AC0E086" w:rsidR="00BE199E" w:rsidRDefault="00BE199E">
      <w:pPr>
        <w:rPr>
          <w:rFonts w:ascii="Avenir Next" w:hAnsi="Avenir Next" w:cs="Arial"/>
          <w:color w:val="000000" w:themeColor="text1"/>
          <w:lang w:val="es-ES"/>
        </w:rPr>
      </w:pPr>
    </w:p>
    <w:p w14:paraId="64725A95" w14:textId="77777777" w:rsidR="009A5D62" w:rsidRPr="00282BBC" w:rsidRDefault="009A5D62">
      <w:pPr>
        <w:rPr>
          <w:rFonts w:ascii="Avenir Next" w:hAnsi="Avenir Next" w:cs="Arial"/>
          <w:color w:val="000000" w:themeColor="text1"/>
          <w:lang w:val="es-ES"/>
        </w:rPr>
      </w:pPr>
    </w:p>
    <w:p w14:paraId="5F73ED20" w14:textId="42EF8A82" w:rsidR="007E3C71" w:rsidRPr="00C83ABA" w:rsidRDefault="007E3C71" w:rsidP="00C83ABA">
      <w:pPr>
        <w:pStyle w:val="Ttulo2"/>
        <w:numPr>
          <w:ilvl w:val="0"/>
          <w:numId w:val="8"/>
        </w:numPr>
        <w:spacing w:after="60"/>
        <w:ind w:left="357" w:hanging="357"/>
        <w:rPr>
          <w:rFonts w:ascii="Avenir Next" w:hAnsi="Avenir Next"/>
          <w:color w:val="000000" w:themeColor="text1"/>
          <w:lang w:val="es-ES"/>
        </w:rPr>
      </w:pPr>
      <w:bookmarkStart w:id="9" w:name="_Toc84503147"/>
      <w:r w:rsidRPr="00C83ABA">
        <w:rPr>
          <w:rFonts w:ascii="Avenir Next" w:hAnsi="Avenir Next"/>
          <w:color w:val="000000" w:themeColor="text1"/>
          <w:lang w:val="es-ES"/>
        </w:rPr>
        <w:t xml:space="preserve">Transparencia - Porcentaje de las </w:t>
      </w:r>
      <w:r w:rsidR="003875BC">
        <w:rPr>
          <w:rFonts w:ascii="Avenir Next" w:hAnsi="Avenir Next"/>
          <w:color w:val="000000" w:themeColor="text1"/>
          <w:lang w:val="es-ES"/>
        </w:rPr>
        <w:t>L</w:t>
      </w:r>
      <w:r w:rsidRPr="00C83ABA">
        <w:rPr>
          <w:rFonts w:ascii="Avenir Next" w:hAnsi="Avenir Next"/>
          <w:color w:val="000000" w:themeColor="text1"/>
          <w:lang w:val="es-ES"/>
        </w:rPr>
        <w:t xml:space="preserve">icitaciones </w:t>
      </w:r>
      <w:r w:rsidR="003875BC">
        <w:rPr>
          <w:rFonts w:ascii="Avenir Next" w:hAnsi="Avenir Next"/>
          <w:color w:val="000000" w:themeColor="text1"/>
          <w:lang w:val="es-ES"/>
        </w:rPr>
        <w:t>M</w:t>
      </w:r>
      <w:r w:rsidRPr="00C83ABA">
        <w:rPr>
          <w:rFonts w:ascii="Avenir Next" w:hAnsi="Avenir Next"/>
          <w:color w:val="000000" w:themeColor="text1"/>
          <w:lang w:val="es-ES"/>
        </w:rPr>
        <w:t xml:space="preserve">ayores o </w:t>
      </w:r>
      <w:r w:rsidR="003875BC">
        <w:rPr>
          <w:rFonts w:ascii="Avenir Next" w:hAnsi="Avenir Next"/>
          <w:color w:val="000000" w:themeColor="text1"/>
          <w:lang w:val="es-ES"/>
        </w:rPr>
        <w:t>I</w:t>
      </w:r>
      <w:r w:rsidRPr="00C83ABA">
        <w:rPr>
          <w:rFonts w:ascii="Avenir Next" w:hAnsi="Avenir Next"/>
          <w:color w:val="000000" w:themeColor="text1"/>
          <w:lang w:val="es-ES"/>
        </w:rPr>
        <w:t xml:space="preserve">guales a 1.000 UTM y </w:t>
      </w:r>
      <w:r w:rsidR="003875BC">
        <w:rPr>
          <w:rFonts w:ascii="Avenir Next" w:hAnsi="Avenir Next"/>
          <w:color w:val="000000" w:themeColor="text1"/>
          <w:lang w:val="es-ES"/>
        </w:rPr>
        <w:t>M</w:t>
      </w:r>
      <w:r w:rsidRPr="00C83ABA">
        <w:rPr>
          <w:rFonts w:ascii="Avenir Next" w:hAnsi="Avenir Next"/>
          <w:color w:val="000000" w:themeColor="text1"/>
          <w:lang w:val="es-ES"/>
        </w:rPr>
        <w:t>enores a 5.000 UTM</w:t>
      </w:r>
      <w:r w:rsidR="003875BC">
        <w:rPr>
          <w:rStyle w:val="Refdenotaalpie"/>
          <w:rFonts w:ascii="Avenir Next" w:hAnsi="Avenir Next"/>
          <w:color w:val="000000" w:themeColor="text1"/>
          <w:lang w:val="es-ES"/>
        </w:rPr>
        <w:footnoteReference w:id="1"/>
      </w:r>
      <w:r w:rsidRPr="00C83ABA">
        <w:rPr>
          <w:rFonts w:ascii="Avenir Next" w:hAnsi="Avenir Next"/>
          <w:color w:val="000000" w:themeColor="text1"/>
          <w:lang w:val="es-ES"/>
        </w:rPr>
        <w:t xml:space="preserve"> cuyo plazo de oferta fue acelerado</w:t>
      </w:r>
      <w:bookmarkEnd w:id="9"/>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4C617AE3"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lastRenderedPageBreak/>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5 organismos </w:t>
      </w:r>
      <w:r w:rsidR="003875BC">
        <w:rPr>
          <w:rFonts w:ascii="Avenir Next" w:hAnsi="Avenir Next"/>
          <w:i w:val="0"/>
          <w:iCs w:val="0"/>
          <w:color w:val="000000" w:themeColor="text1"/>
          <w:sz w:val="16"/>
          <w:szCs w:val="16"/>
        </w:rPr>
        <w:t xml:space="preserve">públicos </w:t>
      </w:r>
      <w:r w:rsidRPr="00282BBC">
        <w:rPr>
          <w:rFonts w:ascii="Avenir Next" w:hAnsi="Avenir Next"/>
          <w:i w:val="0"/>
          <w:iCs w:val="0"/>
          <w:color w:val="000000" w:themeColor="text1"/>
          <w:sz w:val="16"/>
          <w:szCs w:val="16"/>
        </w:rPr>
        <w:t xml:space="preserve">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30-0</w:t>
      </w:r>
      <w:r w:rsidR="00B921A6">
        <w:rPr>
          <w:rFonts w:ascii="Avenir Next" w:hAnsi="Avenir Next"/>
          <w:i w:val="0"/>
          <w:iCs w:val="0"/>
          <w:color w:val="000000" w:themeColor="text1"/>
          <w:sz w:val="16"/>
          <w:szCs w:val="16"/>
        </w:rPr>
        <w:t>9</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 Monto corresponde a la suma de las órdenes de compra de 202</w:t>
      </w:r>
      <w:r w:rsidR="00814E94">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w:t>
      </w:r>
    </w:p>
    <w:p w14:paraId="7DEED66E" w14:textId="56606DCF" w:rsidR="007E3C71" w:rsidRPr="00282BBC" w:rsidRDefault="00B921A6" w:rsidP="0043494D">
      <w:pPr>
        <w:jc w:val="center"/>
        <w:rPr>
          <w:rFonts w:ascii="Avenir Next" w:hAnsi="Avenir Next"/>
          <w:color w:val="000000" w:themeColor="text1"/>
          <w:sz w:val="20"/>
          <w:szCs w:val="20"/>
        </w:rPr>
      </w:pPr>
      <w:r>
        <w:rPr>
          <w:rFonts w:ascii="Avenir Next" w:hAnsi="Avenir Next"/>
          <w:noProof/>
          <w:color w:val="000000" w:themeColor="text1"/>
          <w:sz w:val="20"/>
          <w:szCs w:val="20"/>
        </w:rPr>
        <w:drawing>
          <wp:inline distT="0" distB="0" distL="0" distR="0" wp14:anchorId="53AFA8F2" wp14:editId="13C70D93">
            <wp:extent cx="4483100" cy="2125028"/>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0834" cy="2138174"/>
                    </a:xfrm>
                    <a:prstGeom prst="rect">
                      <a:avLst/>
                    </a:prstGeom>
                    <a:noFill/>
                  </pic:spPr>
                </pic:pic>
              </a:graphicData>
            </a:graphic>
          </wp:inline>
        </w:drawing>
      </w:r>
    </w:p>
    <w:p w14:paraId="4EA52DF3" w14:textId="38AEFA12" w:rsidR="007E3C71" w:rsidRPr="00282BBC" w:rsidRDefault="007E3C71" w:rsidP="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61768FD7" w14:textId="1C790C24" w:rsidR="000D191D" w:rsidRPr="00282BBC" w:rsidRDefault="007E3C71">
      <w:pPr>
        <w:rPr>
          <w:rFonts w:ascii="Avenir Next" w:eastAsiaTheme="majorEastAsia" w:hAnsi="Avenir Next" w:cs="Arial"/>
          <w:color w:val="000000" w:themeColor="text1"/>
          <w:sz w:val="32"/>
          <w:szCs w:val="32"/>
          <w:lang w:val="es-ES"/>
        </w:rPr>
      </w:pPr>
      <w:r>
        <w:rPr>
          <w:rFonts w:ascii="Avenir Next" w:eastAsiaTheme="majorEastAsia" w:hAnsi="Avenir Next" w:cs="Arial"/>
          <w:color w:val="000000" w:themeColor="text1"/>
          <w:sz w:val="32"/>
          <w:szCs w:val="32"/>
          <w:lang w:val="es-ES"/>
        </w:rPr>
        <w:br w:type="page"/>
      </w:r>
    </w:p>
    <w:p w14:paraId="4A7DEB0F" w14:textId="03E60779" w:rsidR="008B42B9" w:rsidRPr="00282BBC" w:rsidRDefault="00C51BEB" w:rsidP="00542F60">
      <w:pPr>
        <w:pStyle w:val="Ttulo1"/>
        <w:rPr>
          <w:rFonts w:ascii="Avenir Next" w:hAnsi="Avenir Next" w:cs="Arial"/>
          <w:color w:val="000000" w:themeColor="text1"/>
          <w:lang w:val="es-ES"/>
        </w:rPr>
      </w:pPr>
      <w:bookmarkStart w:id="10" w:name="_Toc84503148"/>
      <w:r>
        <w:rPr>
          <w:rFonts w:ascii="Avenir Next" w:hAnsi="Avenir Next" w:cs="Arial"/>
          <w:color w:val="000000" w:themeColor="text1"/>
          <w:lang w:val="es-ES"/>
        </w:rPr>
        <w:lastRenderedPageBreak/>
        <w:t>4</w:t>
      </w:r>
      <w:r w:rsidR="00192BA5" w:rsidRPr="00282BBC">
        <w:rPr>
          <w:rFonts w:ascii="Avenir Next" w:hAnsi="Avenir Next" w:cs="Arial"/>
          <w:color w:val="000000" w:themeColor="text1"/>
          <w:lang w:val="es-ES"/>
        </w:rPr>
        <w:t xml:space="preserve">.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10"/>
    </w:p>
    <w:p w14:paraId="76525D42" w14:textId="2406D44D" w:rsidR="00D12DB2" w:rsidRPr="00282BBC" w:rsidRDefault="00D12DB2" w:rsidP="00D12DB2">
      <w:pPr>
        <w:pStyle w:val="Ttulo2"/>
        <w:rPr>
          <w:rFonts w:ascii="Avenir Next" w:hAnsi="Avenir Next"/>
          <w:color w:val="000000" w:themeColor="text1"/>
          <w:lang w:val="es-ES"/>
        </w:rPr>
      </w:pPr>
    </w:p>
    <w:p w14:paraId="350B669D" w14:textId="3A013A99" w:rsidR="00D12DB2" w:rsidRPr="00282BBC" w:rsidRDefault="00582F85" w:rsidP="00C83ABA">
      <w:pPr>
        <w:jc w:val="both"/>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w:t>
      </w:r>
      <w:r w:rsidR="003875BC">
        <w:rPr>
          <w:rFonts w:ascii="Avenir Next" w:hAnsi="Avenir Next"/>
          <w:color w:val="000000" w:themeColor="text1"/>
          <w:sz w:val="20"/>
          <w:szCs w:val="20"/>
          <w:lang w:val="es-ES"/>
        </w:rPr>
        <w:t>aparta</w:t>
      </w:r>
      <w:r w:rsidR="008E1CCB">
        <w:rPr>
          <w:rFonts w:ascii="Avenir Next" w:hAnsi="Avenir Next"/>
          <w:color w:val="000000" w:themeColor="text1"/>
          <w:sz w:val="20"/>
          <w:szCs w:val="20"/>
          <w:lang w:val="es-ES"/>
        </w:rPr>
        <w:t>do,</w:t>
      </w:r>
      <w:r w:rsidR="003875BC" w:rsidRPr="00282BBC">
        <w:rPr>
          <w:rFonts w:ascii="Avenir Next" w:hAnsi="Avenir Next"/>
          <w:color w:val="000000" w:themeColor="text1"/>
          <w:sz w:val="20"/>
          <w:szCs w:val="20"/>
          <w:lang w:val="es-ES"/>
        </w:rPr>
        <w:t xml:space="preserve"> </w:t>
      </w:r>
      <w:r w:rsidR="00D12DB2" w:rsidRPr="00282BBC">
        <w:rPr>
          <w:rFonts w:ascii="Avenir Next" w:hAnsi="Avenir Next"/>
          <w:color w:val="000000" w:themeColor="text1"/>
          <w:sz w:val="20"/>
          <w:szCs w:val="20"/>
          <w:lang w:val="es-ES"/>
        </w:rPr>
        <w:t>se presenta</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8E1CCB">
        <w:rPr>
          <w:rFonts w:ascii="Avenir Next" w:hAnsi="Avenir Next"/>
          <w:color w:val="000000" w:themeColor="text1"/>
          <w:sz w:val="20"/>
          <w:szCs w:val="20"/>
          <w:lang w:val="es-ES"/>
        </w:rPr>
        <w:t>. E</w:t>
      </w:r>
      <w:r w:rsidR="00061501">
        <w:rPr>
          <w:rFonts w:ascii="Avenir Next" w:hAnsi="Avenir Next"/>
          <w:color w:val="000000" w:themeColor="text1"/>
          <w:sz w:val="20"/>
          <w:szCs w:val="20"/>
          <w:lang w:val="es-ES"/>
        </w:rPr>
        <w:t>st</w:t>
      </w:r>
      <w:r w:rsidR="003875BC">
        <w:rPr>
          <w:rFonts w:ascii="Avenir Next" w:hAnsi="Avenir Next"/>
          <w:color w:val="000000" w:themeColor="text1"/>
          <w:sz w:val="20"/>
          <w:szCs w:val="20"/>
          <w:lang w:val="es-ES"/>
        </w:rPr>
        <w:t>a</w:t>
      </w:r>
      <w:r w:rsidR="00061501">
        <w:rPr>
          <w:rFonts w:ascii="Avenir Next" w:hAnsi="Avenir Next"/>
          <w:color w:val="000000" w:themeColor="text1"/>
          <w:sz w:val="20"/>
          <w:szCs w:val="20"/>
          <w:lang w:val="es-ES"/>
        </w:rPr>
        <w:t>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19CD109E" w:rsidR="009F2E32" w:rsidRDefault="00C51BEB" w:rsidP="00C77227">
      <w:pPr>
        <w:pStyle w:val="Ttulo2"/>
        <w:rPr>
          <w:rFonts w:ascii="Avenir Next" w:hAnsi="Avenir Next" w:cs="Times New Roman (Títulos en alf"/>
          <w:caps/>
          <w:color w:val="000000" w:themeColor="text1"/>
          <w:lang w:val="es-ES"/>
        </w:rPr>
      </w:pPr>
      <w:bookmarkStart w:id="11" w:name="_Toc84503149"/>
      <w:r w:rsidRPr="005C0485">
        <w:rPr>
          <w:rFonts w:ascii="Avenir Next" w:hAnsi="Avenir Next"/>
          <w:color w:val="000000" w:themeColor="text1"/>
          <w:lang w:val="es-ES"/>
        </w:rPr>
        <w:t>4</w:t>
      </w:r>
      <w:r w:rsidR="00774489" w:rsidRPr="005C0485">
        <w:rPr>
          <w:rFonts w:ascii="Avenir Next" w:hAnsi="Avenir Next"/>
          <w:color w:val="000000" w:themeColor="text1"/>
          <w:lang w:val="es-ES"/>
        </w:rPr>
        <w:t xml:space="preserve">.1 </w:t>
      </w:r>
      <w:r w:rsidR="00282BBC" w:rsidRPr="005C0485">
        <w:rPr>
          <w:rFonts w:ascii="Avenir Next" w:hAnsi="Avenir Next" w:cs="Times New Roman (Títulos en alf"/>
          <w:caps/>
          <w:color w:val="000000" w:themeColor="text1"/>
          <w:lang w:val="es-ES"/>
        </w:rPr>
        <w:t>R</w:t>
      </w:r>
      <w:r w:rsidR="00774489" w:rsidRPr="005C0485">
        <w:rPr>
          <w:rFonts w:ascii="Avenir Next" w:hAnsi="Avenir Next" w:cs="Times New Roman (Títulos en alf"/>
          <w:caps/>
          <w:color w:val="000000" w:themeColor="text1"/>
          <w:lang w:val="es-ES"/>
        </w:rPr>
        <w:t xml:space="preserve">iesgo </w:t>
      </w:r>
      <w:r w:rsidR="00BA7BA5" w:rsidRPr="005C0485">
        <w:rPr>
          <w:rFonts w:ascii="Avenir Next" w:hAnsi="Avenir Next"/>
          <w:color w:val="000000" w:themeColor="text1"/>
          <w:lang w:val="es-ES"/>
        </w:rPr>
        <w:t xml:space="preserve">A NIVEL </w:t>
      </w:r>
      <w:r w:rsidR="005C0485" w:rsidRPr="005C0485">
        <w:rPr>
          <w:rFonts w:ascii="Avenir Next" w:hAnsi="Avenir Next"/>
          <w:color w:val="000000" w:themeColor="text1"/>
          <w:lang w:val="es-ES"/>
        </w:rPr>
        <w:t xml:space="preserve">DE </w:t>
      </w:r>
      <w:r w:rsidR="005C0485" w:rsidRPr="005C0485">
        <w:rPr>
          <w:rFonts w:ascii="Avenir Next" w:hAnsi="Avenir Next" w:cs="Times New Roman (Títulos en alf"/>
          <w:caps/>
          <w:color w:val="000000" w:themeColor="text1"/>
          <w:lang w:val="es-ES"/>
        </w:rPr>
        <w:t>LICITACIÓN</w:t>
      </w:r>
      <w:r w:rsidR="00C77227" w:rsidRPr="005C0485">
        <w:rPr>
          <w:rFonts w:ascii="Avenir Next" w:hAnsi="Avenir Next" w:cs="Times New Roman (Títulos en alf"/>
          <w:caps/>
          <w:color w:val="000000" w:themeColor="text1"/>
          <w:lang w:val="es-ES"/>
        </w:rPr>
        <w:t xml:space="preserve"> pública</w:t>
      </w:r>
      <w:r w:rsidR="00BA7BA5" w:rsidRPr="005C0485">
        <w:rPr>
          <w:rFonts w:ascii="Avenir Next" w:hAnsi="Avenir Next" w:cs="Times New Roman (Títulos en alf"/>
          <w:caps/>
          <w:color w:val="000000" w:themeColor="text1"/>
          <w:lang w:val="es-ES"/>
        </w:rPr>
        <w:t>.</w:t>
      </w:r>
      <w:bookmarkEnd w:id="11"/>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3DE31FC5" w:rsidR="00542F60"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A partir de la iniciativa de </w:t>
      </w:r>
      <w:r w:rsidR="003875BC">
        <w:rPr>
          <w:rFonts w:ascii="Avenir Next" w:hAnsi="Avenir Next" w:cs="Arial"/>
          <w:color w:val="000000" w:themeColor="text1"/>
          <w:sz w:val="20"/>
          <w:szCs w:val="20"/>
          <w:lang w:val="es-ES"/>
        </w:rPr>
        <w:t>Red Flags</w:t>
      </w:r>
      <w:r w:rsidRPr="00282BBC">
        <w:rPr>
          <w:rFonts w:ascii="Avenir Next" w:hAnsi="Avenir Next" w:cs="Arial"/>
          <w:color w:val="000000" w:themeColor="text1"/>
          <w:sz w:val="20"/>
          <w:szCs w:val="20"/>
          <w:lang w:val="es-ES"/>
        </w:rPr>
        <w:t xml:space="preserve"> a nivel de licitación pública</w:t>
      </w:r>
      <w:r w:rsidR="003875BC">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 indicadores </w:t>
      </w:r>
      <w:r w:rsidR="003875BC">
        <w:rPr>
          <w:rFonts w:ascii="Avenir Next" w:hAnsi="Avenir Next" w:cs="Arial"/>
          <w:color w:val="000000" w:themeColor="text1"/>
          <w:sz w:val="20"/>
          <w:szCs w:val="20"/>
          <w:lang w:val="es-ES"/>
        </w:rPr>
        <w:t xml:space="preserve">más </w:t>
      </w:r>
      <w:r w:rsidR="00C12620">
        <w:rPr>
          <w:rFonts w:ascii="Avenir Next" w:hAnsi="Avenir Next" w:cs="Arial"/>
          <w:color w:val="000000" w:themeColor="text1"/>
          <w:sz w:val="20"/>
          <w:szCs w:val="20"/>
          <w:lang w:val="es-ES"/>
        </w:rPr>
        <w:t>específicos</w:t>
      </w:r>
      <w:r w:rsidR="003875BC">
        <w:rPr>
          <w:rFonts w:ascii="Avenir Next" w:hAnsi="Avenir Next" w:cs="Arial"/>
          <w:color w:val="000000" w:themeColor="text1"/>
          <w:sz w:val="20"/>
          <w:szCs w:val="20"/>
          <w:lang w:val="es-ES"/>
        </w:rPr>
        <w:t>. E</w:t>
      </w:r>
      <w:r w:rsidR="005965F5">
        <w:rPr>
          <w:rFonts w:ascii="Avenir Next" w:hAnsi="Avenir Next" w:cs="Arial"/>
          <w:color w:val="000000" w:themeColor="text1"/>
          <w:sz w:val="20"/>
          <w:szCs w:val="20"/>
          <w:lang w:val="es-ES"/>
        </w:rPr>
        <w:t>sta muestra representa un 24% del total de indicadores</w:t>
      </w:r>
      <w:r w:rsidR="003875BC">
        <w:rPr>
          <w:rFonts w:ascii="Avenir Next" w:hAnsi="Avenir Next" w:cs="Arial"/>
          <w:color w:val="000000" w:themeColor="text1"/>
          <w:sz w:val="20"/>
          <w:szCs w:val="20"/>
          <w:lang w:val="es-ES"/>
        </w:rPr>
        <w:t xml:space="preserve">, </w:t>
      </w:r>
      <w:r w:rsidR="00061501">
        <w:rPr>
          <w:rFonts w:ascii="Avenir Next" w:hAnsi="Avenir Next" w:cs="Arial"/>
          <w:color w:val="000000" w:themeColor="text1"/>
          <w:sz w:val="20"/>
          <w:szCs w:val="20"/>
          <w:lang w:val="es-ES"/>
        </w:rPr>
        <w:t>y fueron elegidos como muestra, según el criterio subjetivo de expertos</w:t>
      </w:r>
      <w:r w:rsidR="003875BC">
        <w:rPr>
          <w:rFonts w:ascii="Avenir Next" w:hAnsi="Avenir Next" w:cs="Arial"/>
          <w:color w:val="000000" w:themeColor="text1"/>
          <w:sz w:val="20"/>
          <w:szCs w:val="20"/>
          <w:lang w:val="es-ES"/>
        </w:rPr>
        <w:t xml:space="preserve">, </w:t>
      </w:r>
      <w:r w:rsidR="009A5D62">
        <w:rPr>
          <w:rFonts w:ascii="Avenir Next" w:hAnsi="Avenir Next" w:cs="Arial"/>
          <w:color w:val="000000" w:themeColor="text1"/>
          <w:sz w:val="20"/>
          <w:szCs w:val="20"/>
          <w:lang w:val="es-ES"/>
        </w:rPr>
        <w:t xml:space="preserve">como </w:t>
      </w:r>
      <w:r w:rsidR="00061501">
        <w:rPr>
          <w:rFonts w:ascii="Avenir Next" w:hAnsi="Avenir Next" w:cs="Arial"/>
          <w:color w:val="000000" w:themeColor="text1"/>
          <w:sz w:val="20"/>
          <w:szCs w:val="20"/>
          <w:lang w:val="es-ES"/>
        </w:rPr>
        <w:t>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4FC277DC" w:rsidR="00B31C5E"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w:t>
      </w:r>
      <w:r w:rsidR="003875BC">
        <w:rPr>
          <w:rFonts w:ascii="Avenir Next" w:hAnsi="Avenir Next" w:cs="Arial"/>
          <w:color w:val="000000" w:themeColor="text1"/>
          <w:sz w:val="20"/>
          <w:szCs w:val="20"/>
          <w:lang w:val="es-ES"/>
        </w:rPr>
        <w:t xml:space="preserve">te </w:t>
      </w:r>
      <w:r w:rsidRPr="007E3C71">
        <w:rPr>
          <w:rFonts w:ascii="Avenir Next" w:hAnsi="Avenir Next" w:cs="Arial"/>
          <w:color w:val="000000" w:themeColor="text1"/>
          <w:sz w:val="20"/>
          <w:szCs w:val="20"/>
          <w:lang w:val="es-ES"/>
        </w:rPr>
        <w:t>análisis</w:t>
      </w:r>
      <w:r w:rsidR="003875BC">
        <w:rPr>
          <w:rFonts w:ascii="Avenir Next" w:hAnsi="Avenir Next" w:cs="Arial"/>
          <w:color w:val="000000" w:themeColor="text1"/>
          <w:sz w:val="20"/>
          <w:szCs w:val="20"/>
          <w:lang w:val="es-ES"/>
        </w:rPr>
        <w:t xml:space="preserve">, </w:t>
      </w:r>
      <w:r w:rsidRPr="007E3C71">
        <w:rPr>
          <w:rFonts w:ascii="Avenir Next" w:hAnsi="Avenir Next" w:cs="Arial"/>
          <w:color w:val="000000" w:themeColor="text1"/>
          <w:sz w:val="20"/>
          <w:szCs w:val="20"/>
          <w:lang w:val="es-ES"/>
        </w:rPr>
        <w:t>no se hizo referencia a los montos, pues los datos asociados al monto adjudicado contienen muchos errores</w:t>
      </w:r>
      <w:r w:rsidR="007542D5">
        <w:rPr>
          <w:rFonts w:ascii="Avenir Next" w:hAnsi="Avenir Next" w:cs="Arial"/>
          <w:color w:val="000000" w:themeColor="text1"/>
          <w:sz w:val="20"/>
          <w:szCs w:val="20"/>
          <w:lang w:val="es-ES"/>
        </w:rPr>
        <w:t>, tanto de digitación como asignación de moneda</w:t>
      </w:r>
      <w:r w:rsidR="00565FB0" w:rsidRPr="007E3C71">
        <w:rPr>
          <w:rFonts w:ascii="Avenir Next" w:hAnsi="Avenir Next" w:cs="Arial"/>
          <w:color w:val="000000" w:themeColor="text1"/>
          <w:sz w:val="20"/>
          <w:szCs w:val="20"/>
          <w:lang w:val="es-ES"/>
        </w:rPr>
        <w:t>,</w:t>
      </w:r>
      <w:r w:rsidR="003875BC">
        <w:rPr>
          <w:rFonts w:ascii="Avenir Next" w:hAnsi="Avenir Next" w:cs="Arial"/>
          <w:color w:val="000000" w:themeColor="text1"/>
          <w:sz w:val="20"/>
          <w:szCs w:val="20"/>
          <w:lang w:val="es-ES"/>
        </w:rPr>
        <w:t xml:space="preserve"> por lo que</w:t>
      </w:r>
      <w:r w:rsidR="00565FB0" w:rsidRPr="007E3C71">
        <w:rPr>
          <w:rFonts w:ascii="Avenir Next" w:hAnsi="Avenir Next" w:cs="Arial"/>
          <w:color w:val="000000" w:themeColor="text1"/>
          <w:sz w:val="20"/>
          <w:szCs w:val="20"/>
          <w:lang w:val="es-ES"/>
        </w:rPr>
        <w:t xml:space="preserve"> en</w:t>
      </w:r>
      <w:r w:rsidR="003875BC">
        <w:rPr>
          <w:rFonts w:ascii="Avenir Next" w:hAnsi="Avenir Next" w:cs="Arial"/>
          <w:color w:val="000000" w:themeColor="text1"/>
          <w:sz w:val="20"/>
          <w:szCs w:val="20"/>
          <w:lang w:val="es-ES"/>
        </w:rPr>
        <w:t xml:space="preserve"> su </w:t>
      </w:r>
      <w:r w:rsidR="00565FB0" w:rsidRPr="007E3C71">
        <w:rPr>
          <w:rFonts w:ascii="Avenir Next" w:hAnsi="Avenir Next" w:cs="Arial"/>
          <w:color w:val="000000" w:themeColor="text1"/>
          <w:sz w:val="20"/>
          <w:szCs w:val="20"/>
          <w:lang w:val="es-ES"/>
        </w:rPr>
        <w:t xml:space="preserve">lugar se </w:t>
      </w:r>
      <w:r w:rsidR="003875BC">
        <w:rPr>
          <w:rFonts w:ascii="Avenir Next" w:hAnsi="Avenir Next" w:cs="Arial"/>
          <w:color w:val="000000" w:themeColor="text1"/>
          <w:sz w:val="20"/>
          <w:szCs w:val="20"/>
          <w:lang w:val="es-ES"/>
        </w:rPr>
        <w:t>utilizó</w:t>
      </w:r>
      <w:r w:rsidR="003875BC" w:rsidRPr="007E3C71">
        <w:rPr>
          <w:rFonts w:ascii="Avenir Next" w:hAnsi="Avenir Next" w:cs="Arial"/>
          <w:color w:val="000000" w:themeColor="text1"/>
          <w:sz w:val="20"/>
          <w:szCs w:val="20"/>
          <w:lang w:val="es-ES"/>
        </w:rPr>
        <w:t xml:space="preserve"> </w:t>
      </w:r>
      <w:r w:rsidR="00565FB0" w:rsidRPr="007E3C71">
        <w:rPr>
          <w:rFonts w:ascii="Avenir Next" w:hAnsi="Avenir Next" w:cs="Arial"/>
          <w:color w:val="000000" w:themeColor="text1"/>
          <w:sz w:val="20"/>
          <w:szCs w:val="20"/>
          <w:lang w:val="es-ES"/>
        </w:rPr>
        <w:t>la cantidad de licitaciones.</w:t>
      </w:r>
    </w:p>
    <w:p w14:paraId="2ED3CA0E" w14:textId="77777777" w:rsidR="003875BC" w:rsidRPr="00282BBC" w:rsidRDefault="003875BC" w:rsidP="00542F60">
      <w:pPr>
        <w:jc w:val="both"/>
        <w:rPr>
          <w:rFonts w:ascii="Avenir Next" w:hAnsi="Avenir Next" w:cs="Arial"/>
          <w:color w:val="000000" w:themeColor="text1"/>
          <w:sz w:val="20"/>
          <w:szCs w:val="20"/>
          <w:lang w:val="es-ES"/>
        </w:rPr>
      </w:pPr>
    </w:p>
    <w:p w14:paraId="78ACF791" w14:textId="11E4CDCE" w:rsidR="00542F60" w:rsidRPr="00C83ABA" w:rsidRDefault="00565D46" w:rsidP="00C83ABA">
      <w:pPr>
        <w:pStyle w:val="Ttulo2"/>
        <w:numPr>
          <w:ilvl w:val="0"/>
          <w:numId w:val="12"/>
        </w:numPr>
        <w:spacing w:after="60"/>
        <w:ind w:left="357" w:hanging="357"/>
        <w:rPr>
          <w:rFonts w:ascii="Avenir Next" w:hAnsi="Avenir Next" w:cs="Arial"/>
          <w:color w:val="000000" w:themeColor="text1"/>
          <w:sz w:val="20"/>
          <w:szCs w:val="20"/>
          <w:lang w:val="es-ES"/>
        </w:rPr>
      </w:pPr>
      <w:bookmarkStart w:id="12" w:name="_Toc84503150"/>
      <w:r w:rsidRPr="00C83ABA">
        <w:rPr>
          <w:rFonts w:ascii="Avenir Next" w:hAnsi="Avenir Next"/>
          <w:color w:val="000000" w:themeColor="text1"/>
          <w:lang w:val="es-ES"/>
        </w:rPr>
        <w:t xml:space="preserve">Riesgos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 xml:space="preserve">specíficos </w:t>
      </w:r>
      <w:r w:rsidR="003875BC" w:rsidRPr="00C83ABA">
        <w:rPr>
          <w:rFonts w:ascii="Avenir Next" w:hAnsi="Avenir Next"/>
          <w:color w:val="000000" w:themeColor="text1"/>
          <w:lang w:val="es-ES"/>
        </w:rPr>
        <w:t>D</w:t>
      </w:r>
      <w:r w:rsidRPr="00C83ABA">
        <w:rPr>
          <w:rFonts w:ascii="Avenir Next" w:hAnsi="Avenir Next"/>
          <w:color w:val="000000" w:themeColor="text1"/>
          <w:lang w:val="es-ES"/>
        </w:rPr>
        <w:t xml:space="preserve">urante la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tapa de “</w:t>
      </w:r>
      <w:r w:rsidR="00785730" w:rsidRPr="00C83ABA">
        <w:rPr>
          <w:rFonts w:ascii="Avenir Next" w:hAnsi="Avenir Next"/>
          <w:color w:val="000000" w:themeColor="text1"/>
          <w:lang w:val="es-ES"/>
        </w:rPr>
        <w:t>Elaboración</w:t>
      </w:r>
      <w:r w:rsidRPr="00C83ABA">
        <w:rPr>
          <w:rFonts w:ascii="Avenir Next" w:hAnsi="Avenir Next"/>
          <w:color w:val="000000" w:themeColor="text1"/>
          <w:lang w:val="es-ES"/>
        </w:rPr>
        <w:t>”</w:t>
      </w:r>
      <w:r w:rsidR="008E1CCB">
        <w:rPr>
          <w:rFonts w:ascii="Avenir Next" w:hAnsi="Avenir Next"/>
          <w:color w:val="000000" w:themeColor="text1"/>
          <w:lang w:val="es-ES"/>
        </w:rPr>
        <w:t xml:space="preserve">: </w:t>
      </w:r>
      <w:r w:rsidR="00542F60" w:rsidRPr="00C83ABA">
        <w:rPr>
          <w:rFonts w:ascii="Avenir Next" w:hAnsi="Avenir Next"/>
          <w:color w:val="000000" w:themeColor="text1"/>
          <w:lang w:val="es-ES"/>
        </w:rPr>
        <w:t>Requisito de</w:t>
      </w:r>
      <w:r w:rsidR="008E1CCB">
        <w:rPr>
          <w:rFonts w:ascii="Avenir Next" w:hAnsi="Avenir Next"/>
          <w:color w:val="000000" w:themeColor="text1"/>
          <w:lang w:val="es-ES"/>
        </w:rPr>
        <w:t xml:space="preserve"> </w:t>
      </w:r>
      <w:r w:rsidR="003875BC" w:rsidRPr="00C83ABA">
        <w:rPr>
          <w:rFonts w:ascii="Avenir Next" w:hAnsi="Avenir Next"/>
          <w:color w:val="000000" w:themeColor="text1"/>
          <w:lang w:val="es-ES"/>
        </w:rPr>
        <w:t>B</w:t>
      </w:r>
      <w:r w:rsidR="00542F60" w:rsidRPr="00C83ABA">
        <w:rPr>
          <w:rFonts w:ascii="Avenir Next" w:hAnsi="Avenir Next"/>
          <w:color w:val="000000" w:themeColor="text1"/>
          <w:lang w:val="es-ES"/>
        </w:rPr>
        <w:t xml:space="preserve">oleta de </w:t>
      </w:r>
      <w:r w:rsidR="003875BC" w:rsidRPr="00C83ABA">
        <w:rPr>
          <w:rFonts w:ascii="Avenir Next" w:hAnsi="Avenir Next"/>
          <w:color w:val="000000" w:themeColor="text1"/>
          <w:lang w:val="es-ES"/>
        </w:rPr>
        <w:t>G</w:t>
      </w:r>
      <w:r w:rsidR="00542F60" w:rsidRPr="00C83ABA">
        <w:rPr>
          <w:rFonts w:ascii="Avenir Next" w:hAnsi="Avenir Next"/>
          <w:color w:val="000000" w:themeColor="text1"/>
          <w:lang w:val="es-ES"/>
        </w:rPr>
        <w:t xml:space="preserve">arantía </w:t>
      </w:r>
      <w:r w:rsidR="003875BC" w:rsidRPr="00C83ABA">
        <w:rPr>
          <w:rFonts w:ascii="Avenir Next" w:hAnsi="Avenir Next"/>
          <w:color w:val="000000" w:themeColor="text1"/>
          <w:lang w:val="es-ES"/>
        </w:rPr>
        <w:t>I</w:t>
      </w:r>
      <w:r w:rsidR="00542F60" w:rsidRPr="00C83ABA">
        <w:rPr>
          <w:rFonts w:ascii="Avenir Next" w:hAnsi="Avenir Next"/>
          <w:color w:val="000000" w:themeColor="text1"/>
          <w:lang w:val="es-ES"/>
        </w:rPr>
        <w:t>rrazonable</w:t>
      </w:r>
      <w:r w:rsidR="003875BC" w:rsidRPr="00C83ABA">
        <w:rPr>
          <w:rFonts w:ascii="Avenir Next" w:hAnsi="Avenir Next"/>
          <w:color w:val="000000" w:themeColor="text1"/>
          <w:lang w:val="es-ES"/>
        </w:rPr>
        <w:t>.</w:t>
      </w:r>
      <w:bookmarkEnd w:id="12"/>
    </w:p>
    <w:p w14:paraId="04E477B7" w14:textId="47C96EB2" w:rsidR="009A5D62" w:rsidRDefault="00542F60" w:rsidP="009A5D62">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excede </w:t>
      </w:r>
      <w:r w:rsidR="00287379">
        <w:rPr>
          <w:rFonts w:ascii="Avenir Next" w:hAnsi="Avenir Next" w:cs="Arial"/>
          <w:color w:val="000000" w:themeColor="text1"/>
          <w:sz w:val="20"/>
          <w:szCs w:val="20"/>
          <w:lang w:val="es-ES"/>
        </w:rPr>
        <w:t>el</w:t>
      </w:r>
      <w:r w:rsidRPr="00282BBC">
        <w:rPr>
          <w:rFonts w:ascii="Avenir Next" w:hAnsi="Avenir Next" w:cs="Arial"/>
          <w:color w:val="000000" w:themeColor="text1"/>
          <w:sz w:val="20"/>
          <w:szCs w:val="20"/>
          <w:lang w:val="es-ES"/>
        </w:rPr>
        <w:t xml:space="preserve"> porcentaje </w:t>
      </w:r>
      <w:r w:rsidR="00287379">
        <w:rPr>
          <w:rFonts w:ascii="Avenir Next" w:hAnsi="Avenir Next" w:cs="Arial"/>
          <w:color w:val="000000" w:themeColor="text1"/>
          <w:sz w:val="20"/>
          <w:szCs w:val="20"/>
          <w:lang w:val="es-ES"/>
        </w:rPr>
        <w:t xml:space="preserve">considerado </w:t>
      </w:r>
      <w:r w:rsidRPr="00282BBC">
        <w:rPr>
          <w:rFonts w:ascii="Avenir Next" w:hAnsi="Avenir Next" w:cs="Arial"/>
          <w:color w:val="000000" w:themeColor="text1"/>
          <w:sz w:val="20"/>
          <w:szCs w:val="20"/>
          <w:lang w:val="es-ES"/>
        </w:rPr>
        <w:t xml:space="preserve">razonable </w:t>
      </w:r>
      <w:r w:rsidR="00287379">
        <w:rPr>
          <w:rFonts w:ascii="Avenir Next" w:hAnsi="Avenir Next" w:cs="Arial"/>
          <w:color w:val="000000" w:themeColor="text1"/>
          <w:sz w:val="20"/>
          <w:szCs w:val="20"/>
          <w:lang w:val="es-ES"/>
        </w:rPr>
        <w:t>para el</w:t>
      </w:r>
      <w:r w:rsidR="00287379"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monto del contrato. Este tipo de requisitos pueden actuar como barreras de entrada a empresas más pequeñas</w:t>
      </w:r>
      <w:r w:rsidR="009A5D62">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con acceso limitado al capital o al mercado financiero</w:t>
      </w:r>
      <w:r w:rsidR="00FC5B19" w:rsidRPr="00282BBC">
        <w:rPr>
          <w:rFonts w:ascii="Avenir Next" w:hAnsi="Avenir Next" w:cs="Arial"/>
          <w:color w:val="000000" w:themeColor="text1"/>
          <w:sz w:val="20"/>
          <w:szCs w:val="20"/>
          <w:lang w:val="es-ES"/>
        </w:rPr>
        <w:t xml:space="preserve">. </w:t>
      </w:r>
    </w:p>
    <w:p w14:paraId="6287C5F8" w14:textId="5099F8FE" w:rsidR="00ED70B5" w:rsidRPr="00282BBC" w:rsidRDefault="00FC5B19"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w:t>
      </w:r>
      <w:r w:rsidR="00542F60" w:rsidRPr="00282BBC">
        <w:rPr>
          <w:rFonts w:ascii="Avenir Next" w:hAnsi="Avenir Next" w:cs="Arial"/>
          <w:color w:val="000000" w:themeColor="text1"/>
          <w:sz w:val="20"/>
          <w:szCs w:val="20"/>
          <w:lang w:val="es-ES"/>
        </w:rPr>
        <w:t xml:space="preserve">or otro lado, un </w:t>
      </w:r>
      <w:r w:rsidR="009A5D62">
        <w:rPr>
          <w:rFonts w:ascii="Avenir Next" w:hAnsi="Avenir Next" w:cs="Arial"/>
          <w:color w:val="000000" w:themeColor="text1"/>
          <w:sz w:val="20"/>
          <w:szCs w:val="20"/>
          <w:lang w:val="es-ES"/>
        </w:rPr>
        <w:t>muy bajo</w:t>
      </w:r>
      <w:r w:rsidR="009A5D62"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porcentaje podría indicar lo contrario, pues cuando no hay requisitos que resguarden los montos a ser invertidos en una adquisición, también podría ser riesgoso.</w:t>
      </w:r>
    </w:p>
    <w:p w14:paraId="5A0229E4" w14:textId="3DF1FF91" w:rsidR="00542F60" w:rsidRPr="00282BBC"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w:t>
      </w:r>
    </w:p>
    <w:p w14:paraId="48F17633" w14:textId="727D226A"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w:t>
      </w:r>
      <w:r w:rsidR="00542F60" w:rsidRPr="009A5D62">
        <w:rPr>
          <w:rFonts w:ascii="Avenir Next" w:hAnsi="Avenir Next"/>
          <w:color w:val="000000" w:themeColor="text1"/>
          <w:sz w:val="20"/>
          <w:szCs w:val="20"/>
          <w:lang w:val="es-ES"/>
        </w:rPr>
        <w:t>Fiel cumplimiento</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riesgos</w:t>
      </w:r>
      <w:r w:rsidR="00153367" w:rsidRPr="009A5D62">
        <w:rPr>
          <w:rFonts w:ascii="Avenir Next" w:hAnsi="Avenir Next"/>
          <w:color w:val="000000" w:themeColor="text1"/>
          <w:sz w:val="20"/>
          <w:szCs w:val="20"/>
          <w:lang w:val="es-ES"/>
        </w:rPr>
        <w:t>o</w:t>
      </w:r>
      <w:r w:rsidR="005F0E98" w:rsidRPr="009A5D62">
        <w:rPr>
          <w:rFonts w:ascii="Avenir Next" w:hAnsi="Avenir Next"/>
          <w:color w:val="000000" w:themeColor="text1"/>
          <w:sz w:val="20"/>
          <w:szCs w:val="20"/>
          <w:lang w:val="es-ES"/>
        </w:rPr>
        <w:t xml:space="preserve"> si la garantía se encuentra </w:t>
      </w:r>
      <w:r w:rsidR="00B0162A" w:rsidRPr="009A5D62">
        <w:rPr>
          <w:rFonts w:ascii="Avenir Next" w:hAnsi="Avenir Next"/>
          <w:color w:val="000000" w:themeColor="text1"/>
          <w:sz w:val="20"/>
          <w:szCs w:val="20"/>
          <w:lang w:val="es-ES"/>
        </w:rPr>
        <w:t>fuera del rango</w:t>
      </w:r>
      <w:r w:rsidR="00542F60" w:rsidRPr="009A5D62">
        <w:rPr>
          <w:rFonts w:ascii="Avenir Next" w:hAnsi="Avenir Next"/>
          <w:color w:val="000000" w:themeColor="text1"/>
          <w:sz w:val="20"/>
          <w:szCs w:val="20"/>
          <w:lang w:val="es-ES"/>
        </w:rPr>
        <w:t xml:space="preserve"> </w:t>
      </w:r>
      <w:r w:rsidR="00C05D41">
        <w:rPr>
          <w:rFonts w:ascii="Avenir Next" w:hAnsi="Avenir Next"/>
          <w:color w:val="000000" w:themeColor="text1"/>
          <w:sz w:val="20"/>
          <w:szCs w:val="20"/>
          <w:lang w:val="es-ES"/>
        </w:rPr>
        <w:t>5</w:t>
      </w:r>
      <w:r w:rsidR="00542F60" w:rsidRPr="009A5D62">
        <w:rPr>
          <w:rFonts w:ascii="Avenir Next" w:hAnsi="Avenir Next"/>
          <w:color w:val="000000" w:themeColor="text1"/>
          <w:sz w:val="20"/>
          <w:szCs w:val="20"/>
          <w:lang w:val="es-ES"/>
        </w:rPr>
        <w:t>% y 30%</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40E6F406" w14:textId="7618DEBD"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“s</w:t>
      </w:r>
      <w:r w:rsidR="00542F60" w:rsidRPr="009A5D62">
        <w:rPr>
          <w:rFonts w:ascii="Avenir Next" w:hAnsi="Avenir Next"/>
          <w:color w:val="000000" w:themeColor="text1"/>
          <w:sz w:val="20"/>
          <w:szCs w:val="20"/>
          <w:lang w:val="es-ES"/>
        </w:rPr>
        <w:t>eriedad de oferta</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00153367"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542F60"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y 5%</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7C1BF40C" w14:textId="5E6A1374" w:rsidR="00542F60" w:rsidRPr="009A5D62" w:rsidRDefault="00153367"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o</w:t>
      </w:r>
      <w:r w:rsidR="00542F60" w:rsidRPr="009A5D62">
        <w:rPr>
          <w:rFonts w:ascii="Avenir Next" w:hAnsi="Avenir Next"/>
          <w:color w:val="000000" w:themeColor="text1"/>
          <w:sz w:val="20"/>
          <w:szCs w:val="20"/>
          <w:lang w:val="es-ES"/>
        </w:rPr>
        <w:t>tr</w:t>
      </w:r>
      <w:r w:rsidR="00E336EE" w:rsidRPr="009A5D62">
        <w:rPr>
          <w:rFonts w:ascii="Avenir Next" w:hAnsi="Avenir Next"/>
          <w:color w:val="000000" w:themeColor="text1"/>
          <w:sz w:val="20"/>
          <w:szCs w:val="20"/>
          <w:lang w:val="es-ES"/>
        </w:rPr>
        <w:t>a</w:t>
      </w:r>
      <w:r w:rsidR="00542F60" w:rsidRPr="009A5D62">
        <w:rPr>
          <w:rFonts w:ascii="Avenir Next" w:hAnsi="Avenir Next"/>
          <w:color w:val="000000" w:themeColor="text1"/>
          <w:sz w:val="20"/>
          <w:szCs w:val="20"/>
          <w:lang w:val="es-ES"/>
        </w:rPr>
        <w:t>s</w:t>
      </w:r>
      <w:r w:rsidR="00E336EE" w:rsidRPr="009A5D62">
        <w:rPr>
          <w:rFonts w:ascii="Avenir Next" w:hAnsi="Avenir Next"/>
          <w:color w:val="000000" w:themeColor="text1"/>
          <w:sz w:val="20"/>
          <w:szCs w:val="20"/>
          <w:lang w:val="es-ES"/>
        </w:rPr>
        <w:t xml:space="preserve"> garantías</w:t>
      </w:r>
      <w:r w:rsidR="00542F60" w:rsidRPr="009A5D62">
        <w:rPr>
          <w:rFonts w:ascii="Avenir Next" w:hAnsi="Avenir Next"/>
          <w:color w:val="000000" w:themeColor="text1"/>
          <w:sz w:val="20"/>
          <w:szCs w:val="20"/>
          <w:lang w:val="es-ES"/>
        </w:rPr>
        <w:t>:</w:t>
      </w:r>
      <w:r w:rsidRPr="009A5D62">
        <w:rPr>
          <w:rFonts w:ascii="Avenir Next" w:hAnsi="Avenir Next"/>
          <w:color w:val="000000" w:themeColor="text1"/>
          <w:sz w:val="20"/>
          <w:szCs w:val="20"/>
          <w:lang w:val="es-ES"/>
        </w:rPr>
        <w:t xml:space="preserve"> se considera</w:t>
      </w:r>
      <w:r w:rsidR="00542F60" w:rsidRPr="009A5D62">
        <w:rPr>
          <w:rFonts w:ascii="Avenir Next" w:hAnsi="Avenir Next"/>
          <w:color w:val="000000" w:themeColor="text1"/>
          <w:sz w:val="20"/>
          <w:szCs w:val="20"/>
          <w:lang w:val="es-ES"/>
        </w:rPr>
        <w:t xml:space="preserve">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C05D41"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xml:space="preserve">% y </w:t>
      </w:r>
      <w:r w:rsidR="00C05D41">
        <w:rPr>
          <w:rFonts w:ascii="Avenir Next" w:hAnsi="Avenir Next"/>
          <w:color w:val="000000" w:themeColor="text1"/>
          <w:sz w:val="20"/>
          <w:szCs w:val="20"/>
          <w:lang w:val="es-ES"/>
        </w:rPr>
        <w:t>10</w:t>
      </w:r>
      <w:r w:rsidR="00542F60" w:rsidRPr="009A5D62">
        <w:rPr>
          <w:rFonts w:ascii="Avenir Next" w:hAnsi="Avenir Next"/>
          <w:color w:val="000000" w:themeColor="text1"/>
          <w:sz w:val="20"/>
          <w:szCs w:val="20"/>
          <w:lang w:val="es-ES"/>
        </w:rPr>
        <w:t>%</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0DE0118C" w14:textId="7043F992" w:rsidR="00542F60" w:rsidRPr="005C0485" w:rsidRDefault="00201C01" w:rsidP="00542F60">
      <w:pPr>
        <w:jc w:val="both"/>
        <w:rPr>
          <w:rFonts w:ascii="Avenir Next" w:hAnsi="Avenir Next" w:cs="Arial"/>
          <w:color w:val="000000" w:themeColor="text1"/>
          <w:sz w:val="20"/>
          <w:szCs w:val="20"/>
          <w:lang w:val="es-ES"/>
        </w:rPr>
      </w:pPr>
      <w:r w:rsidRPr="005C0485">
        <w:rPr>
          <w:rFonts w:ascii="Avenir Next" w:hAnsi="Avenir Next" w:cs="Arial"/>
          <w:color w:val="000000" w:themeColor="text1"/>
          <w:sz w:val="20"/>
          <w:szCs w:val="20"/>
          <w:lang w:val="es-ES"/>
        </w:rPr>
        <w:t>Los u</w:t>
      </w:r>
      <w:r w:rsidR="00C05D41" w:rsidRPr="005C0485">
        <w:rPr>
          <w:rFonts w:ascii="Avenir Next" w:hAnsi="Avenir Next" w:cs="Arial"/>
          <w:color w:val="000000" w:themeColor="text1"/>
          <w:sz w:val="20"/>
          <w:szCs w:val="20"/>
          <w:lang w:val="es-ES"/>
        </w:rPr>
        <w:t>mbrales definidos a partir de la normativa y en el caso de los mínimos, se aplicó un valor sumamente bajo</w:t>
      </w:r>
      <w:r w:rsidR="005C0485" w:rsidRPr="005C0485">
        <w:rPr>
          <w:rFonts w:ascii="Avenir Next" w:hAnsi="Avenir Next" w:cs="Arial"/>
          <w:color w:val="000000" w:themeColor="text1"/>
          <w:sz w:val="20"/>
          <w:szCs w:val="20"/>
          <w:lang w:val="es-ES"/>
        </w:rPr>
        <w:t>, en este caso (0,000001%)</w:t>
      </w:r>
      <w:r w:rsidR="005C0485">
        <w:rPr>
          <w:rFonts w:ascii="Avenir Next" w:hAnsi="Avenir Next" w:cs="Arial"/>
          <w:color w:val="000000" w:themeColor="text1"/>
          <w:sz w:val="20"/>
          <w:szCs w:val="20"/>
          <w:lang w:val="es-ES"/>
        </w:rPr>
        <w:t>.</w:t>
      </w:r>
    </w:p>
    <w:p w14:paraId="06BD9499" w14:textId="25555C0B" w:rsidR="009A5D62" w:rsidRDefault="009A5D62" w:rsidP="00542F60">
      <w:pPr>
        <w:jc w:val="both"/>
        <w:rPr>
          <w:rFonts w:ascii="Avenir Next" w:hAnsi="Avenir Next" w:cs="Arial"/>
          <w:color w:val="000000" w:themeColor="text1"/>
          <w:lang w:val="es-ES"/>
        </w:rPr>
      </w:pPr>
    </w:p>
    <w:p w14:paraId="56B8D31C" w14:textId="0B87AD18" w:rsidR="009A5D62" w:rsidRDefault="009A5D62" w:rsidP="00542F60">
      <w:pPr>
        <w:jc w:val="both"/>
        <w:rPr>
          <w:rFonts w:ascii="Avenir Next" w:hAnsi="Avenir Next" w:cs="Arial"/>
          <w:color w:val="000000" w:themeColor="text1"/>
          <w:lang w:val="es-ES"/>
        </w:rPr>
      </w:pPr>
    </w:p>
    <w:p w14:paraId="6F0835FA" w14:textId="290BA3DE" w:rsidR="009A5D62" w:rsidRDefault="009A5D62" w:rsidP="00542F60">
      <w:pPr>
        <w:jc w:val="both"/>
        <w:rPr>
          <w:rFonts w:ascii="Avenir Next" w:hAnsi="Avenir Next" w:cs="Arial"/>
          <w:color w:val="000000" w:themeColor="text1"/>
          <w:lang w:val="es-ES"/>
        </w:rPr>
      </w:pPr>
    </w:p>
    <w:p w14:paraId="3E9A52CA" w14:textId="4166F2BD" w:rsidR="009A5D62" w:rsidRDefault="009A5D62" w:rsidP="00542F60">
      <w:pPr>
        <w:jc w:val="both"/>
        <w:rPr>
          <w:rFonts w:ascii="Avenir Next" w:hAnsi="Avenir Next" w:cs="Arial"/>
          <w:color w:val="000000" w:themeColor="text1"/>
          <w:lang w:val="es-ES"/>
        </w:rPr>
      </w:pPr>
    </w:p>
    <w:p w14:paraId="257B10F5" w14:textId="7D4647BD" w:rsidR="009A5D62" w:rsidRDefault="009A5D62" w:rsidP="00542F60">
      <w:pPr>
        <w:jc w:val="both"/>
        <w:rPr>
          <w:rFonts w:ascii="Avenir Next" w:hAnsi="Avenir Next" w:cs="Arial"/>
          <w:color w:val="000000" w:themeColor="text1"/>
          <w:lang w:val="es-ES"/>
        </w:rPr>
      </w:pPr>
    </w:p>
    <w:p w14:paraId="0C3B1B78" w14:textId="52997D2B" w:rsidR="009A5D62" w:rsidRDefault="009A5D62" w:rsidP="00542F60">
      <w:pPr>
        <w:jc w:val="both"/>
        <w:rPr>
          <w:rFonts w:ascii="Avenir Next" w:hAnsi="Avenir Next" w:cs="Arial"/>
          <w:color w:val="000000" w:themeColor="text1"/>
          <w:lang w:val="es-ES"/>
        </w:rPr>
      </w:pPr>
    </w:p>
    <w:p w14:paraId="6563CBC3" w14:textId="408CDC52" w:rsidR="009A5D62" w:rsidRDefault="009A5D62" w:rsidP="00542F60">
      <w:pPr>
        <w:jc w:val="both"/>
        <w:rPr>
          <w:rFonts w:ascii="Avenir Next" w:hAnsi="Avenir Next" w:cs="Arial"/>
          <w:color w:val="000000" w:themeColor="text1"/>
          <w:lang w:val="es-ES"/>
        </w:rPr>
      </w:pPr>
    </w:p>
    <w:p w14:paraId="76ECFF84" w14:textId="7D1360F6" w:rsidR="009A5D62" w:rsidRDefault="009A5D62" w:rsidP="00542F60">
      <w:pPr>
        <w:jc w:val="both"/>
        <w:rPr>
          <w:rFonts w:ascii="Avenir Next" w:hAnsi="Avenir Next" w:cs="Arial"/>
          <w:color w:val="000000" w:themeColor="text1"/>
          <w:lang w:val="es-ES"/>
        </w:rPr>
      </w:pPr>
    </w:p>
    <w:p w14:paraId="6B7BC0DD" w14:textId="4D545750" w:rsidR="009A5D62" w:rsidRDefault="009A5D62" w:rsidP="00542F60">
      <w:pPr>
        <w:jc w:val="both"/>
        <w:rPr>
          <w:rFonts w:ascii="Avenir Next" w:hAnsi="Avenir Next" w:cs="Arial"/>
          <w:color w:val="000000" w:themeColor="text1"/>
          <w:lang w:val="es-ES"/>
        </w:rPr>
      </w:pPr>
    </w:p>
    <w:p w14:paraId="37A6738D" w14:textId="735DD192" w:rsidR="00B12097" w:rsidRDefault="00B12097" w:rsidP="00542F60">
      <w:pPr>
        <w:jc w:val="both"/>
        <w:rPr>
          <w:rFonts w:ascii="Avenir Next" w:hAnsi="Avenir Next" w:cs="Arial"/>
          <w:color w:val="000000" w:themeColor="text1"/>
          <w:lang w:val="es-ES"/>
        </w:rPr>
      </w:pPr>
    </w:p>
    <w:p w14:paraId="713DBF67" w14:textId="77777777" w:rsidR="00B12097" w:rsidRPr="00282BBC" w:rsidRDefault="00B12097" w:rsidP="00542F60">
      <w:pPr>
        <w:jc w:val="both"/>
        <w:rPr>
          <w:rFonts w:ascii="Avenir Next" w:hAnsi="Avenir Next" w:cs="Arial"/>
          <w:color w:val="000000" w:themeColor="text1"/>
          <w:lang w:val="es-ES"/>
        </w:rPr>
      </w:pPr>
    </w:p>
    <w:p w14:paraId="6E4308F8" w14:textId="42751F22" w:rsidR="00542F60" w:rsidRPr="00282BBC" w:rsidRDefault="00C83ABA" w:rsidP="00542F60">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542F60" w:rsidRPr="00282BBC">
        <w:rPr>
          <w:rFonts w:ascii="Avenir Next" w:hAnsi="Avenir Next" w:cs="Arial"/>
          <w:color w:val="000000" w:themeColor="text1"/>
          <w:sz w:val="16"/>
          <w:szCs w:val="16"/>
          <w:lang w:val="es-ES"/>
        </w:rPr>
        <w:t>1</w:t>
      </w:r>
      <w:r w:rsidR="00E467E1">
        <w:rPr>
          <w:rFonts w:ascii="Avenir Next" w:hAnsi="Avenir Next" w:cs="Arial"/>
          <w:color w:val="000000" w:themeColor="text1"/>
          <w:sz w:val="16"/>
          <w:szCs w:val="16"/>
          <w:lang w:val="es-ES"/>
        </w:rPr>
        <w:t>a</w:t>
      </w:r>
      <w:r w:rsidR="00542F60"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w:t>
      </w:r>
      <w:r w:rsidR="00287379">
        <w:rPr>
          <w:rFonts w:ascii="Avenir Next" w:hAnsi="Avenir Next" w:cs="Arial"/>
          <w:color w:val="000000" w:themeColor="text1"/>
          <w:sz w:val="16"/>
          <w:szCs w:val="16"/>
          <w:lang w:val="es-ES"/>
        </w:rPr>
        <w:t xml:space="preserve">públicas </w:t>
      </w:r>
      <w:r w:rsidR="001F7E21">
        <w:rPr>
          <w:rFonts w:ascii="Avenir Next" w:hAnsi="Avenir Next" w:cs="Arial"/>
          <w:color w:val="000000" w:themeColor="text1"/>
          <w:sz w:val="16"/>
          <w:szCs w:val="16"/>
          <w:lang w:val="es-ES"/>
        </w:rPr>
        <w:t xml:space="preserve">de mercado público- con más </w:t>
      </w:r>
      <w:r w:rsidR="00542F60" w:rsidRPr="00282BBC">
        <w:rPr>
          <w:rFonts w:ascii="Avenir Next" w:hAnsi="Avenir Next" w:cs="Arial"/>
          <w:color w:val="000000" w:themeColor="text1"/>
          <w:sz w:val="16"/>
          <w:szCs w:val="16"/>
          <w:lang w:val="es-ES"/>
        </w:rPr>
        <w:t xml:space="preserve">licitaciones riesgosas de acuerdo al indicador, </w:t>
      </w:r>
      <w:r w:rsidR="00542F60" w:rsidRPr="00282BBC">
        <w:rPr>
          <w:rFonts w:ascii="Avenir Next" w:hAnsi="Avenir Next" w:cs="Arial"/>
          <w:b/>
          <w:bCs/>
          <w:color w:val="000000" w:themeColor="text1"/>
          <w:sz w:val="16"/>
          <w:szCs w:val="16"/>
          <w:lang w:val="es-ES"/>
        </w:rPr>
        <w:t xml:space="preserve">ordenado de manera descendente por el % </w:t>
      </w:r>
      <w:r w:rsidR="00542F60"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00542F60"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00542F60"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E56C7B">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5F0E98" w:rsidRPr="00282BBC">
        <w:rPr>
          <w:rFonts w:ascii="Avenir Next" w:hAnsi="Avenir Next" w:cs="Arial"/>
          <w:color w:val="000000" w:themeColor="text1"/>
          <w:sz w:val="16"/>
          <w:szCs w:val="16"/>
          <w:lang w:val="es-ES"/>
        </w:rPr>
        <w:t>.</w:t>
      </w:r>
    </w:p>
    <w:p w14:paraId="577DDB50" w14:textId="1BF75325" w:rsidR="001E69C0" w:rsidRPr="00CC43B5" w:rsidRDefault="00E56C7B" w:rsidP="00CC43B5">
      <w:pPr>
        <w:jc w:val="center"/>
        <w:rPr>
          <w:rFonts w:ascii="Avenir Next" w:hAnsi="Avenir Next" w:cs="Arial"/>
          <w:color w:val="000000" w:themeColor="text1"/>
          <w:lang w:val="es-ES"/>
        </w:rPr>
      </w:pPr>
      <w:r w:rsidRPr="00E56C7B">
        <w:rPr>
          <w:rFonts w:ascii="Avenir Next" w:hAnsi="Avenir Next" w:cs="Arial"/>
          <w:noProof/>
          <w:color w:val="000000" w:themeColor="text1"/>
          <w:lang w:val="es-ES"/>
        </w:rPr>
        <w:drawing>
          <wp:inline distT="0" distB="0" distL="0" distR="0" wp14:anchorId="548F70AE" wp14:editId="1DE2AC43">
            <wp:extent cx="5391902" cy="2486372"/>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25"/>
                    <a:stretch>
                      <a:fillRect/>
                    </a:stretch>
                  </pic:blipFill>
                  <pic:spPr>
                    <a:xfrm>
                      <a:off x="0" y="0"/>
                      <a:ext cx="5391902" cy="2486372"/>
                    </a:xfrm>
                    <a:prstGeom prst="rect">
                      <a:avLst/>
                    </a:prstGeom>
                  </pic:spPr>
                </pic:pic>
              </a:graphicData>
            </a:graphic>
          </wp:inline>
        </w:drawing>
      </w: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23653ACD" w:rsidR="00061501" w:rsidRDefault="00061501" w:rsidP="00061501">
      <w:pPr>
        <w:rPr>
          <w:rFonts w:ascii="Avenir Next" w:hAnsi="Avenir Next" w:cs="Arial"/>
          <w:color w:val="000000" w:themeColor="text1"/>
          <w:sz w:val="20"/>
          <w:szCs w:val="20"/>
          <w:lang w:val="es-ES"/>
        </w:rPr>
      </w:pPr>
    </w:p>
    <w:p w14:paraId="7B028E6B" w14:textId="77777777" w:rsidR="00814E94" w:rsidRDefault="00814E94" w:rsidP="00061501">
      <w:pPr>
        <w:rPr>
          <w:rFonts w:ascii="Avenir Next" w:hAnsi="Avenir Next" w:cs="Arial"/>
          <w:color w:val="000000" w:themeColor="text1"/>
          <w:sz w:val="16"/>
          <w:szCs w:val="16"/>
          <w:lang w:val="es-ES"/>
        </w:rPr>
      </w:pPr>
    </w:p>
    <w:p w14:paraId="0F93D312" w14:textId="62A51BBA" w:rsidR="007B2DE1" w:rsidRPr="00282BBC" w:rsidRDefault="00C83ABA" w:rsidP="00061501">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E467E1">
        <w:rPr>
          <w:rFonts w:ascii="Avenir Next" w:hAnsi="Avenir Next" w:cs="Arial"/>
          <w:color w:val="000000" w:themeColor="text1"/>
          <w:sz w:val="16"/>
          <w:szCs w:val="16"/>
          <w:lang w:val="es-ES"/>
        </w:rPr>
        <w:t>1b</w:t>
      </w:r>
      <w:r w:rsidR="007B2DE1" w:rsidRPr="00282BBC">
        <w:rPr>
          <w:rFonts w:ascii="Avenir Next" w:hAnsi="Avenir Next" w:cs="Arial"/>
          <w:color w:val="000000" w:themeColor="text1"/>
          <w:sz w:val="16"/>
          <w:szCs w:val="16"/>
          <w:lang w:val="es-ES"/>
        </w:rPr>
        <w:t>: Ranking de licitaciones riesgosas según dependencia ministerial</w:t>
      </w:r>
      <w:r w:rsidR="001A66E0" w:rsidRPr="001A66E0">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-u otras agrupaciones públicas de mercado público</w:t>
      </w:r>
      <w:r w:rsidR="00A2722B">
        <w:rPr>
          <w:rFonts w:ascii="Avenir Next" w:hAnsi="Avenir Next" w:cs="Arial"/>
          <w:color w:val="000000" w:themeColor="text1"/>
          <w:sz w:val="16"/>
          <w:szCs w:val="16"/>
          <w:lang w:val="es-ES"/>
        </w:rPr>
        <w:t xml:space="preserve">- </w:t>
      </w:r>
      <w:r w:rsidR="00A2722B" w:rsidRPr="00E467E1">
        <w:rPr>
          <w:rFonts w:ascii="Avenir Next" w:hAnsi="Avenir Next" w:cs="Arial"/>
          <w:color w:val="000000" w:themeColor="text1"/>
          <w:sz w:val="16"/>
          <w:szCs w:val="16"/>
          <w:lang w:val="es-ES"/>
        </w:rPr>
        <w:t>(</w:t>
      </w:r>
      <w:r w:rsidR="00E467E1">
        <w:rPr>
          <w:rFonts w:ascii="Avenir Next" w:hAnsi="Avenir Next" w:cs="Arial"/>
          <w:color w:val="000000" w:themeColor="text1"/>
          <w:sz w:val="16"/>
          <w:szCs w:val="16"/>
          <w:lang w:val="es-ES"/>
        </w:rPr>
        <w:t>mismo indicador que en 1a)</w:t>
      </w:r>
      <w:r w:rsidR="007B2DE1" w:rsidRPr="00282BBC">
        <w:rPr>
          <w:rFonts w:ascii="Avenir Next" w:hAnsi="Avenir Next" w:cs="Arial"/>
          <w:color w:val="000000" w:themeColor="text1"/>
          <w:sz w:val="16"/>
          <w:szCs w:val="16"/>
          <w:lang w:val="es-ES"/>
        </w:rPr>
        <w:t xml:space="preserve">, </w:t>
      </w:r>
      <w:r w:rsidR="007B2DE1" w:rsidRPr="00282BBC">
        <w:rPr>
          <w:rFonts w:ascii="Avenir Next" w:hAnsi="Avenir Next" w:cs="Arial"/>
          <w:b/>
          <w:bCs/>
          <w:color w:val="000000" w:themeColor="text1"/>
          <w:sz w:val="16"/>
          <w:szCs w:val="16"/>
          <w:lang w:val="es-ES"/>
        </w:rPr>
        <w:t>ordenado de manera descendente por la cantidad</w:t>
      </w:r>
      <w:r w:rsidR="007B2DE1"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E56C7B">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7B2DE1" w:rsidRPr="00282BBC">
        <w:rPr>
          <w:rFonts w:ascii="Avenir Next" w:hAnsi="Avenir Next" w:cs="Arial"/>
          <w:color w:val="000000" w:themeColor="text1"/>
          <w:sz w:val="16"/>
          <w:szCs w:val="16"/>
          <w:lang w:val="es-ES"/>
        </w:rPr>
        <w:t>.</w:t>
      </w:r>
    </w:p>
    <w:p w14:paraId="6525B492" w14:textId="3875CCA0" w:rsidR="007B2DE1" w:rsidRPr="00CC43B5" w:rsidRDefault="001819DE" w:rsidP="00CC43B5">
      <w:pPr>
        <w:jc w:val="center"/>
        <w:rPr>
          <w:rFonts w:ascii="Avenir Next" w:hAnsi="Avenir Next" w:cs="Arial"/>
          <w:color w:val="000000" w:themeColor="text1"/>
          <w:sz w:val="16"/>
          <w:szCs w:val="16"/>
          <w:lang w:val="es-ES"/>
        </w:rPr>
      </w:pPr>
      <w:r w:rsidRPr="001819DE">
        <w:rPr>
          <w:rFonts w:ascii="Avenir Next" w:hAnsi="Avenir Next" w:cs="Arial"/>
          <w:noProof/>
          <w:color w:val="000000" w:themeColor="text1"/>
          <w:sz w:val="16"/>
          <w:szCs w:val="16"/>
          <w:lang w:val="es-ES"/>
        </w:rPr>
        <w:drawing>
          <wp:inline distT="0" distB="0" distL="0" distR="0" wp14:anchorId="055F63F0" wp14:editId="3789B1C6">
            <wp:extent cx="5410955" cy="2543530"/>
            <wp:effectExtent l="0" t="0" r="0" b="9525"/>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7"/>
                    <a:stretch>
                      <a:fillRect/>
                    </a:stretch>
                  </pic:blipFill>
                  <pic:spPr>
                    <a:xfrm>
                      <a:off x="0" y="0"/>
                      <a:ext cx="5410955" cy="2543530"/>
                    </a:xfrm>
                    <a:prstGeom prst="rect">
                      <a:avLst/>
                    </a:prstGeom>
                  </pic:spPr>
                </pic:pic>
              </a:graphicData>
            </a:graphic>
          </wp:inline>
        </w:drawing>
      </w: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2F2E212A" w:rsidR="00446963" w:rsidRDefault="00446963" w:rsidP="00446963">
      <w:pPr>
        <w:jc w:val="both"/>
        <w:rPr>
          <w:rFonts w:ascii="Avenir Next" w:hAnsi="Avenir Next" w:cs="Arial"/>
          <w:color w:val="000000" w:themeColor="text1"/>
          <w:sz w:val="20"/>
          <w:szCs w:val="20"/>
          <w:lang w:val="es-ES"/>
        </w:rPr>
      </w:pPr>
    </w:p>
    <w:p w14:paraId="673F8C97" w14:textId="77777777" w:rsidR="009A5D62" w:rsidRPr="00282BBC" w:rsidRDefault="009A5D62" w:rsidP="00446963">
      <w:pPr>
        <w:jc w:val="both"/>
        <w:rPr>
          <w:rFonts w:ascii="Avenir Next" w:hAnsi="Avenir Next" w:cs="Arial"/>
          <w:color w:val="000000" w:themeColor="text1"/>
          <w:sz w:val="20"/>
          <w:szCs w:val="20"/>
          <w:lang w:val="es-ES"/>
        </w:rPr>
      </w:pPr>
    </w:p>
    <w:p w14:paraId="3B4CB891" w14:textId="7A382BD4" w:rsidR="00446963" w:rsidRPr="00C83ABA" w:rsidRDefault="00E467E1" w:rsidP="00C83ABA">
      <w:pPr>
        <w:pStyle w:val="Ttulo2"/>
        <w:numPr>
          <w:ilvl w:val="0"/>
          <w:numId w:val="12"/>
        </w:numPr>
        <w:spacing w:after="60"/>
        <w:rPr>
          <w:rFonts w:ascii="Avenir Next" w:hAnsi="Avenir Next" w:cs="Arial"/>
          <w:color w:val="000000" w:themeColor="text1"/>
          <w:sz w:val="20"/>
          <w:szCs w:val="20"/>
          <w:lang w:val="es-ES"/>
        </w:rPr>
      </w:pPr>
      <w:bookmarkStart w:id="13" w:name="_Toc84503151"/>
      <w:r w:rsidRPr="00C83ABA">
        <w:rPr>
          <w:rFonts w:ascii="Avenir Next" w:hAnsi="Avenir Next"/>
          <w:color w:val="000000" w:themeColor="text1"/>
          <w:lang w:val="es-ES"/>
        </w:rPr>
        <w:t>R</w:t>
      </w:r>
      <w:r w:rsidR="001F7E21" w:rsidRPr="00C83ABA">
        <w:rPr>
          <w:rFonts w:ascii="Avenir Next" w:hAnsi="Avenir Next"/>
          <w:color w:val="000000" w:themeColor="text1"/>
          <w:lang w:val="es-ES"/>
        </w:rPr>
        <w:t xml:space="preserve">iesgos </w:t>
      </w:r>
      <w:r w:rsidR="008E1CCB">
        <w:rPr>
          <w:rFonts w:ascii="Avenir Next" w:hAnsi="Avenir Next"/>
          <w:color w:val="000000" w:themeColor="text1"/>
          <w:lang w:val="es-ES"/>
        </w:rPr>
        <w:t>E</w:t>
      </w:r>
      <w:r w:rsidR="001F7E21" w:rsidRPr="00C83ABA">
        <w:rPr>
          <w:rFonts w:ascii="Avenir Next" w:hAnsi="Avenir Next"/>
          <w:color w:val="000000" w:themeColor="text1"/>
          <w:lang w:val="es-ES"/>
        </w:rPr>
        <w:t xml:space="preserve">specíficos </w:t>
      </w:r>
      <w:r w:rsidR="008E1CCB">
        <w:rPr>
          <w:rFonts w:ascii="Avenir Next" w:hAnsi="Avenir Next"/>
          <w:color w:val="000000" w:themeColor="text1"/>
          <w:lang w:val="es-ES"/>
        </w:rPr>
        <w:t>D</w:t>
      </w:r>
      <w:r w:rsidR="001F7E21" w:rsidRPr="00C83ABA">
        <w:rPr>
          <w:rFonts w:ascii="Avenir Next" w:hAnsi="Avenir Next"/>
          <w:color w:val="000000" w:themeColor="text1"/>
          <w:lang w:val="es-ES"/>
        </w:rPr>
        <w:t xml:space="preserve">urante la </w:t>
      </w:r>
      <w:r w:rsidR="008E1CCB">
        <w:rPr>
          <w:rFonts w:ascii="Avenir Next" w:hAnsi="Avenir Next"/>
          <w:color w:val="000000" w:themeColor="text1"/>
          <w:lang w:val="es-ES"/>
        </w:rPr>
        <w:t>E</w:t>
      </w:r>
      <w:r w:rsidR="001F7E21" w:rsidRPr="00C83ABA">
        <w:rPr>
          <w:rFonts w:ascii="Avenir Next" w:hAnsi="Avenir Next"/>
          <w:color w:val="000000" w:themeColor="text1"/>
          <w:lang w:val="es-ES"/>
        </w:rPr>
        <w:t>tapa de “Elaboración”</w:t>
      </w:r>
      <w:r w:rsidR="008E1CCB">
        <w:rPr>
          <w:rFonts w:ascii="Avenir Next" w:hAnsi="Avenir Next"/>
          <w:color w:val="000000" w:themeColor="text1"/>
          <w:lang w:val="es-ES"/>
        </w:rPr>
        <w:t xml:space="preserve">: </w:t>
      </w:r>
      <w:r w:rsidR="00446963" w:rsidRPr="00C83ABA">
        <w:rPr>
          <w:rFonts w:ascii="Avenir Next" w:hAnsi="Avenir Next"/>
          <w:color w:val="000000" w:themeColor="text1"/>
          <w:lang w:val="es-ES"/>
        </w:rPr>
        <w:t xml:space="preserve">Monto </w:t>
      </w:r>
      <w:r w:rsidRPr="00C83ABA">
        <w:rPr>
          <w:rFonts w:ascii="Avenir Next" w:hAnsi="Avenir Next"/>
          <w:color w:val="000000" w:themeColor="text1"/>
          <w:lang w:val="es-ES"/>
        </w:rPr>
        <w:t xml:space="preserve">de la </w:t>
      </w:r>
      <w:r w:rsidR="008E1CCB">
        <w:rPr>
          <w:rFonts w:ascii="Avenir Next" w:hAnsi="Avenir Next"/>
          <w:color w:val="000000" w:themeColor="text1"/>
          <w:lang w:val="es-ES"/>
        </w:rPr>
        <w:t>L</w:t>
      </w:r>
      <w:r w:rsidRPr="00C83ABA">
        <w:rPr>
          <w:rFonts w:ascii="Avenir Next" w:hAnsi="Avenir Next"/>
          <w:color w:val="000000" w:themeColor="text1"/>
          <w:lang w:val="es-ES"/>
        </w:rPr>
        <w:t xml:space="preserve">icitación </w:t>
      </w:r>
      <w:r w:rsidR="008E1CCB">
        <w:rPr>
          <w:rFonts w:ascii="Avenir Next" w:hAnsi="Avenir Next"/>
          <w:color w:val="000000" w:themeColor="text1"/>
          <w:lang w:val="es-ES"/>
        </w:rPr>
        <w:t>C</w:t>
      </w:r>
      <w:r w:rsidR="00446963" w:rsidRPr="00C83ABA">
        <w:rPr>
          <w:rFonts w:ascii="Avenir Next" w:hAnsi="Avenir Next"/>
          <w:color w:val="000000" w:themeColor="text1"/>
          <w:lang w:val="es-ES"/>
        </w:rPr>
        <w:t>ercano a</w:t>
      </w:r>
      <w:r w:rsidR="008E1CCB">
        <w:rPr>
          <w:rFonts w:ascii="Avenir Next" w:hAnsi="Avenir Next"/>
          <w:color w:val="000000" w:themeColor="text1"/>
          <w:lang w:val="es-ES"/>
        </w:rPr>
        <w:t>l</w:t>
      </w:r>
      <w:r w:rsidR="00446963" w:rsidRPr="00C83ABA">
        <w:rPr>
          <w:rFonts w:ascii="Avenir Next" w:hAnsi="Avenir Next"/>
          <w:color w:val="000000" w:themeColor="text1"/>
          <w:lang w:val="es-ES"/>
        </w:rPr>
        <w:t xml:space="preserve"> </w:t>
      </w:r>
      <w:r w:rsidR="008E1CCB">
        <w:rPr>
          <w:rFonts w:ascii="Avenir Next" w:hAnsi="Avenir Next"/>
          <w:color w:val="000000" w:themeColor="text1"/>
          <w:lang w:val="es-ES"/>
        </w:rPr>
        <w:t>U</w:t>
      </w:r>
      <w:r w:rsidR="00446963" w:rsidRPr="00C83ABA">
        <w:rPr>
          <w:rFonts w:ascii="Avenir Next" w:hAnsi="Avenir Next"/>
          <w:color w:val="000000" w:themeColor="text1"/>
          <w:lang w:val="es-ES"/>
        </w:rPr>
        <w:t xml:space="preserve">mbral de </w:t>
      </w:r>
      <w:r w:rsidR="008E1CCB">
        <w:rPr>
          <w:rFonts w:ascii="Avenir Next" w:hAnsi="Avenir Next"/>
          <w:color w:val="000000" w:themeColor="text1"/>
          <w:lang w:val="es-ES"/>
        </w:rPr>
        <w:t>C</w:t>
      </w:r>
      <w:r w:rsidR="00446963" w:rsidRPr="00C83ABA">
        <w:rPr>
          <w:rFonts w:ascii="Avenir Next" w:hAnsi="Avenir Next"/>
          <w:color w:val="000000" w:themeColor="text1"/>
          <w:lang w:val="es-ES"/>
        </w:rPr>
        <w:t>ontrol</w:t>
      </w:r>
      <w:r w:rsidR="008E1CCB">
        <w:rPr>
          <w:rFonts w:ascii="Avenir Next" w:hAnsi="Avenir Next"/>
          <w:color w:val="000000" w:themeColor="text1"/>
          <w:lang w:val="es-ES"/>
        </w:rPr>
        <w:t>.</w:t>
      </w:r>
      <w:bookmarkEnd w:id="13"/>
    </w:p>
    <w:p w14:paraId="32288103" w14:textId="65326EE9" w:rsidR="00397E1B" w:rsidRPr="00282BBC" w:rsidRDefault="00397E1B"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w:t>
      </w:r>
      <w:r w:rsidR="00287379">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o es positivo</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cuando el monto de la licitación </w:t>
      </w:r>
      <w:r w:rsidR="002828FC">
        <w:rPr>
          <w:rFonts w:ascii="Avenir Next" w:hAnsi="Avenir Next" w:cs="Arial"/>
          <w:color w:val="000000" w:themeColor="text1"/>
          <w:sz w:val="20"/>
          <w:szCs w:val="20"/>
          <w:lang w:val="es-ES"/>
        </w:rPr>
        <w:t xml:space="preserve">no </w:t>
      </w:r>
      <w:r w:rsidR="005C0485">
        <w:rPr>
          <w:rFonts w:ascii="Avenir Next" w:hAnsi="Avenir Next" w:cs="Arial"/>
          <w:color w:val="000000" w:themeColor="text1"/>
          <w:sz w:val="20"/>
          <w:szCs w:val="20"/>
          <w:lang w:val="es-ES"/>
        </w:rPr>
        <w:t>supera,</w:t>
      </w:r>
      <w:r w:rsidR="002828FC">
        <w:rPr>
          <w:rFonts w:ascii="Avenir Next" w:hAnsi="Avenir Next" w:cs="Arial"/>
          <w:color w:val="000000" w:themeColor="text1"/>
          <w:sz w:val="20"/>
          <w:szCs w:val="20"/>
          <w:lang w:val="es-ES"/>
        </w:rPr>
        <w:t xml:space="preserve"> pero es muy </w:t>
      </w:r>
      <w:r w:rsidRPr="00282BBC">
        <w:rPr>
          <w:rFonts w:ascii="Avenir Next" w:hAnsi="Avenir Next" w:cs="Arial"/>
          <w:color w:val="000000" w:themeColor="text1"/>
          <w:sz w:val="20"/>
          <w:szCs w:val="20"/>
          <w:lang w:val="es-ES"/>
        </w:rPr>
        <w:t>cercano a</w:t>
      </w:r>
      <w:r w:rsidR="002828FC">
        <w:rPr>
          <w:rFonts w:ascii="Avenir Next" w:hAnsi="Avenir Next" w:cs="Arial"/>
          <w:color w:val="000000" w:themeColor="text1"/>
          <w:sz w:val="20"/>
          <w:szCs w:val="20"/>
          <w:lang w:val="es-ES"/>
        </w:rPr>
        <w:t xml:space="preserve">l monto que habría significado </w:t>
      </w:r>
      <w:r w:rsidR="00C61B5D">
        <w:rPr>
          <w:rFonts w:ascii="Avenir Next" w:hAnsi="Avenir Next" w:cs="Arial"/>
          <w:color w:val="000000" w:themeColor="text1"/>
          <w:sz w:val="20"/>
          <w:szCs w:val="20"/>
          <w:lang w:val="es-ES"/>
        </w:rPr>
        <w:t>un control específico</w:t>
      </w:r>
      <w:r w:rsidRPr="00282BBC">
        <w:rPr>
          <w:rFonts w:ascii="Avenir Next" w:hAnsi="Avenir Next" w:cs="Arial"/>
          <w:color w:val="000000" w:themeColor="text1"/>
          <w:sz w:val="20"/>
          <w:szCs w:val="20"/>
          <w:lang w:val="es-ES"/>
        </w:rPr>
        <w:t xml:space="preserve"> por parte de una entidad de fiscalización superior (EFS</w:t>
      </w:r>
      <w:r w:rsidR="00C61B5D">
        <w:rPr>
          <w:rFonts w:ascii="Avenir Next" w:hAnsi="Avenir Next" w:cs="Arial"/>
          <w:color w:val="000000" w:themeColor="text1"/>
          <w:sz w:val="20"/>
          <w:szCs w:val="20"/>
          <w:lang w:val="es-ES"/>
        </w:rPr>
        <w:t>)</w:t>
      </w:r>
      <w:r w:rsidR="00DE1ACE">
        <w:rPr>
          <w:rFonts w:ascii="Avenir Next" w:hAnsi="Avenir Next" w:cs="Arial"/>
          <w:color w:val="000000" w:themeColor="text1"/>
          <w:sz w:val="20"/>
          <w:szCs w:val="20"/>
          <w:lang w:val="es-ES"/>
        </w:rPr>
        <w:t>.</w:t>
      </w:r>
    </w:p>
    <w:p w14:paraId="57D64751" w14:textId="77777777" w:rsidR="00DE1ACE" w:rsidRDefault="00397E1B" w:rsidP="00D55CAF">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En el caso de la adaptación de este indicador a la realidad de Chile, se analizó la normativa respectiva, estableciendo que el control de este tipo de procesos lo realiza la Contraloría General de la República, mediante la Toma de Razón. </w:t>
      </w:r>
    </w:p>
    <w:p w14:paraId="10363E3D" w14:textId="3808B882"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Previo a</w:t>
      </w:r>
      <w:r w:rsidR="00DE1ACE">
        <w:rPr>
          <w:rFonts w:ascii="Avenir Next" w:hAnsi="Avenir Next" w:cs="Arial"/>
          <w:color w:val="000000" w:themeColor="text1"/>
          <w:sz w:val="20"/>
          <w:szCs w:val="20"/>
          <w:lang w:val="es-ES"/>
        </w:rPr>
        <w:t>l año</w:t>
      </w:r>
      <w:r w:rsidRPr="00282BBC">
        <w:rPr>
          <w:rFonts w:ascii="Avenir Next" w:hAnsi="Avenir Next" w:cs="Arial"/>
          <w:color w:val="000000" w:themeColor="text1"/>
          <w:sz w:val="20"/>
          <w:szCs w:val="20"/>
          <w:lang w:val="es-ES"/>
        </w:rPr>
        <w:t xml:space="preserve"> 2019, todas las licitaciones menores a 5.000 UTM estaban exentas</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de este trámite, por lo tanto, esa es una de las condiciones aplicadas. Desde 2019 en adelante, hay tres límites según la ubicación geográfica de la Contraloría Regional que realice el control</w:t>
      </w:r>
      <w:r w:rsidR="00DE1ACE">
        <w:rPr>
          <w:rFonts w:ascii="Avenir Next" w:hAnsi="Avenir Next" w:cs="Arial"/>
          <w:color w:val="000000" w:themeColor="text1"/>
          <w:sz w:val="20"/>
          <w:szCs w:val="20"/>
          <w:lang w:val="es-ES"/>
        </w:rPr>
        <w:t>. C</w:t>
      </w:r>
      <w:r w:rsidRPr="00282BBC">
        <w:rPr>
          <w:rFonts w:ascii="Avenir Next" w:hAnsi="Avenir Next" w:cs="Arial"/>
          <w:color w:val="000000" w:themeColor="text1"/>
          <w:sz w:val="20"/>
          <w:szCs w:val="20"/>
          <w:lang w:val="es-ES"/>
        </w:rPr>
        <w:t xml:space="preserve">uando se trata de la </w:t>
      </w:r>
      <w:r w:rsidR="00DE1ACE">
        <w:rPr>
          <w:rFonts w:ascii="Avenir Next" w:hAnsi="Avenir Next" w:cs="Arial"/>
          <w:color w:val="000000" w:themeColor="text1"/>
          <w:sz w:val="20"/>
          <w:szCs w:val="20"/>
          <w:lang w:val="es-ES"/>
        </w:rPr>
        <w:t xml:space="preserve">Contraloría de la Región </w:t>
      </w:r>
      <w:r w:rsidRPr="00282BBC">
        <w:rPr>
          <w:rFonts w:ascii="Avenir Next" w:hAnsi="Avenir Next" w:cs="Arial"/>
          <w:color w:val="000000" w:themeColor="text1"/>
          <w:sz w:val="20"/>
          <w:szCs w:val="20"/>
          <w:lang w:val="es-ES"/>
        </w:rPr>
        <w:t>Metropolitana</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lastRenderedPageBreak/>
        <w:t xml:space="preserve">entonces el límite es 15.000 UTM, Biobío es 10.000 UTM y para el resto es 8.000 UTM. </w:t>
      </w:r>
      <w:r w:rsidRPr="004F16BF">
        <w:rPr>
          <w:rFonts w:ascii="Avenir Next" w:hAnsi="Avenir Next" w:cs="Arial"/>
          <w:color w:val="000000" w:themeColor="text1"/>
          <w:sz w:val="20"/>
          <w:szCs w:val="20"/>
          <w:lang w:val="es-ES"/>
        </w:rPr>
        <w:t xml:space="preserve">Sin embargo, como no es posible saber </w:t>
      </w:r>
      <w:r w:rsidR="00C61B5D" w:rsidRPr="004F16BF">
        <w:rPr>
          <w:rFonts w:ascii="Avenir Next" w:hAnsi="Avenir Next" w:cs="Arial"/>
          <w:color w:val="000000" w:themeColor="text1"/>
          <w:sz w:val="20"/>
          <w:szCs w:val="20"/>
          <w:lang w:val="es-ES"/>
        </w:rPr>
        <w:t>si</w:t>
      </w:r>
      <w:r w:rsidRPr="004F16BF">
        <w:rPr>
          <w:rFonts w:ascii="Avenir Next" w:hAnsi="Avenir Next" w:cs="Arial"/>
          <w:color w:val="000000" w:themeColor="text1"/>
          <w:sz w:val="20"/>
          <w:szCs w:val="20"/>
          <w:lang w:val="es-ES"/>
        </w:rPr>
        <w:t xml:space="preserve"> </w:t>
      </w:r>
      <w:r w:rsidR="00C61B5D" w:rsidRPr="004F16BF">
        <w:rPr>
          <w:rFonts w:ascii="Avenir Next" w:hAnsi="Avenir Next" w:cs="Arial"/>
          <w:color w:val="000000" w:themeColor="text1"/>
          <w:sz w:val="20"/>
          <w:szCs w:val="20"/>
          <w:lang w:val="es-ES"/>
        </w:rPr>
        <w:t>C</w:t>
      </w:r>
      <w:r w:rsidRPr="004F16BF">
        <w:rPr>
          <w:rFonts w:ascii="Avenir Next" w:hAnsi="Avenir Next" w:cs="Arial"/>
          <w:color w:val="000000" w:themeColor="text1"/>
          <w:sz w:val="20"/>
          <w:szCs w:val="20"/>
          <w:lang w:val="es-ES"/>
        </w:rPr>
        <w:t>ontraloría realiza el control de estos procesos a través de la plataforma de mercado público, ya que no existe esta información dentro del sistema</w:t>
      </w:r>
      <w:r w:rsidR="00C05D41" w:rsidRPr="004F16BF">
        <w:rPr>
          <w:rFonts w:ascii="Avenir Next" w:hAnsi="Avenir Next" w:cs="Arial"/>
          <w:color w:val="000000" w:themeColor="text1"/>
          <w:sz w:val="20"/>
          <w:szCs w:val="20"/>
          <w:lang w:val="es-ES"/>
        </w:rPr>
        <w:t xml:space="preserve">, sugerimos </w:t>
      </w:r>
      <w:r w:rsidR="004F16BF" w:rsidRPr="004F16BF">
        <w:rPr>
          <w:rFonts w:ascii="Avenir Next" w:hAnsi="Avenir Next" w:cs="Arial"/>
          <w:color w:val="000000" w:themeColor="text1"/>
          <w:sz w:val="20"/>
          <w:szCs w:val="20"/>
          <w:lang w:val="es-ES"/>
        </w:rPr>
        <w:t xml:space="preserve">que en un futuro esta </w:t>
      </w:r>
      <w:r w:rsidR="00C05D41" w:rsidRPr="004F16BF">
        <w:rPr>
          <w:rFonts w:ascii="Avenir Next" w:hAnsi="Avenir Next" w:cs="Arial"/>
          <w:color w:val="000000" w:themeColor="text1"/>
          <w:sz w:val="20"/>
          <w:szCs w:val="20"/>
          <w:lang w:val="es-ES"/>
        </w:rPr>
        <w:t>debiera ser incorporada.</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6BD1A83" w14:textId="66657A9C" w:rsidR="00446963" w:rsidRPr="00282BBC" w:rsidRDefault="00C83ABA" w:rsidP="00446963">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E467E1">
        <w:rPr>
          <w:rFonts w:ascii="Avenir Next" w:hAnsi="Avenir Next" w:cs="Arial"/>
          <w:color w:val="000000" w:themeColor="text1"/>
          <w:sz w:val="16"/>
          <w:szCs w:val="16"/>
          <w:lang w:val="es-ES"/>
        </w:rPr>
        <w:t>2a</w:t>
      </w:r>
      <w:r w:rsidR="00446963" w:rsidRPr="00282BBC">
        <w:rPr>
          <w:rFonts w:ascii="Avenir Next" w:hAnsi="Avenir Next" w:cs="Arial"/>
          <w:color w:val="000000" w:themeColor="text1"/>
          <w:sz w:val="16"/>
          <w:szCs w:val="16"/>
          <w:lang w:val="es-ES"/>
        </w:rPr>
        <w:t>: Ranking de licitaciones riesgosas de acuerdo al indicado</w:t>
      </w:r>
      <w:r w:rsidR="001E69C0" w:rsidRPr="00282BBC">
        <w:rPr>
          <w:rFonts w:ascii="Avenir Next" w:hAnsi="Avenir Next" w:cs="Arial"/>
          <w:color w:val="000000" w:themeColor="text1"/>
          <w:sz w:val="16"/>
          <w:szCs w:val="16"/>
          <w:lang w:val="es-ES"/>
        </w:rPr>
        <w:t>r,</w:t>
      </w:r>
      <w:r w:rsidR="00446963"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w:t>
      </w:r>
      <w:r w:rsidR="00446963" w:rsidRPr="00282BBC">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-u otras agrupaciones públicas de mercado público-</w:t>
      </w:r>
      <w:r w:rsidR="00446963" w:rsidRPr="00282BBC">
        <w:rPr>
          <w:rFonts w:ascii="Avenir Next" w:hAnsi="Avenir Next" w:cs="Arial"/>
          <w:color w:val="000000" w:themeColor="text1"/>
          <w:sz w:val="16"/>
          <w:szCs w:val="16"/>
          <w:lang w:val="es-ES"/>
        </w:rPr>
        <w:t xml:space="preserve">, </w:t>
      </w:r>
      <w:r w:rsidR="00446963" w:rsidRPr="00282BBC">
        <w:rPr>
          <w:rFonts w:ascii="Avenir Next" w:hAnsi="Avenir Next" w:cs="Arial"/>
          <w:b/>
          <w:bCs/>
          <w:color w:val="000000" w:themeColor="text1"/>
          <w:sz w:val="16"/>
          <w:szCs w:val="16"/>
          <w:lang w:val="es-ES"/>
        </w:rPr>
        <w:t>ordenado de manera descendente por el %</w:t>
      </w:r>
      <w:r w:rsidR="00446963"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955C0A">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446963" w:rsidRPr="00282BBC">
        <w:rPr>
          <w:rFonts w:ascii="Avenir Next" w:hAnsi="Avenir Next" w:cs="Arial"/>
          <w:color w:val="000000" w:themeColor="text1"/>
          <w:sz w:val="16"/>
          <w:szCs w:val="16"/>
          <w:lang w:val="es-ES"/>
        </w:rPr>
        <w:t>.</w:t>
      </w:r>
    </w:p>
    <w:p w14:paraId="31B523FE" w14:textId="375C5CBE" w:rsidR="00CC43B5" w:rsidRDefault="00955C0A" w:rsidP="00CC43B5">
      <w:pPr>
        <w:jc w:val="center"/>
        <w:rPr>
          <w:rFonts w:ascii="Avenir Next" w:hAnsi="Avenir Next" w:cs="Arial"/>
          <w:color w:val="000000" w:themeColor="text1"/>
          <w:lang w:val="es-ES"/>
        </w:rPr>
      </w:pPr>
      <w:r w:rsidRPr="00955C0A">
        <w:rPr>
          <w:rFonts w:ascii="Avenir Next" w:hAnsi="Avenir Next" w:cs="Arial"/>
          <w:noProof/>
          <w:color w:val="000000" w:themeColor="text1"/>
          <w:lang w:val="es-ES"/>
        </w:rPr>
        <w:drawing>
          <wp:inline distT="0" distB="0" distL="0" distR="0" wp14:anchorId="33FCBD91" wp14:editId="35166639">
            <wp:extent cx="4565650" cy="1551048"/>
            <wp:effectExtent l="0" t="0" r="635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9"/>
                    <a:stretch>
                      <a:fillRect/>
                    </a:stretch>
                  </pic:blipFill>
                  <pic:spPr>
                    <a:xfrm>
                      <a:off x="0" y="0"/>
                      <a:ext cx="4587617" cy="1558511"/>
                    </a:xfrm>
                    <a:prstGeom prst="rect">
                      <a:avLst/>
                    </a:prstGeom>
                  </pic:spPr>
                </pic:pic>
              </a:graphicData>
            </a:graphic>
          </wp:inline>
        </w:drawing>
      </w:r>
    </w:p>
    <w:p w14:paraId="3C9DC8BC" w14:textId="77777777" w:rsidR="00565FB0" w:rsidRPr="00282BBC" w:rsidRDefault="00565FB0" w:rsidP="00446963">
      <w:pPr>
        <w:jc w:val="center"/>
        <w:rPr>
          <w:rFonts w:ascii="Avenir Next" w:hAnsi="Avenir Next" w:cs="Arial"/>
          <w:color w:val="000000" w:themeColor="text1"/>
          <w:lang w:val="es-ES"/>
        </w:rPr>
      </w:pPr>
    </w:p>
    <w:p w14:paraId="1900E805" w14:textId="490BB565"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Para mayor detalle de este </w:t>
      </w:r>
      <w:r w:rsidR="00EE667B" w:rsidRPr="00282BBC">
        <w:rPr>
          <w:rFonts w:ascii="Avenir Next" w:hAnsi="Avenir Next"/>
          <w:color w:val="000000" w:themeColor="text1"/>
          <w:sz w:val="20"/>
          <w:szCs w:val="20"/>
          <w:lang w:val="es-ES"/>
        </w:rPr>
        <w:t>análisis,</w:t>
      </w:r>
      <w:r w:rsidR="00175605">
        <w:rPr>
          <w:rFonts w:ascii="Avenir Next" w:hAnsi="Avenir Next"/>
          <w:color w:val="000000" w:themeColor="text1"/>
          <w:sz w:val="20"/>
          <w:szCs w:val="20"/>
          <w:lang w:val="es-ES"/>
        </w:rPr>
        <w:t xml:space="preserve">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30" w:history="1">
        <w:r w:rsidR="00EF14EB" w:rsidRPr="00786F99">
          <w:rPr>
            <w:rStyle w:val="Hipervnculo"/>
            <w:rFonts w:ascii="Avenir Next" w:hAnsi="Avenir Next"/>
            <w:color w:val="000000" w:themeColor="text1"/>
            <w:sz w:val="20"/>
            <w:szCs w:val="20"/>
            <w:lang w:val="es-ES"/>
          </w:rPr>
          <w:t>aquí</w:t>
        </w:r>
      </w:hyperlink>
    </w:p>
    <w:p w14:paraId="7BC57FA5" w14:textId="48D30B80" w:rsidR="00142AF1" w:rsidRDefault="00142AF1">
      <w:pPr>
        <w:rPr>
          <w:rFonts w:ascii="Avenir Next" w:hAnsi="Avenir Next" w:cs="Arial"/>
          <w:color w:val="000000" w:themeColor="text1"/>
          <w:sz w:val="16"/>
          <w:szCs w:val="16"/>
          <w:lang w:val="es-ES"/>
        </w:rPr>
      </w:pPr>
    </w:p>
    <w:p w14:paraId="636CFC2C" w14:textId="77777777" w:rsidR="00DE1ACE" w:rsidRPr="00282BBC" w:rsidRDefault="00DE1ACE">
      <w:pPr>
        <w:rPr>
          <w:rFonts w:ascii="Avenir Next" w:hAnsi="Avenir Next" w:cs="Arial"/>
          <w:color w:val="000000" w:themeColor="text1"/>
          <w:sz w:val="16"/>
          <w:szCs w:val="16"/>
          <w:lang w:val="es-ES"/>
        </w:rPr>
      </w:pPr>
    </w:p>
    <w:p w14:paraId="34E8FBA3" w14:textId="59E6B79D" w:rsidR="004A0AF2" w:rsidRPr="00C83ABA" w:rsidRDefault="00175605" w:rsidP="00C83ABA">
      <w:pPr>
        <w:pStyle w:val="Prrafodelista"/>
        <w:numPr>
          <w:ilvl w:val="0"/>
          <w:numId w:val="12"/>
        </w:numPr>
        <w:spacing w:after="60"/>
        <w:ind w:left="357" w:hanging="357"/>
        <w:contextualSpacing w:val="0"/>
        <w:jc w:val="both"/>
        <w:rPr>
          <w:rFonts w:ascii="Avenir Next" w:hAnsi="Avenir Next" w:cs="Arial"/>
          <w:color w:val="000000" w:themeColor="text1"/>
          <w:sz w:val="20"/>
          <w:szCs w:val="20"/>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“Publicación”:</w:t>
      </w:r>
      <w:r w:rsidR="008E1CCB">
        <w:rPr>
          <w:rFonts w:ascii="Avenir Next" w:eastAsiaTheme="majorEastAsia" w:hAnsi="Avenir Next" w:cstheme="majorBidi"/>
          <w:color w:val="000000" w:themeColor="text1"/>
          <w:sz w:val="26"/>
          <w:szCs w:val="26"/>
          <w:lang w:val="es-ES"/>
        </w:rPr>
        <w:t xml:space="preserve"> </w:t>
      </w:r>
      <w:r w:rsidR="001E4721" w:rsidRPr="00C83ABA">
        <w:rPr>
          <w:rFonts w:ascii="Avenir Next" w:eastAsiaTheme="majorEastAsia" w:hAnsi="Avenir Next" w:cstheme="majorBidi"/>
          <w:color w:val="000000" w:themeColor="text1"/>
          <w:sz w:val="26"/>
          <w:szCs w:val="26"/>
          <w:lang w:val="es-ES"/>
        </w:rPr>
        <w:t xml:space="preserve">Incumple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 xml:space="preserve">lazo </w:t>
      </w:r>
      <w:r w:rsidR="008E1CCB">
        <w:rPr>
          <w:rFonts w:ascii="Avenir Next" w:eastAsiaTheme="majorEastAsia" w:hAnsi="Avenir Next" w:cstheme="majorBidi"/>
          <w:color w:val="000000" w:themeColor="text1"/>
          <w:sz w:val="26"/>
          <w:szCs w:val="26"/>
          <w:lang w:val="es-ES"/>
        </w:rPr>
        <w:t>M</w:t>
      </w:r>
      <w:r w:rsidR="001E4721" w:rsidRPr="00C83ABA">
        <w:rPr>
          <w:rFonts w:ascii="Avenir Next" w:eastAsiaTheme="majorEastAsia" w:hAnsi="Avenir Next" w:cstheme="majorBidi"/>
          <w:color w:val="000000" w:themeColor="text1"/>
          <w:sz w:val="26"/>
          <w:szCs w:val="26"/>
          <w:lang w:val="es-ES"/>
        </w:rPr>
        <w:t xml:space="preserve">ínimo de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ublicación</w:t>
      </w:r>
      <w:r w:rsidR="008E1CCB">
        <w:rPr>
          <w:rFonts w:ascii="Avenir Next" w:eastAsiaTheme="majorEastAsia" w:hAnsi="Avenir Next" w:cstheme="majorBidi"/>
          <w:color w:val="000000" w:themeColor="text1"/>
          <w:sz w:val="26"/>
          <w:szCs w:val="26"/>
          <w:lang w:val="es-ES"/>
        </w:rPr>
        <w:t>.</w:t>
      </w:r>
    </w:p>
    <w:p w14:paraId="02BB0C27" w14:textId="000B761C" w:rsidR="0068787C" w:rsidRDefault="00DE1ACE" w:rsidP="0068787C">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En este indicador, se hace referencia a que l</w:t>
      </w:r>
      <w:r w:rsidR="0068787C" w:rsidRPr="00282BBC">
        <w:rPr>
          <w:rFonts w:ascii="Avenir Next" w:hAnsi="Avenir Next" w:cs="Arial"/>
          <w:color w:val="000000" w:themeColor="text1"/>
          <w:sz w:val="20"/>
          <w:szCs w:val="20"/>
          <w:lang w:val="es-ES"/>
        </w:rPr>
        <w:t>a licitación no cumple con un estándar mínimo de días de publicación dado el tipo de licitación</w:t>
      </w:r>
      <w:r w:rsidR="00E553E7">
        <w:rPr>
          <w:rStyle w:val="Refdenotaalpie"/>
          <w:rFonts w:ascii="Avenir Next" w:hAnsi="Avenir Next" w:cs="Arial"/>
          <w:color w:val="000000" w:themeColor="text1"/>
          <w:sz w:val="20"/>
          <w:szCs w:val="20"/>
          <w:lang w:val="es-ES"/>
        </w:rPr>
        <w:footnoteReference w:id="2"/>
      </w:r>
      <w:r>
        <w:rPr>
          <w:rFonts w:ascii="Avenir Next" w:hAnsi="Avenir Next" w:cs="Arial"/>
          <w:color w:val="000000" w:themeColor="text1"/>
          <w:sz w:val="20"/>
          <w:szCs w:val="20"/>
          <w:lang w:val="es-ES"/>
        </w:rPr>
        <w:t xml:space="preserve">: </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45DF1B64" w14:textId="5207B19F"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334316A4" w14:textId="77777777" w:rsidR="0068787C" w:rsidRPr="00282BBC" w:rsidRDefault="0068787C" w:rsidP="0068787C">
      <w:pPr>
        <w:jc w:val="both"/>
        <w:rPr>
          <w:rFonts w:ascii="Avenir Next" w:hAnsi="Avenir Next" w:cs="Arial"/>
          <w:color w:val="000000" w:themeColor="text1"/>
          <w:sz w:val="20"/>
          <w:szCs w:val="20"/>
          <w:lang w:val="es-ES"/>
        </w:rPr>
      </w:pPr>
    </w:p>
    <w:p w14:paraId="4C74EE85" w14:textId="665516BB" w:rsidR="004A0AF2" w:rsidRPr="00282BBC" w:rsidRDefault="00C83ABA" w:rsidP="004A0AF2">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a</w:t>
      </w:r>
      <w:r w:rsidR="004A0AF2"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4A0AF2"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Ministerio -u otras agrupaciones públicas de mercado público-</w:t>
      </w:r>
      <w:r w:rsidR="004A0AF2" w:rsidRPr="00282BBC">
        <w:rPr>
          <w:rFonts w:ascii="Avenir Next" w:hAnsi="Avenir Next" w:cs="Arial"/>
          <w:color w:val="000000" w:themeColor="text1"/>
          <w:sz w:val="16"/>
          <w:szCs w:val="16"/>
          <w:lang w:val="es-ES"/>
        </w:rPr>
        <w:t xml:space="preserve"> </w:t>
      </w:r>
      <w:r w:rsidR="004A0AF2" w:rsidRPr="00282BBC">
        <w:rPr>
          <w:rFonts w:ascii="Avenir Next" w:hAnsi="Avenir Next" w:cs="Arial"/>
          <w:b/>
          <w:bCs/>
          <w:color w:val="000000" w:themeColor="text1"/>
          <w:sz w:val="16"/>
          <w:szCs w:val="16"/>
          <w:lang w:val="es-ES"/>
        </w:rPr>
        <w:t>ordenado de manera descendente por el %</w:t>
      </w:r>
      <w:r w:rsidR="004A0AF2"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BD5864">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4A0AF2" w:rsidRPr="00282BBC">
        <w:rPr>
          <w:rFonts w:ascii="Avenir Next" w:hAnsi="Avenir Next" w:cs="Arial"/>
          <w:color w:val="000000" w:themeColor="text1"/>
          <w:sz w:val="16"/>
          <w:szCs w:val="16"/>
          <w:lang w:val="es-ES"/>
        </w:rPr>
        <w:t>.</w:t>
      </w:r>
    </w:p>
    <w:p w14:paraId="3CEF3577" w14:textId="1EBE7344" w:rsidR="004A0AF2" w:rsidRPr="00282BBC" w:rsidRDefault="00BD5864" w:rsidP="004A0AF2">
      <w:pPr>
        <w:jc w:val="center"/>
        <w:rPr>
          <w:rFonts w:ascii="Avenir Next" w:hAnsi="Avenir Next" w:cs="Arial"/>
          <w:color w:val="000000" w:themeColor="text1"/>
          <w:lang w:val="es-ES"/>
        </w:rPr>
      </w:pPr>
      <w:r w:rsidRPr="00BD5864">
        <w:rPr>
          <w:rFonts w:ascii="Avenir Next" w:hAnsi="Avenir Next" w:cs="Arial"/>
          <w:noProof/>
          <w:color w:val="000000" w:themeColor="text1"/>
          <w:lang w:val="es-ES"/>
        </w:rPr>
        <w:drawing>
          <wp:inline distT="0" distB="0" distL="0" distR="0" wp14:anchorId="2DCF2154" wp14:editId="3D05B35B">
            <wp:extent cx="5612130" cy="2007870"/>
            <wp:effectExtent l="0" t="0" r="762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31"/>
                    <a:stretch>
                      <a:fillRect/>
                    </a:stretch>
                  </pic:blipFill>
                  <pic:spPr>
                    <a:xfrm>
                      <a:off x="0" y="0"/>
                      <a:ext cx="5612130" cy="2007870"/>
                    </a:xfrm>
                    <a:prstGeom prst="rect">
                      <a:avLst/>
                    </a:prstGeom>
                  </pic:spPr>
                </pic:pic>
              </a:graphicData>
            </a:graphic>
          </wp:inline>
        </w:drawing>
      </w:r>
    </w:p>
    <w:p w14:paraId="3FE2E535" w14:textId="0BD0B45A" w:rsidR="004A0AF2" w:rsidRDefault="004A0AF2" w:rsidP="004A0AF2">
      <w:pPr>
        <w:jc w:val="both"/>
        <w:rPr>
          <w:rFonts w:ascii="Avenir Next" w:hAnsi="Avenir Next" w:cs="Arial"/>
          <w:color w:val="000000" w:themeColor="text1"/>
          <w:lang w:val="es-ES"/>
        </w:rPr>
      </w:pPr>
    </w:p>
    <w:p w14:paraId="60A3A028" w14:textId="43BBC5A8" w:rsidR="00AB75DB" w:rsidRDefault="00AB75DB" w:rsidP="004A0AF2">
      <w:pPr>
        <w:jc w:val="both"/>
        <w:rPr>
          <w:rFonts w:ascii="Avenir Next" w:hAnsi="Avenir Next" w:cs="Arial"/>
          <w:color w:val="000000" w:themeColor="text1"/>
          <w:lang w:val="es-ES"/>
        </w:rPr>
      </w:pPr>
    </w:p>
    <w:p w14:paraId="159A83CB" w14:textId="12CFE2F2" w:rsidR="00AB75DB" w:rsidRDefault="00AB75DB" w:rsidP="004A0AF2">
      <w:pPr>
        <w:jc w:val="both"/>
        <w:rPr>
          <w:rFonts w:ascii="Avenir Next" w:hAnsi="Avenir Next" w:cs="Arial"/>
          <w:color w:val="000000" w:themeColor="text1"/>
          <w:lang w:val="es-ES"/>
        </w:rPr>
      </w:pPr>
    </w:p>
    <w:p w14:paraId="4C422A6A" w14:textId="77777777" w:rsidR="00AB75DB" w:rsidRPr="00282BBC" w:rsidRDefault="00AB75DB" w:rsidP="004A0AF2">
      <w:pPr>
        <w:jc w:val="both"/>
        <w:rPr>
          <w:rFonts w:ascii="Avenir Next" w:hAnsi="Avenir Next" w:cs="Arial"/>
          <w:color w:val="000000" w:themeColor="text1"/>
          <w:lang w:val="es-ES"/>
        </w:rPr>
      </w:pPr>
    </w:p>
    <w:p w14:paraId="39C68E8D" w14:textId="39C4B836" w:rsidR="004A0AF2" w:rsidRPr="00282BBC" w:rsidRDefault="00C83ABA" w:rsidP="00C83ABA">
      <w:pPr>
        <w:ind w:left="284"/>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b</w:t>
      </w:r>
      <w:r w:rsidR="004A0AF2"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4A0AF2"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w:t>
      </w:r>
      <w:r w:rsidR="004A0AF2" w:rsidRPr="00282BBC">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 xml:space="preserve">-u otras agrupaciones públicas de mercado público- </w:t>
      </w:r>
      <w:r w:rsidR="003D658E">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3</w:t>
      </w:r>
      <w:r w:rsidR="003D658E">
        <w:rPr>
          <w:rFonts w:ascii="Avenir Next" w:hAnsi="Avenir Next" w:cs="Arial"/>
          <w:color w:val="000000" w:themeColor="text1"/>
          <w:sz w:val="16"/>
          <w:szCs w:val="16"/>
          <w:lang w:val="es-ES"/>
        </w:rPr>
        <w:t>ª)</w:t>
      </w:r>
      <w:r w:rsidR="004A0AF2" w:rsidRPr="00282BBC">
        <w:rPr>
          <w:rFonts w:ascii="Avenir Next" w:hAnsi="Avenir Next" w:cs="Arial"/>
          <w:color w:val="000000" w:themeColor="text1"/>
          <w:sz w:val="16"/>
          <w:szCs w:val="16"/>
          <w:lang w:val="es-ES"/>
        </w:rPr>
        <w:t xml:space="preserve">, </w:t>
      </w:r>
      <w:r w:rsidR="004A0AF2" w:rsidRPr="00282BBC">
        <w:rPr>
          <w:rFonts w:ascii="Avenir Next" w:hAnsi="Avenir Next" w:cs="Arial"/>
          <w:b/>
          <w:bCs/>
          <w:color w:val="000000" w:themeColor="text1"/>
          <w:sz w:val="16"/>
          <w:szCs w:val="16"/>
          <w:lang w:val="es-ES"/>
        </w:rPr>
        <w:t>ordenado de manera descendente por la cantidad</w:t>
      </w:r>
      <w:r w:rsidR="004A0AF2"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7A2792">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4A0AF2" w:rsidRPr="00282BBC">
        <w:rPr>
          <w:rFonts w:ascii="Avenir Next" w:hAnsi="Avenir Next" w:cs="Arial"/>
          <w:color w:val="000000" w:themeColor="text1"/>
          <w:sz w:val="16"/>
          <w:szCs w:val="16"/>
          <w:lang w:val="es-ES"/>
        </w:rPr>
        <w:t>.</w:t>
      </w:r>
    </w:p>
    <w:p w14:paraId="11578EE4" w14:textId="3BCFBB02" w:rsidR="004A0AF2" w:rsidRPr="00282BBC" w:rsidRDefault="007A2792" w:rsidP="004A0AF2">
      <w:pPr>
        <w:jc w:val="center"/>
        <w:rPr>
          <w:rFonts w:ascii="Avenir Next" w:hAnsi="Avenir Next" w:cs="Arial"/>
          <w:color w:val="000000" w:themeColor="text1"/>
          <w:lang w:val="es-ES"/>
        </w:rPr>
      </w:pPr>
      <w:r w:rsidRPr="007A2792">
        <w:rPr>
          <w:rFonts w:ascii="Avenir Next" w:hAnsi="Avenir Next" w:cs="Arial"/>
          <w:noProof/>
          <w:color w:val="000000" w:themeColor="text1"/>
          <w:lang w:val="es-ES"/>
        </w:rPr>
        <w:drawing>
          <wp:inline distT="0" distB="0" distL="0" distR="0" wp14:anchorId="3FD39195" wp14:editId="5DC7247D">
            <wp:extent cx="5612130" cy="2031365"/>
            <wp:effectExtent l="0" t="0" r="7620" b="6985"/>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32"/>
                    <a:stretch>
                      <a:fillRect/>
                    </a:stretch>
                  </pic:blipFill>
                  <pic:spPr>
                    <a:xfrm>
                      <a:off x="0" y="0"/>
                      <a:ext cx="5612130" cy="2031365"/>
                    </a:xfrm>
                    <a:prstGeom prst="rect">
                      <a:avLst/>
                    </a:prstGeom>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3"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3240698E" w14:textId="1D768100" w:rsidR="008D10B5" w:rsidRPr="00C83ABA" w:rsidRDefault="003D658E" w:rsidP="00C83ABA">
      <w:pPr>
        <w:pStyle w:val="Prrafodelista"/>
        <w:numPr>
          <w:ilvl w:val="0"/>
          <w:numId w:val="12"/>
        </w:numPr>
        <w:spacing w:after="60"/>
        <w:ind w:left="357" w:hanging="357"/>
        <w:contextualSpacing w:val="0"/>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AB75D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68787C" w:rsidRPr="00C83ABA">
        <w:rPr>
          <w:rFonts w:ascii="Avenir Next" w:eastAsiaTheme="majorEastAsia" w:hAnsi="Avenir Next" w:cstheme="majorBidi"/>
          <w:color w:val="000000" w:themeColor="text1"/>
          <w:sz w:val="26"/>
          <w:szCs w:val="26"/>
          <w:lang w:val="es-ES"/>
        </w:rPr>
        <w:t xml:space="preserve">Datos de </w:t>
      </w:r>
      <w:r w:rsidR="008E1CCB">
        <w:rPr>
          <w:rFonts w:ascii="Avenir Next" w:eastAsiaTheme="majorEastAsia" w:hAnsi="Avenir Next" w:cstheme="majorBidi"/>
          <w:color w:val="000000" w:themeColor="text1"/>
          <w:sz w:val="26"/>
          <w:szCs w:val="26"/>
          <w:lang w:val="es-ES"/>
        </w:rPr>
        <w:t>P</w:t>
      </w:r>
      <w:r w:rsidR="0068787C" w:rsidRPr="00C83ABA">
        <w:rPr>
          <w:rFonts w:ascii="Avenir Next" w:eastAsiaTheme="majorEastAsia" w:hAnsi="Avenir Next" w:cstheme="majorBidi"/>
          <w:color w:val="000000" w:themeColor="text1"/>
          <w:sz w:val="26"/>
          <w:szCs w:val="26"/>
          <w:lang w:val="es-ES"/>
        </w:rPr>
        <w:t xml:space="preserve">roveedor </w:t>
      </w:r>
      <w:r w:rsidR="008E1CCB">
        <w:rPr>
          <w:rFonts w:ascii="Avenir Next" w:eastAsiaTheme="majorEastAsia" w:hAnsi="Avenir Next" w:cstheme="majorBidi"/>
          <w:color w:val="000000" w:themeColor="text1"/>
          <w:sz w:val="26"/>
          <w:szCs w:val="26"/>
          <w:lang w:val="es-ES"/>
        </w:rPr>
        <w:t>F</w:t>
      </w:r>
      <w:r w:rsidR="0068787C" w:rsidRPr="00C83ABA">
        <w:rPr>
          <w:rFonts w:ascii="Avenir Next" w:eastAsiaTheme="majorEastAsia" w:hAnsi="Avenir Next" w:cstheme="majorBidi"/>
          <w:color w:val="000000" w:themeColor="text1"/>
          <w:sz w:val="26"/>
          <w:szCs w:val="26"/>
          <w:lang w:val="es-ES"/>
        </w:rPr>
        <w:t>altantes</w:t>
      </w:r>
      <w:r w:rsidR="008E1CCB">
        <w:rPr>
          <w:rFonts w:ascii="Avenir Next" w:eastAsiaTheme="majorEastAsia" w:hAnsi="Avenir Next" w:cstheme="majorBidi"/>
          <w:color w:val="000000" w:themeColor="text1"/>
          <w:sz w:val="26"/>
          <w:szCs w:val="26"/>
          <w:lang w:val="es-ES"/>
        </w:rPr>
        <w:t>.</w:t>
      </w:r>
    </w:p>
    <w:p w14:paraId="39FEE200" w14:textId="419B1ED4" w:rsidR="001A66E0" w:rsidRPr="00A2722B" w:rsidRDefault="00AB75DB" w:rsidP="00A2722B">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Aquí se hace referencia a que l</w:t>
      </w:r>
      <w:r w:rsidR="009020B3" w:rsidRPr="00282BBC">
        <w:rPr>
          <w:rFonts w:ascii="Avenir Next" w:hAnsi="Avenir Next" w:cs="Arial"/>
          <w:color w:val="000000" w:themeColor="text1"/>
          <w:sz w:val="20"/>
          <w:szCs w:val="20"/>
          <w:lang w:val="es-ES"/>
        </w:rPr>
        <w:t>os datos de contacto del proveedor</w:t>
      </w:r>
      <w:r>
        <w:rPr>
          <w:rFonts w:ascii="Avenir Next" w:hAnsi="Avenir Next" w:cs="Arial"/>
          <w:color w:val="000000" w:themeColor="text1"/>
          <w:sz w:val="20"/>
          <w:szCs w:val="20"/>
          <w:lang w:val="es-ES"/>
        </w:rPr>
        <w:t xml:space="preserve"> participante</w:t>
      </w:r>
      <w:r w:rsidR="009020B3" w:rsidRPr="00282BBC">
        <w:rPr>
          <w:rFonts w:ascii="Avenir Next" w:hAnsi="Avenir Next" w:cs="Arial"/>
          <w:color w:val="000000" w:themeColor="text1"/>
          <w:sz w:val="20"/>
          <w:szCs w:val="20"/>
          <w:lang w:val="es-ES"/>
        </w:rPr>
        <w:t xml:space="preserve"> están ausentes.</w:t>
      </w:r>
      <w:r w:rsidR="0044554C" w:rsidRPr="00282BBC">
        <w:rPr>
          <w:rFonts w:ascii="Avenir Next" w:hAnsi="Avenir Next" w:cs="Arial"/>
          <w:color w:val="000000" w:themeColor="text1"/>
          <w:sz w:val="20"/>
          <w:szCs w:val="20"/>
          <w:lang w:val="es-ES"/>
        </w:rPr>
        <w:t xml:space="preserve"> </w:t>
      </w:r>
      <w:r w:rsidR="009020B3"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009020B3" w:rsidRPr="00282BBC">
        <w:rPr>
          <w:rFonts w:ascii="Avenir Next" w:hAnsi="Avenir Next" w:cs="Arial"/>
          <w:color w:val="000000" w:themeColor="text1"/>
          <w:sz w:val="20"/>
          <w:szCs w:val="20"/>
          <w:lang w:val="es-ES"/>
        </w:rPr>
        <w:t xml:space="preserve">i alguno de estos no se registra o no tiene sentido (menos de 4 </w:t>
      </w:r>
      <w:r w:rsidR="00A2722B" w:rsidRPr="00282BBC">
        <w:rPr>
          <w:rFonts w:ascii="Avenir Next" w:hAnsi="Avenir Next" w:cs="Arial"/>
          <w:color w:val="000000" w:themeColor="text1"/>
          <w:sz w:val="20"/>
          <w:szCs w:val="20"/>
          <w:lang w:val="es-ES"/>
        </w:rPr>
        <w:t>caract</w:t>
      </w:r>
      <w:r w:rsidR="00A2722B">
        <w:rPr>
          <w:rFonts w:ascii="Avenir Next" w:hAnsi="Avenir Next" w:cs="Arial"/>
          <w:color w:val="000000" w:themeColor="text1"/>
          <w:sz w:val="20"/>
          <w:szCs w:val="20"/>
          <w:lang w:val="es-ES"/>
        </w:rPr>
        <w:t>e</w:t>
      </w:r>
      <w:r w:rsidR="00A2722B" w:rsidRPr="00282BBC">
        <w:rPr>
          <w:rFonts w:ascii="Avenir Next" w:hAnsi="Avenir Next" w:cs="Arial"/>
          <w:color w:val="000000" w:themeColor="text1"/>
          <w:sz w:val="20"/>
          <w:szCs w:val="20"/>
          <w:lang w:val="es-ES"/>
        </w:rPr>
        <w:t>res</w:t>
      </w:r>
      <w:r w:rsidR="009020B3" w:rsidRPr="00282BBC">
        <w:rPr>
          <w:rFonts w:ascii="Avenir Next" w:hAnsi="Avenir Next" w:cs="Arial"/>
          <w:color w:val="000000" w:themeColor="text1"/>
          <w:sz w:val="20"/>
          <w:szCs w:val="20"/>
          <w:lang w:val="es-ES"/>
        </w:rPr>
        <w:t>) entonces se considera riesgoso el proceso</w:t>
      </w:r>
      <w:r w:rsidR="001A66E0">
        <w:rPr>
          <w:rFonts w:ascii="Avenir Next" w:hAnsi="Avenir Next" w:cs="Arial"/>
          <w:color w:val="000000" w:themeColor="text1"/>
          <w:sz w:val="20"/>
          <w:szCs w:val="20"/>
          <w:lang w:val="es-ES"/>
        </w:rPr>
        <w:t xml:space="preserve"> debido a que </w:t>
      </w:r>
      <w:r w:rsidR="00A2722B">
        <w:rPr>
          <w:rFonts w:ascii="Avenir Next" w:hAnsi="Avenir Next" w:cs="Arial"/>
          <w:color w:val="000000" w:themeColor="text1"/>
          <w:sz w:val="20"/>
          <w:szCs w:val="20"/>
          <w:lang w:val="es-ES"/>
        </w:rPr>
        <w:t>d</w:t>
      </w:r>
      <w:r w:rsidR="001A66E0">
        <w:rPr>
          <w:rFonts w:ascii="Avenir Next" w:hAnsi="Avenir Next" w:cs="Arial"/>
          <w:color w:val="000000" w:themeColor="text1"/>
          <w:sz w:val="20"/>
          <w:szCs w:val="20"/>
          <w:lang w:val="es-ES"/>
        </w:rPr>
        <w:t xml:space="preserve">e acuerdo a OCP, </w:t>
      </w:r>
      <w:r w:rsidR="001A66E0" w:rsidRPr="00A2722B">
        <w:rPr>
          <w:rFonts w:ascii="Avenir Next" w:hAnsi="Avenir Next" w:cs="Arial"/>
          <w:color w:val="000000" w:themeColor="text1"/>
          <w:sz w:val="20"/>
          <w:szCs w:val="20"/>
          <w:lang w:val="es-ES"/>
        </w:rPr>
        <w:t>tiene que ver con la falta de trasparencia de los datos de un proveedor que lo hacen poco identificable.</w:t>
      </w:r>
    </w:p>
    <w:p w14:paraId="43AF83FD" w14:textId="53C60246" w:rsidR="008D10B5" w:rsidRPr="00282BBC" w:rsidRDefault="008D10B5" w:rsidP="009020B3">
      <w:pPr>
        <w:jc w:val="both"/>
        <w:rPr>
          <w:rFonts w:ascii="Avenir Next" w:hAnsi="Avenir Next" w:cs="Arial"/>
          <w:color w:val="000000" w:themeColor="text1"/>
          <w:sz w:val="20"/>
          <w:szCs w:val="20"/>
          <w:lang w:val="es-ES"/>
        </w:rPr>
      </w:pPr>
    </w:p>
    <w:p w14:paraId="5C00CA47" w14:textId="77777777" w:rsidR="009A5D62" w:rsidRPr="00282BBC" w:rsidRDefault="009A5D62" w:rsidP="009020B3">
      <w:pPr>
        <w:jc w:val="both"/>
        <w:rPr>
          <w:rFonts w:ascii="Avenir Next" w:hAnsi="Avenir Next" w:cs="Arial"/>
          <w:color w:val="000000" w:themeColor="text1"/>
          <w:sz w:val="20"/>
          <w:szCs w:val="20"/>
          <w:lang w:val="es-ES"/>
        </w:rPr>
      </w:pPr>
    </w:p>
    <w:p w14:paraId="3F674B2A" w14:textId="7A959325" w:rsidR="008D10B5" w:rsidRPr="00282BBC" w:rsidRDefault="00C83ABA" w:rsidP="008D10B5">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ordenado de manera descendente por el %</w:t>
      </w:r>
      <w:r w:rsidR="008D10B5"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4A2815">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8D10B5" w:rsidRPr="00282BBC">
        <w:rPr>
          <w:rFonts w:ascii="Avenir Next" w:hAnsi="Avenir Next" w:cs="Arial"/>
          <w:color w:val="000000" w:themeColor="text1"/>
          <w:sz w:val="16"/>
          <w:szCs w:val="16"/>
          <w:lang w:val="es-ES"/>
        </w:rPr>
        <w:t>.</w:t>
      </w:r>
    </w:p>
    <w:p w14:paraId="78BB6452" w14:textId="0A13D223" w:rsidR="008D10B5" w:rsidRPr="00282BBC" w:rsidRDefault="004A2815" w:rsidP="008D10B5">
      <w:pPr>
        <w:jc w:val="center"/>
        <w:rPr>
          <w:rFonts w:ascii="Avenir Next" w:hAnsi="Avenir Next" w:cs="Arial"/>
          <w:color w:val="000000" w:themeColor="text1"/>
          <w:lang w:val="es-ES"/>
        </w:rPr>
      </w:pPr>
      <w:r w:rsidRPr="004A2815">
        <w:rPr>
          <w:rFonts w:ascii="Avenir Next" w:hAnsi="Avenir Next" w:cs="Arial"/>
          <w:noProof/>
          <w:color w:val="000000" w:themeColor="text1"/>
          <w:lang w:val="es-ES"/>
        </w:rPr>
        <w:drawing>
          <wp:inline distT="0" distB="0" distL="0" distR="0" wp14:anchorId="30147B44" wp14:editId="1475E661">
            <wp:extent cx="5612130" cy="2242820"/>
            <wp:effectExtent l="0" t="0" r="7620" b="508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34"/>
                    <a:stretch>
                      <a:fillRect/>
                    </a:stretch>
                  </pic:blipFill>
                  <pic:spPr>
                    <a:xfrm>
                      <a:off x="0" y="0"/>
                      <a:ext cx="5612130" cy="2242820"/>
                    </a:xfrm>
                    <a:prstGeom prst="rect">
                      <a:avLst/>
                    </a:prstGeom>
                  </pic:spPr>
                </pic:pic>
              </a:graphicData>
            </a:graphic>
          </wp:inline>
        </w:drawing>
      </w:r>
    </w:p>
    <w:p w14:paraId="4804845E" w14:textId="77777777" w:rsidR="008D10B5" w:rsidRPr="00282BBC" w:rsidRDefault="008D10B5" w:rsidP="008D10B5">
      <w:pPr>
        <w:jc w:val="both"/>
        <w:rPr>
          <w:rFonts w:ascii="Avenir Next" w:hAnsi="Avenir Next" w:cs="Arial"/>
          <w:color w:val="000000" w:themeColor="text1"/>
          <w:lang w:val="es-ES"/>
        </w:rPr>
      </w:pPr>
    </w:p>
    <w:p w14:paraId="5B3F71AB" w14:textId="3571335A" w:rsidR="009A5D62" w:rsidRDefault="009A5D62" w:rsidP="00142AF1">
      <w:pPr>
        <w:jc w:val="both"/>
        <w:rPr>
          <w:rFonts w:ascii="Avenir Next" w:hAnsi="Avenir Next" w:cs="Arial"/>
          <w:color w:val="000000" w:themeColor="text1"/>
          <w:sz w:val="16"/>
          <w:szCs w:val="16"/>
          <w:lang w:val="es-ES"/>
        </w:rPr>
      </w:pPr>
    </w:p>
    <w:p w14:paraId="52CBC4BB" w14:textId="77777777" w:rsidR="004A2815" w:rsidRDefault="004A2815" w:rsidP="00142AF1">
      <w:pPr>
        <w:jc w:val="both"/>
        <w:rPr>
          <w:rFonts w:ascii="Avenir Next" w:hAnsi="Avenir Next" w:cs="Arial"/>
          <w:color w:val="000000" w:themeColor="text1"/>
          <w:sz w:val="16"/>
          <w:szCs w:val="16"/>
          <w:lang w:val="es-ES"/>
        </w:rPr>
      </w:pPr>
    </w:p>
    <w:p w14:paraId="1DAB5AF6" w14:textId="77777777" w:rsidR="009A5D62" w:rsidRDefault="009A5D62" w:rsidP="00142AF1">
      <w:pPr>
        <w:jc w:val="both"/>
        <w:rPr>
          <w:rFonts w:ascii="Avenir Next" w:hAnsi="Avenir Next" w:cs="Arial"/>
          <w:color w:val="000000" w:themeColor="text1"/>
          <w:sz w:val="16"/>
          <w:szCs w:val="16"/>
          <w:lang w:val="es-ES"/>
        </w:rPr>
      </w:pPr>
    </w:p>
    <w:p w14:paraId="2246EA47" w14:textId="77777777" w:rsidR="009A5D62" w:rsidRDefault="009A5D62" w:rsidP="00142AF1">
      <w:pPr>
        <w:jc w:val="both"/>
        <w:rPr>
          <w:rFonts w:ascii="Avenir Next" w:hAnsi="Avenir Next" w:cs="Arial"/>
          <w:color w:val="000000" w:themeColor="text1"/>
          <w:sz w:val="16"/>
          <w:szCs w:val="16"/>
          <w:lang w:val="es-ES"/>
        </w:rPr>
      </w:pPr>
    </w:p>
    <w:p w14:paraId="70EFE671" w14:textId="77777777" w:rsidR="009A5D62" w:rsidRDefault="009A5D62" w:rsidP="00142AF1">
      <w:pPr>
        <w:jc w:val="both"/>
        <w:rPr>
          <w:rFonts w:ascii="Avenir Next" w:hAnsi="Avenir Next" w:cs="Arial"/>
          <w:color w:val="000000" w:themeColor="text1"/>
          <w:sz w:val="16"/>
          <w:szCs w:val="16"/>
          <w:lang w:val="es-ES"/>
        </w:rPr>
      </w:pPr>
    </w:p>
    <w:p w14:paraId="0D7A6560" w14:textId="77777777" w:rsidR="009A5D62" w:rsidRDefault="009A5D62" w:rsidP="00142AF1">
      <w:pPr>
        <w:jc w:val="both"/>
        <w:rPr>
          <w:rFonts w:ascii="Avenir Next" w:hAnsi="Avenir Next" w:cs="Arial"/>
          <w:color w:val="000000" w:themeColor="text1"/>
          <w:sz w:val="16"/>
          <w:szCs w:val="16"/>
          <w:lang w:val="es-ES"/>
        </w:rPr>
      </w:pPr>
    </w:p>
    <w:p w14:paraId="0060061C" w14:textId="308DACA5" w:rsidR="008D10B5" w:rsidRPr="00282BBC" w:rsidRDefault="00C83ABA" w:rsidP="00142AF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b</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 xml:space="preserve">ordenado de manera descendente por la cantidad </w:t>
      </w:r>
      <w:r w:rsidR="008D10B5"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4A2815">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5A5C8B">
        <w:rPr>
          <w:rFonts w:ascii="Avenir Next" w:hAnsi="Avenir Next" w:cs="Arial"/>
          <w:color w:val="000000" w:themeColor="text1"/>
          <w:sz w:val="16"/>
          <w:szCs w:val="16"/>
          <w:lang w:val="es-ES"/>
        </w:rPr>
        <w:t>.</w:t>
      </w:r>
    </w:p>
    <w:p w14:paraId="4F43FB57" w14:textId="10AFD8A9" w:rsidR="0049078B" w:rsidRPr="00282BBC" w:rsidRDefault="004A2815" w:rsidP="00E2694B">
      <w:pPr>
        <w:jc w:val="center"/>
        <w:rPr>
          <w:rFonts w:ascii="Avenir Next" w:hAnsi="Avenir Next" w:cs="Arial"/>
          <w:color w:val="000000" w:themeColor="text1"/>
          <w:lang w:val="es-ES"/>
        </w:rPr>
      </w:pPr>
      <w:r w:rsidRPr="004A2815">
        <w:rPr>
          <w:rFonts w:ascii="Avenir Next" w:hAnsi="Avenir Next" w:cs="Arial"/>
          <w:noProof/>
          <w:color w:val="000000" w:themeColor="text1"/>
          <w:lang w:val="es-ES"/>
        </w:rPr>
        <w:drawing>
          <wp:inline distT="0" distB="0" distL="0" distR="0" wp14:anchorId="28334097" wp14:editId="68E768E4">
            <wp:extent cx="5612130" cy="2314575"/>
            <wp:effectExtent l="0" t="0" r="7620" b="9525"/>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35"/>
                    <a:stretch>
                      <a:fillRect/>
                    </a:stretch>
                  </pic:blipFill>
                  <pic:spPr>
                    <a:xfrm>
                      <a:off x="0" y="0"/>
                      <a:ext cx="5612130" cy="2314575"/>
                    </a:xfrm>
                    <a:prstGeom prst="rect">
                      <a:avLst/>
                    </a:prstGeom>
                  </pic:spPr>
                </pic:pic>
              </a:graphicData>
            </a:graphic>
          </wp:inline>
        </w:drawing>
      </w:r>
    </w:p>
    <w:p w14:paraId="4634843C" w14:textId="77777777" w:rsidR="00AB75DB" w:rsidRDefault="00AB75DB" w:rsidP="00AF573C">
      <w:pPr>
        <w:rPr>
          <w:rFonts w:ascii="Avenir Next" w:hAnsi="Avenir Next"/>
          <w:color w:val="000000" w:themeColor="text1"/>
          <w:sz w:val="20"/>
          <w:szCs w:val="20"/>
          <w:lang w:val="es-ES"/>
        </w:rPr>
      </w:pPr>
    </w:p>
    <w:p w14:paraId="74ED1919" w14:textId="1AA850E8"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6" w:history="1">
        <w:r w:rsidR="00EF14EB" w:rsidRPr="00786F99">
          <w:rPr>
            <w:rStyle w:val="Hipervnculo"/>
            <w:rFonts w:ascii="Avenir Next" w:hAnsi="Avenir Next"/>
            <w:color w:val="000000" w:themeColor="text1"/>
            <w:sz w:val="20"/>
            <w:szCs w:val="20"/>
            <w:lang w:val="es-ES"/>
          </w:rPr>
          <w:t>aquí</w:t>
        </w:r>
      </w:hyperlink>
    </w:p>
    <w:p w14:paraId="0CF94F59" w14:textId="5365C63F" w:rsidR="00255E44" w:rsidRDefault="00255E44" w:rsidP="001E4721">
      <w:pPr>
        <w:rPr>
          <w:rFonts w:ascii="Avenir Next" w:hAnsi="Avenir Next" w:cs="Arial"/>
          <w:color w:val="000000" w:themeColor="text1"/>
          <w:lang w:val="es-ES"/>
        </w:rPr>
      </w:pPr>
    </w:p>
    <w:p w14:paraId="02735295" w14:textId="77777777" w:rsidR="00255E44" w:rsidRPr="00282BBC" w:rsidRDefault="00255E44" w:rsidP="001E4721">
      <w:pPr>
        <w:rPr>
          <w:rFonts w:ascii="Avenir Next" w:hAnsi="Avenir Next" w:cs="Arial"/>
          <w:color w:val="000000" w:themeColor="text1"/>
          <w:lang w:val="es-ES"/>
        </w:rPr>
      </w:pPr>
    </w:p>
    <w:p w14:paraId="2760B222" w14:textId="24F36A51"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Tiempo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 xml:space="preserve">ntre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 xml:space="preserve">ierre y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 xml:space="preserve">djudicación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stimado</w:t>
      </w:r>
      <w:r w:rsidR="008E1CCB">
        <w:rPr>
          <w:rFonts w:ascii="Avenir Next" w:eastAsiaTheme="majorEastAsia" w:hAnsi="Avenir Next" w:cstheme="majorBidi"/>
          <w:color w:val="000000" w:themeColor="text1"/>
          <w:sz w:val="26"/>
          <w:szCs w:val="26"/>
          <w:lang w:val="es-ES"/>
        </w:rPr>
        <w:t>,</w:t>
      </w:r>
      <w:r w:rsidR="009020B3" w:rsidRPr="00C83ABA">
        <w:rPr>
          <w:rFonts w:ascii="Avenir Next" w:eastAsiaTheme="majorEastAsia" w:hAnsi="Avenir Next" w:cstheme="majorBidi"/>
          <w:color w:val="000000" w:themeColor="text1"/>
          <w:sz w:val="26"/>
          <w:szCs w:val="26"/>
          <w:lang w:val="es-ES"/>
        </w:rPr>
        <w:t xml:space="preserve">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cotado</w:t>
      </w:r>
      <w:r w:rsidR="008E1CCB">
        <w:rPr>
          <w:rFonts w:ascii="Avenir Next" w:eastAsiaTheme="majorEastAsia" w:hAnsi="Avenir Next" w:cstheme="majorBidi"/>
          <w:color w:val="000000" w:themeColor="text1"/>
          <w:sz w:val="26"/>
          <w:szCs w:val="26"/>
          <w:lang w:val="es-ES"/>
        </w:rPr>
        <w:t>.</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60D44E8D" w:rsidR="009020B3" w:rsidRPr="00282BBC" w:rsidRDefault="0044554C"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w:t>
      </w:r>
      <w:r w:rsidR="009020B3" w:rsidRPr="00282BBC">
        <w:rPr>
          <w:rFonts w:ascii="Avenir Next" w:hAnsi="Avenir Next" w:cs="Arial"/>
          <w:color w:val="000000" w:themeColor="text1"/>
          <w:sz w:val="20"/>
          <w:szCs w:val="20"/>
          <w:lang w:val="es-ES"/>
        </w:rPr>
        <w:t xml:space="preserve">a cantidad de días entre el cierre </w:t>
      </w:r>
      <w:r w:rsidR="00AB75DB">
        <w:rPr>
          <w:rFonts w:ascii="Avenir Next" w:hAnsi="Avenir Next" w:cs="Arial"/>
          <w:color w:val="000000" w:themeColor="text1"/>
          <w:sz w:val="20"/>
          <w:szCs w:val="20"/>
          <w:lang w:val="es-ES"/>
        </w:rPr>
        <w:t xml:space="preserve">de la postulación </w:t>
      </w:r>
      <w:r w:rsidR="004B0612">
        <w:rPr>
          <w:rFonts w:ascii="Avenir Next" w:hAnsi="Avenir Next" w:cs="Arial"/>
          <w:color w:val="000000" w:themeColor="text1"/>
          <w:sz w:val="20"/>
          <w:szCs w:val="20"/>
          <w:lang w:val="es-ES"/>
        </w:rPr>
        <w:t>y</w:t>
      </w:r>
      <w:r w:rsidR="00AB75DB">
        <w:rPr>
          <w:rFonts w:ascii="Avenir Next" w:hAnsi="Avenir Next" w:cs="Arial"/>
          <w:color w:val="000000" w:themeColor="text1"/>
          <w:sz w:val="20"/>
          <w:szCs w:val="20"/>
          <w:lang w:val="es-ES"/>
        </w:rPr>
        <w:t xml:space="preserve"> la </w:t>
      </w:r>
      <w:r w:rsidR="009020B3" w:rsidRPr="00282BBC">
        <w:rPr>
          <w:rFonts w:ascii="Avenir Next" w:hAnsi="Avenir Next" w:cs="Arial"/>
          <w:color w:val="000000" w:themeColor="text1"/>
          <w:sz w:val="20"/>
          <w:szCs w:val="20"/>
          <w:lang w:val="es-ES"/>
        </w:rPr>
        <w:t xml:space="preserve">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5E67EE6B" w14:textId="6B856CA7" w:rsidR="001E4721" w:rsidRPr="00282BBC" w:rsidRDefault="00541650" w:rsidP="009020B3">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351BE306" w14:textId="77777777" w:rsidR="0081173D" w:rsidRDefault="0081173D" w:rsidP="001E4721">
      <w:pPr>
        <w:jc w:val="both"/>
        <w:rPr>
          <w:rFonts w:ascii="Avenir Next" w:hAnsi="Avenir Next" w:cs="Arial"/>
          <w:color w:val="000000" w:themeColor="text1"/>
          <w:sz w:val="16"/>
          <w:szCs w:val="16"/>
          <w:lang w:val="es-ES"/>
        </w:rPr>
      </w:pPr>
    </w:p>
    <w:p w14:paraId="54325B1B" w14:textId="3C0483C9"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30-0</w:t>
      </w:r>
      <w:r w:rsidR="004A2815">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1E4721" w:rsidRPr="00282BBC">
        <w:rPr>
          <w:rFonts w:ascii="Avenir Next" w:hAnsi="Avenir Next" w:cs="Arial"/>
          <w:color w:val="000000" w:themeColor="text1"/>
          <w:sz w:val="16"/>
          <w:szCs w:val="16"/>
          <w:lang w:val="es-ES"/>
        </w:rPr>
        <w:t>.</w:t>
      </w:r>
    </w:p>
    <w:p w14:paraId="2ADE0BA7" w14:textId="0D65DCCB" w:rsidR="001E4721" w:rsidRPr="00282BBC" w:rsidRDefault="004A2815" w:rsidP="001E4721">
      <w:pPr>
        <w:jc w:val="center"/>
        <w:rPr>
          <w:rFonts w:ascii="Avenir Next" w:hAnsi="Avenir Next" w:cs="Arial"/>
          <w:color w:val="000000" w:themeColor="text1"/>
          <w:lang w:val="es-ES"/>
        </w:rPr>
      </w:pPr>
      <w:r w:rsidRPr="004A2815">
        <w:rPr>
          <w:rFonts w:ascii="Avenir Next" w:hAnsi="Avenir Next" w:cs="Arial"/>
          <w:noProof/>
          <w:color w:val="000000" w:themeColor="text1"/>
          <w:lang w:val="es-ES"/>
        </w:rPr>
        <w:drawing>
          <wp:inline distT="0" distB="0" distL="0" distR="0" wp14:anchorId="64C8F105" wp14:editId="328402A2">
            <wp:extent cx="5612130" cy="2221865"/>
            <wp:effectExtent l="0" t="0" r="7620" b="6985"/>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37"/>
                    <a:stretch>
                      <a:fillRect/>
                    </a:stretch>
                  </pic:blipFill>
                  <pic:spPr>
                    <a:xfrm>
                      <a:off x="0" y="0"/>
                      <a:ext cx="5612130" cy="2221865"/>
                    </a:xfrm>
                    <a:prstGeom prst="rect">
                      <a:avLst/>
                    </a:prstGeom>
                  </pic:spPr>
                </pic:pic>
              </a:graphicData>
            </a:graphic>
          </wp:inline>
        </w:drawing>
      </w:r>
    </w:p>
    <w:p w14:paraId="6562DFED" w14:textId="77777777" w:rsidR="00AF573C" w:rsidRPr="00282BBC" w:rsidRDefault="00AF573C" w:rsidP="00C80817">
      <w:pPr>
        <w:jc w:val="both"/>
        <w:rPr>
          <w:rFonts w:ascii="Avenir Next" w:hAnsi="Avenir Next" w:cs="Arial"/>
          <w:color w:val="000000" w:themeColor="text1"/>
          <w:sz w:val="16"/>
          <w:szCs w:val="16"/>
          <w:lang w:val="es-ES"/>
        </w:rPr>
      </w:pPr>
    </w:p>
    <w:p w14:paraId="263BCD2F" w14:textId="14408EBD" w:rsidR="00AF573C" w:rsidRDefault="00AF573C" w:rsidP="00C80817">
      <w:pPr>
        <w:jc w:val="both"/>
        <w:rPr>
          <w:rFonts w:ascii="Avenir Next" w:hAnsi="Avenir Next" w:cs="Arial"/>
          <w:color w:val="000000" w:themeColor="text1"/>
          <w:sz w:val="16"/>
          <w:szCs w:val="16"/>
          <w:lang w:val="es-ES"/>
        </w:rPr>
      </w:pPr>
    </w:p>
    <w:p w14:paraId="0BB09E8A" w14:textId="11BEB840" w:rsidR="004A2815" w:rsidRDefault="004A2815" w:rsidP="00C80817">
      <w:pPr>
        <w:jc w:val="both"/>
        <w:rPr>
          <w:rFonts w:ascii="Avenir Next" w:hAnsi="Avenir Next" w:cs="Arial"/>
          <w:color w:val="000000" w:themeColor="text1"/>
          <w:sz w:val="16"/>
          <w:szCs w:val="16"/>
          <w:lang w:val="es-ES"/>
        </w:rPr>
      </w:pPr>
    </w:p>
    <w:p w14:paraId="5CAF37DB" w14:textId="77777777" w:rsidR="004A2815" w:rsidRDefault="004A2815" w:rsidP="00C80817">
      <w:pPr>
        <w:jc w:val="both"/>
        <w:rPr>
          <w:rFonts w:ascii="Avenir Next" w:hAnsi="Avenir Next" w:cs="Arial"/>
          <w:color w:val="000000" w:themeColor="text1"/>
          <w:sz w:val="16"/>
          <w:szCs w:val="16"/>
          <w:lang w:val="es-ES"/>
        </w:rPr>
      </w:pPr>
    </w:p>
    <w:p w14:paraId="1C1D59A0" w14:textId="2D0414F6" w:rsidR="0081173D" w:rsidRDefault="0081173D" w:rsidP="00C80817">
      <w:pPr>
        <w:jc w:val="both"/>
        <w:rPr>
          <w:rFonts w:ascii="Avenir Next" w:hAnsi="Avenir Next" w:cs="Arial"/>
          <w:color w:val="000000" w:themeColor="text1"/>
          <w:sz w:val="16"/>
          <w:szCs w:val="16"/>
          <w:lang w:val="es-ES"/>
        </w:rPr>
      </w:pPr>
    </w:p>
    <w:p w14:paraId="10A4DFEF" w14:textId="202FA101" w:rsidR="0081173D" w:rsidRDefault="0081173D" w:rsidP="00C80817">
      <w:pPr>
        <w:jc w:val="both"/>
        <w:rPr>
          <w:rFonts w:ascii="Avenir Next" w:hAnsi="Avenir Next" w:cs="Arial"/>
          <w:color w:val="000000" w:themeColor="text1"/>
          <w:sz w:val="16"/>
          <w:szCs w:val="16"/>
          <w:lang w:val="es-ES"/>
        </w:rPr>
      </w:pPr>
    </w:p>
    <w:p w14:paraId="5E405A49" w14:textId="77777777" w:rsidR="0081173D" w:rsidRPr="00282BBC" w:rsidRDefault="0081173D" w:rsidP="00C80817">
      <w:pPr>
        <w:jc w:val="both"/>
        <w:rPr>
          <w:rFonts w:ascii="Avenir Next" w:hAnsi="Avenir Next" w:cs="Arial"/>
          <w:color w:val="000000" w:themeColor="text1"/>
          <w:sz w:val="16"/>
          <w:szCs w:val="16"/>
          <w:lang w:val="es-ES"/>
        </w:rPr>
      </w:pP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3D388D01"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30-0</w:t>
      </w:r>
      <w:r w:rsidR="004A2815">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p>
    <w:p w14:paraId="4DF7971C" w14:textId="016753E4" w:rsidR="001E4721" w:rsidRPr="00282BBC" w:rsidRDefault="004A2815" w:rsidP="001E4721">
      <w:pPr>
        <w:jc w:val="center"/>
        <w:rPr>
          <w:rFonts w:ascii="Avenir Next" w:hAnsi="Avenir Next" w:cs="Arial"/>
          <w:color w:val="000000" w:themeColor="text1"/>
          <w:lang w:val="es-ES"/>
        </w:rPr>
      </w:pPr>
      <w:r w:rsidRPr="004A2815">
        <w:rPr>
          <w:rFonts w:ascii="Avenir Next" w:hAnsi="Avenir Next" w:cs="Arial"/>
          <w:noProof/>
          <w:color w:val="000000" w:themeColor="text1"/>
          <w:lang w:val="es-ES"/>
        </w:rPr>
        <w:drawing>
          <wp:inline distT="0" distB="0" distL="0" distR="0" wp14:anchorId="1FFEE626" wp14:editId="156C939B">
            <wp:extent cx="5612130" cy="2251710"/>
            <wp:effectExtent l="0" t="0" r="7620" b="0"/>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8"/>
                    <a:stretch>
                      <a:fillRect/>
                    </a:stretch>
                  </pic:blipFill>
                  <pic:spPr>
                    <a:xfrm>
                      <a:off x="0" y="0"/>
                      <a:ext cx="5612130" cy="2251710"/>
                    </a:xfrm>
                    <a:prstGeom prst="rect">
                      <a:avLst/>
                    </a:prstGeom>
                  </pic:spPr>
                </pic:pic>
              </a:graphicData>
            </a:graphic>
          </wp:inline>
        </w:drawing>
      </w:r>
    </w:p>
    <w:p w14:paraId="27645442" w14:textId="77777777" w:rsidR="00AB75DB" w:rsidRDefault="00AB75DB" w:rsidP="00AF573C">
      <w:pPr>
        <w:rPr>
          <w:rFonts w:ascii="Avenir Next" w:hAnsi="Avenir Next"/>
          <w:color w:val="000000" w:themeColor="text1"/>
          <w:sz w:val="20"/>
          <w:szCs w:val="20"/>
          <w:lang w:val="es-ES"/>
        </w:rPr>
      </w:pPr>
    </w:p>
    <w:p w14:paraId="135D0B9A" w14:textId="2B744ABF"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9"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69470657" w14:textId="10E73644"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Presencia de </w:t>
      </w:r>
      <w:r w:rsidR="008E1CCB">
        <w:rPr>
          <w:rFonts w:ascii="Avenir Next" w:eastAsiaTheme="majorEastAsia" w:hAnsi="Avenir Next" w:cstheme="majorBidi"/>
          <w:color w:val="000000" w:themeColor="text1"/>
          <w:sz w:val="26"/>
          <w:szCs w:val="26"/>
          <w:lang w:val="es-ES"/>
        </w:rPr>
        <w:t>R</w:t>
      </w:r>
      <w:r w:rsidR="009020B3" w:rsidRPr="00C83ABA">
        <w:rPr>
          <w:rFonts w:ascii="Avenir Next" w:eastAsiaTheme="majorEastAsia" w:hAnsi="Avenir Next" w:cstheme="majorBidi"/>
          <w:color w:val="000000" w:themeColor="text1"/>
          <w:sz w:val="26"/>
          <w:szCs w:val="26"/>
          <w:lang w:val="es-ES"/>
        </w:rPr>
        <w:t>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2FB5276C" w14:textId="65D481D4" w:rsidR="005633D9"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considera riesgosas aquellas licitaciones en las cuales se hayan presentado reclamos.</w:t>
      </w:r>
    </w:p>
    <w:p w14:paraId="48DE2454" w14:textId="77777777" w:rsidR="005633D9" w:rsidRPr="008609CF" w:rsidRDefault="005633D9" w:rsidP="008609CF">
      <w:pPr>
        <w:jc w:val="both"/>
        <w:rPr>
          <w:rFonts w:ascii="Avenir Next" w:hAnsi="Avenir Next" w:cs="Arial"/>
          <w:color w:val="000000" w:themeColor="text1"/>
          <w:sz w:val="20"/>
          <w:szCs w:val="20"/>
          <w:lang w:val="es-ES"/>
        </w:rPr>
      </w:pPr>
    </w:p>
    <w:p w14:paraId="7E6FA0D8" w14:textId="71492386"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D3072A">
        <w:rPr>
          <w:rFonts w:ascii="Avenir Next" w:hAnsi="Avenir Next" w:cs="Arial"/>
          <w:color w:val="000000" w:themeColor="text1"/>
          <w:sz w:val="16"/>
          <w:szCs w:val="16"/>
          <w:lang w:val="es-ES"/>
        </w:rPr>
        <w:t xml:space="preserve">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30-0</w:t>
      </w:r>
      <w:r w:rsidR="005705C6">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1E4721" w:rsidRPr="00282BBC">
        <w:rPr>
          <w:rFonts w:ascii="Avenir Next" w:hAnsi="Avenir Next" w:cs="Arial"/>
          <w:color w:val="000000" w:themeColor="text1"/>
          <w:sz w:val="16"/>
          <w:szCs w:val="16"/>
          <w:lang w:val="es-ES"/>
        </w:rPr>
        <w:t>.</w:t>
      </w:r>
    </w:p>
    <w:p w14:paraId="1B7A759B" w14:textId="222DF9EA" w:rsidR="001E4721" w:rsidRDefault="005705C6" w:rsidP="001E4721">
      <w:pPr>
        <w:jc w:val="center"/>
        <w:rPr>
          <w:noProof/>
        </w:rPr>
      </w:pPr>
      <w:r w:rsidRPr="005705C6">
        <w:rPr>
          <w:noProof/>
        </w:rPr>
        <w:drawing>
          <wp:inline distT="0" distB="0" distL="0" distR="0" wp14:anchorId="10D895D2" wp14:editId="5FF85C6C">
            <wp:extent cx="5563376" cy="2505425"/>
            <wp:effectExtent l="0" t="0" r="0" b="9525"/>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pic:nvPicPr>
                  <pic:blipFill>
                    <a:blip r:embed="rId40"/>
                    <a:stretch>
                      <a:fillRect/>
                    </a:stretch>
                  </pic:blipFill>
                  <pic:spPr>
                    <a:xfrm>
                      <a:off x="0" y="0"/>
                      <a:ext cx="5563376" cy="2505425"/>
                    </a:xfrm>
                    <a:prstGeom prst="rect">
                      <a:avLst/>
                    </a:prstGeom>
                  </pic:spPr>
                </pic:pic>
              </a:graphicData>
            </a:graphic>
          </wp:inline>
        </w:drawing>
      </w:r>
    </w:p>
    <w:p w14:paraId="58D955CE" w14:textId="5736A7AB" w:rsidR="005705C6" w:rsidRDefault="005705C6" w:rsidP="001E4721">
      <w:pPr>
        <w:jc w:val="center"/>
        <w:rPr>
          <w:noProof/>
        </w:rPr>
      </w:pPr>
    </w:p>
    <w:p w14:paraId="66CB2269" w14:textId="19F40770" w:rsidR="005705C6" w:rsidRDefault="005705C6" w:rsidP="001E4721">
      <w:pPr>
        <w:jc w:val="center"/>
        <w:rPr>
          <w:noProof/>
        </w:rPr>
      </w:pPr>
    </w:p>
    <w:p w14:paraId="41CE1FBD" w14:textId="1BA47D83" w:rsidR="005705C6" w:rsidRDefault="005705C6" w:rsidP="001E4721">
      <w:pPr>
        <w:jc w:val="center"/>
        <w:rPr>
          <w:noProof/>
        </w:rPr>
      </w:pPr>
    </w:p>
    <w:p w14:paraId="106FDAFE" w14:textId="2E30F1EE" w:rsidR="005705C6" w:rsidRDefault="005705C6" w:rsidP="001E4721">
      <w:pPr>
        <w:jc w:val="center"/>
        <w:rPr>
          <w:noProof/>
        </w:rPr>
      </w:pPr>
    </w:p>
    <w:p w14:paraId="26BDFF05" w14:textId="61ED2833" w:rsidR="005705C6" w:rsidRDefault="005705C6" w:rsidP="001E4721">
      <w:pPr>
        <w:jc w:val="center"/>
        <w:rPr>
          <w:noProof/>
        </w:rPr>
      </w:pPr>
    </w:p>
    <w:p w14:paraId="622C0E02" w14:textId="77777777" w:rsidR="005705C6" w:rsidRPr="00282BBC" w:rsidRDefault="005705C6" w:rsidP="001E4721">
      <w:pPr>
        <w:jc w:val="center"/>
        <w:rPr>
          <w:rFonts w:ascii="Avenir Next" w:hAnsi="Avenir Next" w:cs="Arial"/>
          <w:color w:val="000000" w:themeColor="text1"/>
          <w:lang w:val="es-ES"/>
        </w:rPr>
      </w:pP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5D1E27A9" w:rsidR="001E4721" w:rsidRPr="00282BBC" w:rsidRDefault="00C83ABA" w:rsidP="00C41D1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w:t>
      </w:r>
      <w:r w:rsidR="00F872D9">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en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5C9D994C" w14:textId="0C2CAC6A" w:rsidR="001E4721" w:rsidRPr="00282BBC" w:rsidRDefault="005705C6" w:rsidP="001E4721">
      <w:pPr>
        <w:jc w:val="center"/>
        <w:rPr>
          <w:rFonts w:ascii="Avenir Next" w:hAnsi="Avenir Next" w:cs="Arial"/>
          <w:color w:val="000000" w:themeColor="text1"/>
          <w:lang w:val="es-ES"/>
        </w:rPr>
      </w:pPr>
      <w:r w:rsidRPr="005705C6">
        <w:rPr>
          <w:rFonts w:ascii="Avenir Next" w:hAnsi="Avenir Next" w:cs="Arial"/>
          <w:noProof/>
          <w:color w:val="000000" w:themeColor="text1"/>
          <w:lang w:val="es-ES"/>
        </w:rPr>
        <w:drawing>
          <wp:inline distT="0" distB="0" distL="0" distR="0" wp14:anchorId="4730F74B" wp14:editId="2163C942">
            <wp:extent cx="5612130" cy="2454910"/>
            <wp:effectExtent l="0" t="0" r="7620" b="254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41"/>
                    <a:stretch>
                      <a:fillRect/>
                    </a:stretch>
                  </pic:blipFill>
                  <pic:spPr>
                    <a:xfrm>
                      <a:off x="0" y="0"/>
                      <a:ext cx="5612130" cy="2454910"/>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2"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00F84AE9" w14:textId="433FFFA3" w:rsidR="001E4721" w:rsidRPr="00C83ABA" w:rsidRDefault="00C97B8C"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Falta de </w:t>
      </w:r>
      <w:r w:rsidR="008E1CCB">
        <w:rPr>
          <w:rFonts w:ascii="Avenir Next" w:eastAsiaTheme="majorEastAsia" w:hAnsi="Avenir Next" w:cstheme="majorBidi"/>
          <w:color w:val="000000" w:themeColor="text1"/>
          <w:sz w:val="26"/>
          <w:szCs w:val="26"/>
          <w:lang w:val="es-ES"/>
        </w:rPr>
        <w:t>O</w:t>
      </w:r>
      <w:r w:rsidR="009020B3" w:rsidRPr="00C83ABA">
        <w:rPr>
          <w:rFonts w:ascii="Avenir Next" w:eastAsiaTheme="majorEastAsia" w:hAnsi="Avenir Next" w:cstheme="majorBidi"/>
          <w:color w:val="000000" w:themeColor="text1"/>
          <w:sz w:val="26"/>
          <w:szCs w:val="26"/>
          <w:lang w:val="es-ES"/>
        </w:rPr>
        <w:t xml:space="preserve">rden de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ompra</w:t>
      </w:r>
      <w:r w:rsidR="008E1CCB">
        <w:rPr>
          <w:rFonts w:ascii="Avenir Next" w:eastAsiaTheme="majorEastAsia" w:hAnsi="Avenir Next" w:cstheme="majorBidi"/>
          <w:color w:val="000000" w:themeColor="text1"/>
          <w:sz w:val="26"/>
          <w:szCs w:val="26"/>
          <w:lang w:val="es-ES"/>
        </w:rPr>
        <w:t>.</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0E40F03D"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 xml:space="preserve">considera riesgosas aquellas licitaciones en las cuales no se </w:t>
      </w:r>
      <w:r w:rsidR="002A78B0">
        <w:rPr>
          <w:rFonts w:ascii="Avenir Next" w:hAnsi="Avenir Next" w:cs="Arial"/>
          <w:color w:val="000000" w:themeColor="text1"/>
          <w:sz w:val="20"/>
          <w:szCs w:val="20"/>
          <w:lang w:val="es-ES"/>
        </w:rPr>
        <w:t xml:space="preserve">ha </w:t>
      </w:r>
      <w:r w:rsidR="004C33C7">
        <w:rPr>
          <w:rFonts w:ascii="Avenir Next" w:hAnsi="Avenir Next" w:cs="Arial"/>
          <w:color w:val="000000" w:themeColor="text1"/>
          <w:sz w:val="20"/>
          <w:szCs w:val="20"/>
          <w:lang w:val="es-ES"/>
        </w:rPr>
        <w:t xml:space="preserve">emitido </w:t>
      </w:r>
      <w:r w:rsidRPr="00282BBC">
        <w:rPr>
          <w:rFonts w:ascii="Avenir Next" w:hAnsi="Avenir Next" w:cs="Arial"/>
          <w:color w:val="000000" w:themeColor="text1"/>
          <w:sz w:val="20"/>
          <w:szCs w:val="20"/>
          <w:lang w:val="es-ES"/>
        </w:rPr>
        <w:t>una orden de compra</w:t>
      </w:r>
      <w:r w:rsidR="004C33C7">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pese a que ha sido adjudicado el proceso.</w:t>
      </w:r>
    </w:p>
    <w:p w14:paraId="2D3C42C8" w14:textId="7BDAAEAC" w:rsidR="000B5AF9" w:rsidRDefault="000B5AF9" w:rsidP="001E4721">
      <w:pPr>
        <w:jc w:val="both"/>
        <w:rPr>
          <w:rFonts w:ascii="Avenir Next" w:hAnsi="Avenir Next" w:cs="Arial"/>
          <w:color w:val="000000" w:themeColor="text1"/>
          <w:sz w:val="16"/>
          <w:szCs w:val="16"/>
          <w:lang w:val="es-ES"/>
        </w:rPr>
      </w:pPr>
    </w:p>
    <w:p w14:paraId="36FCCA44" w14:textId="78835910"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30-0</w:t>
      </w:r>
      <w:r w:rsidR="006C393D">
        <w:rPr>
          <w:rFonts w:ascii="Avenir Next" w:hAnsi="Avenir Next" w:cs="Arial"/>
          <w:color w:val="000000" w:themeColor="text1"/>
          <w:sz w:val="16"/>
          <w:szCs w:val="16"/>
          <w:lang w:val="es-ES"/>
        </w:rPr>
        <w:t>9</w:t>
      </w:r>
      <w:r w:rsidR="00C41C72">
        <w:rPr>
          <w:rFonts w:ascii="Avenir Next" w:hAnsi="Avenir Next" w:cs="Arial"/>
          <w:color w:val="000000" w:themeColor="text1"/>
          <w:sz w:val="16"/>
          <w:szCs w:val="16"/>
          <w:lang w:val="es-ES"/>
        </w:rPr>
        <w:t>-2021</w:t>
      </w:r>
      <w:r w:rsidR="001E4721" w:rsidRPr="00282BBC">
        <w:rPr>
          <w:rFonts w:ascii="Avenir Next" w:hAnsi="Avenir Next" w:cs="Arial"/>
          <w:color w:val="000000" w:themeColor="text1"/>
          <w:sz w:val="16"/>
          <w:szCs w:val="16"/>
          <w:lang w:val="es-ES"/>
        </w:rPr>
        <w:t>.</w:t>
      </w:r>
    </w:p>
    <w:p w14:paraId="1AE86AD2" w14:textId="20C7205A" w:rsidR="001E4721" w:rsidRPr="00282BBC" w:rsidRDefault="006C393D" w:rsidP="001E4721">
      <w:pPr>
        <w:jc w:val="center"/>
        <w:rPr>
          <w:rFonts w:ascii="Avenir Next" w:hAnsi="Avenir Next" w:cs="Arial"/>
          <w:color w:val="000000" w:themeColor="text1"/>
          <w:lang w:val="es-ES"/>
        </w:rPr>
      </w:pPr>
      <w:r w:rsidRPr="006C393D">
        <w:rPr>
          <w:rFonts w:ascii="Avenir Next" w:hAnsi="Avenir Next" w:cs="Arial"/>
          <w:noProof/>
          <w:color w:val="000000" w:themeColor="text1"/>
          <w:lang w:val="es-ES"/>
        </w:rPr>
        <w:drawing>
          <wp:inline distT="0" distB="0" distL="0" distR="0" wp14:anchorId="72081F20" wp14:editId="7E8A7568">
            <wp:extent cx="5612130" cy="2353310"/>
            <wp:effectExtent l="0" t="0" r="7620" b="889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pic:nvPicPr>
                  <pic:blipFill>
                    <a:blip r:embed="rId43"/>
                    <a:stretch>
                      <a:fillRect/>
                    </a:stretch>
                  </pic:blipFill>
                  <pic:spPr>
                    <a:xfrm>
                      <a:off x="0" y="0"/>
                      <a:ext cx="5612130" cy="2353310"/>
                    </a:xfrm>
                    <a:prstGeom prst="rect">
                      <a:avLst/>
                    </a:prstGeom>
                  </pic:spPr>
                </pic:pic>
              </a:graphicData>
            </a:graphic>
          </wp:inline>
        </w:drawing>
      </w:r>
    </w:p>
    <w:p w14:paraId="6156C524" w14:textId="24857DA8" w:rsidR="001E4721" w:rsidRDefault="001E4721" w:rsidP="001E4721">
      <w:pPr>
        <w:jc w:val="both"/>
        <w:rPr>
          <w:rFonts w:ascii="Avenir Next" w:hAnsi="Avenir Next" w:cs="Arial"/>
          <w:color w:val="000000" w:themeColor="text1"/>
          <w:lang w:val="es-ES"/>
        </w:rPr>
      </w:pPr>
    </w:p>
    <w:p w14:paraId="30324F21" w14:textId="15126834" w:rsidR="0081173D" w:rsidRDefault="0081173D" w:rsidP="001E4721">
      <w:pPr>
        <w:jc w:val="both"/>
        <w:rPr>
          <w:rFonts w:ascii="Avenir Next" w:hAnsi="Avenir Next" w:cs="Arial"/>
          <w:color w:val="000000" w:themeColor="text1"/>
          <w:lang w:val="es-ES"/>
        </w:rPr>
      </w:pPr>
    </w:p>
    <w:p w14:paraId="7E3443BE" w14:textId="3617BA59" w:rsidR="0081173D" w:rsidRDefault="0081173D" w:rsidP="001E4721">
      <w:pPr>
        <w:jc w:val="both"/>
        <w:rPr>
          <w:rFonts w:ascii="Avenir Next" w:hAnsi="Avenir Next" w:cs="Arial"/>
          <w:color w:val="000000" w:themeColor="text1"/>
          <w:lang w:val="es-ES"/>
        </w:rPr>
      </w:pPr>
    </w:p>
    <w:p w14:paraId="4754B895" w14:textId="1839F436" w:rsidR="0081173D" w:rsidRDefault="0081173D" w:rsidP="001E4721">
      <w:pPr>
        <w:jc w:val="both"/>
        <w:rPr>
          <w:rFonts w:ascii="Avenir Next" w:hAnsi="Avenir Next" w:cs="Arial"/>
          <w:color w:val="000000" w:themeColor="text1"/>
          <w:lang w:val="es-ES"/>
        </w:rPr>
      </w:pPr>
    </w:p>
    <w:p w14:paraId="025A8B6B" w14:textId="66A34C81" w:rsidR="0081173D" w:rsidRDefault="0081173D" w:rsidP="001E4721">
      <w:pPr>
        <w:jc w:val="both"/>
        <w:rPr>
          <w:rFonts w:ascii="Avenir Next" w:hAnsi="Avenir Next" w:cs="Arial"/>
          <w:color w:val="000000" w:themeColor="text1"/>
          <w:lang w:val="es-ES"/>
        </w:rPr>
      </w:pPr>
    </w:p>
    <w:p w14:paraId="21BAD965" w14:textId="1832AAB8" w:rsidR="0081173D" w:rsidRDefault="0081173D" w:rsidP="001E4721">
      <w:pPr>
        <w:jc w:val="both"/>
        <w:rPr>
          <w:rFonts w:ascii="Avenir Next" w:hAnsi="Avenir Next" w:cs="Arial"/>
          <w:color w:val="000000" w:themeColor="text1"/>
          <w:lang w:val="es-ES"/>
        </w:rPr>
      </w:pPr>
    </w:p>
    <w:p w14:paraId="6ACC2311" w14:textId="77777777" w:rsidR="0081173D" w:rsidRPr="00282BBC" w:rsidRDefault="0081173D" w:rsidP="001E4721">
      <w:pPr>
        <w:jc w:val="both"/>
        <w:rPr>
          <w:rFonts w:ascii="Avenir Next" w:hAnsi="Avenir Next" w:cs="Arial"/>
          <w:color w:val="000000" w:themeColor="text1"/>
          <w:lang w:val="es-ES"/>
        </w:rPr>
      </w:pPr>
    </w:p>
    <w:p w14:paraId="622D7FB1" w14:textId="41CD29E4"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7CB5E60A" w14:textId="51615168" w:rsidR="001E4721" w:rsidRDefault="006C393D" w:rsidP="00C80817">
      <w:pPr>
        <w:jc w:val="center"/>
        <w:rPr>
          <w:rFonts w:ascii="Avenir Next" w:hAnsi="Avenir Next" w:cs="Arial"/>
          <w:color w:val="000000" w:themeColor="text1"/>
          <w:lang w:val="es-ES"/>
        </w:rPr>
      </w:pPr>
      <w:r w:rsidRPr="006C393D">
        <w:rPr>
          <w:rFonts w:ascii="Avenir Next" w:hAnsi="Avenir Next" w:cs="Arial"/>
          <w:noProof/>
          <w:color w:val="000000" w:themeColor="text1"/>
          <w:lang w:val="es-ES"/>
        </w:rPr>
        <w:drawing>
          <wp:inline distT="0" distB="0" distL="0" distR="0" wp14:anchorId="6D9C198D" wp14:editId="0494893B">
            <wp:extent cx="5612130" cy="2379980"/>
            <wp:effectExtent l="0" t="0" r="7620" b="1270"/>
            <wp:docPr id="41" name="Imagen 4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abla&#10;&#10;Descripción generada automáticamente"/>
                    <pic:cNvPicPr/>
                  </pic:nvPicPr>
                  <pic:blipFill>
                    <a:blip r:embed="rId44"/>
                    <a:stretch>
                      <a:fillRect/>
                    </a:stretch>
                  </pic:blipFill>
                  <pic:spPr>
                    <a:xfrm>
                      <a:off x="0" y="0"/>
                      <a:ext cx="5612130" cy="2379980"/>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5"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6" w:history="1">
        <w:r w:rsidRPr="000D0BD0">
          <w:rPr>
            <w:rStyle w:val="Hipervnculo"/>
            <w:rFonts w:ascii="Avenir Next" w:hAnsi="Avenir Next" w:cs="Arial"/>
            <w:b/>
            <w:bCs/>
            <w:lang w:val="es-ES"/>
          </w:rPr>
          <w:t>aquí</w:t>
        </w:r>
      </w:hyperlink>
    </w:p>
    <w:sectPr w:rsidR="00C97B8C" w:rsidRPr="00AF573C" w:rsidSect="00F269DB">
      <w:footerReference w:type="even" r:id="rId47"/>
      <w:foot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D4DF" w14:textId="77777777" w:rsidR="003348F7" w:rsidRDefault="003348F7" w:rsidP="00BE199E">
      <w:r>
        <w:separator/>
      </w:r>
    </w:p>
  </w:endnote>
  <w:endnote w:type="continuationSeparator" w:id="0">
    <w:p w14:paraId="3BBD6DFA" w14:textId="77777777" w:rsidR="003348F7" w:rsidRDefault="003348F7"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Roboto">
    <w:altName w:val="﷽﷽﷽﷽﷽﷽"/>
    <w:panose1 w:val="02000000000000000000"/>
    <w:charset w:val="00"/>
    <w:family w:val="auto"/>
    <w:pitch w:val="variable"/>
    <w:sig w:usb0="E00002FF" w:usb1="5000205B" w:usb2="00000020" w:usb3="00000000" w:csb0="0000019F" w:csb1="00000000"/>
  </w:font>
  <w:font w:name="Avenir Next Medium">
    <w:altName w:val="Calibri"/>
    <w:charset w:val="00"/>
    <w:family w:val="swiss"/>
    <w:pitch w:val="variable"/>
    <w:sig w:usb0="8000002F" w:usb1="5000204A" w:usb2="00000000" w:usb3="00000000" w:csb0="0000009B"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8E1CCB" w:rsidRDefault="008E1CCB"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908215"/>
      <w:docPartObj>
        <w:docPartGallery w:val="Page Numbers (Bottom of Page)"/>
        <w:docPartUnique/>
      </w:docPartObj>
    </w:sdtPr>
    <w:sdtEndPr>
      <w:rPr>
        <w:rStyle w:val="Nmerodepgina"/>
      </w:rPr>
    </w:sdtEndPr>
    <w:sdtContent>
      <w:p w14:paraId="744C396E" w14:textId="00F6372E"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8E1CCB" w:rsidRDefault="008E1CCB"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F2D3" w14:textId="77777777" w:rsidR="003348F7" w:rsidRDefault="003348F7" w:rsidP="00BE199E">
      <w:r>
        <w:separator/>
      </w:r>
    </w:p>
  </w:footnote>
  <w:footnote w:type="continuationSeparator" w:id="0">
    <w:p w14:paraId="0D3090DE" w14:textId="77777777" w:rsidR="003348F7" w:rsidRDefault="003348F7" w:rsidP="00BE199E">
      <w:r>
        <w:continuationSeparator/>
      </w:r>
    </w:p>
  </w:footnote>
  <w:footnote w:id="1">
    <w:p w14:paraId="4C1FFAA0" w14:textId="5ADDA97E" w:rsidR="008E1CCB" w:rsidRPr="00C83ABA" w:rsidRDefault="008E1CCB">
      <w:pPr>
        <w:pStyle w:val="Textonotapie"/>
        <w:rPr>
          <w:lang w:val="es-ES"/>
        </w:rPr>
      </w:pPr>
      <w:r>
        <w:rPr>
          <w:rStyle w:val="Refdenotaalpie"/>
        </w:rPr>
        <w:footnoteRef/>
      </w:r>
      <w:r>
        <w:t xml:space="preserve"> </w:t>
      </w:r>
      <w:r>
        <w:rPr>
          <w:lang w:val="es-ES"/>
        </w:rPr>
        <w:t>Unidad Tributaria Mensual.</w:t>
      </w:r>
    </w:p>
  </w:footnote>
  <w:footnote w:id="2">
    <w:p w14:paraId="52BECB4A" w14:textId="2B42F49E" w:rsidR="00E553E7" w:rsidRPr="001A66E0" w:rsidRDefault="00E553E7">
      <w:pPr>
        <w:pStyle w:val="Textonotapie"/>
        <w:rPr>
          <w:lang w:val="es-ES"/>
        </w:rPr>
      </w:pPr>
      <w:r>
        <w:rPr>
          <w:rStyle w:val="Refdenotaalpie"/>
        </w:rPr>
        <w:footnoteRef/>
      </w:r>
      <w:r>
        <w:t xml:space="preserve"> </w:t>
      </w:r>
      <w:r>
        <w:rPr>
          <w:lang w:val="es-ES"/>
        </w:rPr>
        <w:t>De acuerdo a la ley de compras Nº 19.886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3D"/>
    <w:multiLevelType w:val="hybridMultilevel"/>
    <w:tmpl w:val="DA024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3523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0F45FD"/>
    <w:multiLevelType w:val="multilevel"/>
    <w:tmpl w:val="FE42CF68"/>
    <w:lvl w:ilvl="0">
      <w:start w:val="1"/>
      <w:numFmt w:val="decimal"/>
      <w:lvlText w:val="%1."/>
      <w:lvlJc w:val="left"/>
      <w:pPr>
        <w:ind w:left="360" w:hanging="360"/>
      </w:pPr>
      <w:rPr>
        <w:b w:val="0"/>
        <w:bCs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EF4F8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7C759F3"/>
    <w:multiLevelType w:val="multilevel"/>
    <w:tmpl w:val="1DC2F696"/>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70A74B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747D7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DA14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2"/>
  </w:num>
  <w:num w:numId="5">
    <w:abstractNumId w:val="2"/>
  </w:num>
  <w:num w:numId="6">
    <w:abstractNumId w:val="0"/>
  </w:num>
  <w:num w:numId="7">
    <w:abstractNumId w:val="8"/>
  </w:num>
  <w:num w:numId="8">
    <w:abstractNumId w:val="3"/>
  </w:num>
  <w:num w:numId="9">
    <w:abstractNumId w:val="4"/>
  </w:num>
  <w:num w:numId="10">
    <w:abstractNumId w:val="1"/>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164C0"/>
    <w:rsid w:val="000178A1"/>
    <w:rsid w:val="00026F21"/>
    <w:rsid w:val="00027510"/>
    <w:rsid w:val="000354B2"/>
    <w:rsid w:val="00046FF9"/>
    <w:rsid w:val="00052D2A"/>
    <w:rsid w:val="00061501"/>
    <w:rsid w:val="00073225"/>
    <w:rsid w:val="00081B8B"/>
    <w:rsid w:val="00087E22"/>
    <w:rsid w:val="00095F7A"/>
    <w:rsid w:val="0009778C"/>
    <w:rsid w:val="000A3212"/>
    <w:rsid w:val="000B5AF9"/>
    <w:rsid w:val="000D0BD0"/>
    <w:rsid w:val="000D191D"/>
    <w:rsid w:val="001007F4"/>
    <w:rsid w:val="00142AF1"/>
    <w:rsid w:val="00153367"/>
    <w:rsid w:val="00154F46"/>
    <w:rsid w:val="00162987"/>
    <w:rsid w:val="00167B3B"/>
    <w:rsid w:val="00172E29"/>
    <w:rsid w:val="00173811"/>
    <w:rsid w:val="00175605"/>
    <w:rsid w:val="001819DE"/>
    <w:rsid w:val="0018477F"/>
    <w:rsid w:val="00186D5D"/>
    <w:rsid w:val="00190D0B"/>
    <w:rsid w:val="00190EDC"/>
    <w:rsid w:val="00192BA5"/>
    <w:rsid w:val="001A04F6"/>
    <w:rsid w:val="001A66E0"/>
    <w:rsid w:val="001C09B1"/>
    <w:rsid w:val="001E4721"/>
    <w:rsid w:val="001E69C0"/>
    <w:rsid w:val="001F0C27"/>
    <w:rsid w:val="001F7E21"/>
    <w:rsid w:val="00201C01"/>
    <w:rsid w:val="00207DCB"/>
    <w:rsid w:val="00224C39"/>
    <w:rsid w:val="0023365C"/>
    <w:rsid w:val="00255E44"/>
    <w:rsid w:val="0026024B"/>
    <w:rsid w:val="00262038"/>
    <w:rsid w:val="002828FC"/>
    <w:rsid w:val="00282BBC"/>
    <w:rsid w:val="00287379"/>
    <w:rsid w:val="00293306"/>
    <w:rsid w:val="002A3E5D"/>
    <w:rsid w:val="002A6481"/>
    <w:rsid w:val="002A78B0"/>
    <w:rsid w:val="002B46F4"/>
    <w:rsid w:val="002C26E9"/>
    <w:rsid w:val="002C2967"/>
    <w:rsid w:val="002C7110"/>
    <w:rsid w:val="002E7041"/>
    <w:rsid w:val="00300516"/>
    <w:rsid w:val="003348F7"/>
    <w:rsid w:val="0033511E"/>
    <w:rsid w:val="00335A94"/>
    <w:rsid w:val="00337373"/>
    <w:rsid w:val="00365E42"/>
    <w:rsid w:val="00377B5A"/>
    <w:rsid w:val="003809C5"/>
    <w:rsid w:val="00387371"/>
    <w:rsid w:val="003875BC"/>
    <w:rsid w:val="00397E1B"/>
    <w:rsid w:val="003D6515"/>
    <w:rsid w:val="003D658E"/>
    <w:rsid w:val="003E7720"/>
    <w:rsid w:val="004148F8"/>
    <w:rsid w:val="004166D3"/>
    <w:rsid w:val="0043494D"/>
    <w:rsid w:val="00436C6D"/>
    <w:rsid w:val="00441840"/>
    <w:rsid w:val="00442602"/>
    <w:rsid w:val="0044554C"/>
    <w:rsid w:val="00446963"/>
    <w:rsid w:val="004653EA"/>
    <w:rsid w:val="00471CF2"/>
    <w:rsid w:val="004732AD"/>
    <w:rsid w:val="004866CA"/>
    <w:rsid w:val="0049078B"/>
    <w:rsid w:val="00495ABA"/>
    <w:rsid w:val="004A0AF2"/>
    <w:rsid w:val="004A158A"/>
    <w:rsid w:val="004A2815"/>
    <w:rsid w:val="004B0612"/>
    <w:rsid w:val="004B3CAB"/>
    <w:rsid w:val="004B5CFD"/>
    <w:rsid w:val="004C33C7"/>
    <w:rsid w:val="004C709F"/>
    <w:rsid w:val="004F16BF"/>
    <w:rsid w:val="00504BB7"/>
    <w:rsid w:val="00514764"/>
    <w:rsid w:val="00541650"/>
    <w:rsid w:val="00542F60"/>
    <w:rsid w:val="00545B65"/>
    <w:rsid w:val="00547D86"/>
    <w:rsid w:val="00554F8F"/>
    <w:rsid w:val="005633D9"/>
    <w:rsid w:val="00565D46"/>
    <w:rsid w:val="00565FB0"/>
    <w:rsid w:val="005705C6"/>
    <w:rsid w:val="005825EE"/>
    <w:rsid w:val="00582F85"/>
    <w:rsid w:val="00585778"/>
    <w:rsid w:val="005965F5"/>
    <w:rsid w:val="005A5C8B"/>
    <w:rsid w:val="005B6637"/>
    <w:rsid w:val="005B7911"/>
    <w:rsid w:val="005C0485"/>
    <w:rsid w:val="005C43B1"/>
    <w:rsid w:val="005D7208"/>
    <w:rsid w:val="005E790C"/>
    <w:rsid w:val="005F0E98"/>
    <w:rsid w:val="00606681"/>
    <w:rsid w:val="0061247D"/>
    <w:rsid w:val="00655B06"/>
    <w:rsid w:val="006675F9"/>
    <w:rsid w:val="006841EA"/>
    <w:rsid w:val="00686D03"/>
    <w:rsid w:val="00686E42"/>
    <w:rsid w:val="0068787C"/>
    <w:rsid w:val="00695359"/>
    <w:rsid w:val="006A74D4"/>
    <w:rsid w:val="006B41BE"/>
    <w:rsid w:val="006C11E2"/>
    <w:rsid w:val="006C393D"/>
    <w:rsid w:val="006C74B3"/>
    <w:rsid w:val="006E5B54"/>
    <w:rsid w:val="0070214A"/>
    <w:rsid w:val="007336FC"/>
    <w:rsid w:val="0074228C"/>
    <w:rsid w:val="007542D5"/>
    <w:rsid w:val="00756837"/>
    <w:rsid w:val="00770CCE"/>
    <w:rsid w:val="00774489"/>
    <w:rsid w:val="00784FE2"/>
    <w:rsid w:val="00785730"/>
    <w:rsid w:val="007866BC"/>
    <w:rsid w:val="00786F99"/>
    <w:rsid w:val="007A1969"/>
    <w:rsid w:val="007A2792"/>
    <w:rsid w:val="007B2DE1"/>
    <w:rsid w:val="007B2FFF"/>
    <w:rsid w:val="007B6F22"/>
    <w:rsid w:val="007D7E12"/>
    <w:rsid w:val="007E3C71"/>
    <w:rsid w:val="007F7EA3"/>
    <w:rsid w:val="0081173D"/>
    <w:rsid w:val="00814E94"/>
    <w:rsid w:val="008203A0"/>
    <w:rsid w:val="008225E5"/>
    <w:rsid w:val="00824BA6"/>
    <w:rsid w:val="008321CE"/>
    <w:rsid w:val="0084251F"/>
    <w:rsid w:val="00842E02"/>
    <w:rsid w:val="008609CF"/>
    <w:rsid w:val="00861042"/>
    <w:rsid w:val="00881352"/>
    <w:rsid w:val="008824E2"/>
    <w:rsid w:val="00883633"/>
    <w:rsid w:val="008864C4"/>
    <w:rsid w:val="008A0DED"/>
    <w:rsid w:val="008B42B9"/>
    <w:rsid w:val="008B6C1E"/>
    <w:rsid w:val="008C26A6"/>
    <w:rsid w:val="008D10B5"/>
    <w:rsid w:val="008D3158"/>
    <w:rsid w:val="008D40E1"/>
    <w:rsid w:val="008E1CCB"/>
    <w:rsid w:val="008F047B"/>
    <w:rsid w:val="008F16A6"/>
    <w:rsid w:val="009020B3"/>
    <w:rsid w:val="00926C53"/>
    <w:rsid w:val="0092767E"/>
    <w:rsid w:val="00934DD5"/>
    <w:rsid w:val="009369D7"/>
    <w:rsid w:val="00955C0A"/>
    <w:rsid w:val="00966605"/>
    <w:rsid w:val="00971B8C"/>
    <w:rsid w:val="00981693"/>
    <w:rsid w:val="00992C9B"/>
    <w:rsid w:val="009A5D62"/>
    <w:rsid w:val="009B6E24"/>
    <w:rsid w:val="009C5DAF"/>
    <w:rsid w:val="009C621A"/>
    <w:rsid w:val="009D4ACF"/>
    <w:rsid w:val="009F2E32"/>
    <w:rsid w:val="009F4B51"/>
    <w:rsid w:val="00A06EA1"/>
    <w:rsid w:val="00A16DF2"/>
    <w:rsid w:val="00A2722B"/>
    <w:rsid w:val="00A44B34"/>
    <w:rsid w:val="00A56693"/>
    <w:rsid w:val="00A71EA4"/>
    <w:rsid w:val="00A90C1E"/>
    <w:rsid w:val="00AA051A"/>
    <w:rsid w:val="00AB75DB"/>
    <w:rsid w:val="00AC52CF"/>
    <w:rsid w:val="00AE138E"/>
    <w:rsid w:val="00AE1FBA"/>
    <w:rsid w:val="00AE395E"/>
    <w:rsid w:val="00AE57AA"/>
    <w:rsid w:val="00AF573C"/>
    <w:rsid w:val="00B0162A"/>
    <w:rsid w:val="00B051A1"/>
    <w:rsid w:val="00B113D5"/>
    <w:rsid w:val="00B12097"/>
    <w:rsid w:val="00B21D9F"/>
    <w:rsid w:val="00B31C5E"/>
    <w:rsid w:val="00B67B2D"/>
    <w:rsid w:val="00B82311"/>
    <w:rsid w:val="00B921A6"/>
    <w:rsid w:val="00B9589C"/>
    <w:rsid w:val="00BA0172"/>
    <w:rsid w:val="00BA7BA5"/>
    <w:rsid w:val="00BB1921"/>
    <w:rsid w:val="00BC2E23"/>
    <w:rsid w:val="00BC341C"/>
    <w:rsid w:val="00BD5864"/>
    <w:rsid w:val="00BE199E"/>
    <w:rsid w:val="00C05D41"/>
    <w:rsid w:val="00C12620"/>
    <w:rsid w:val="00C1716C"/>
    <w:rsid w:val="00C268E7"/>
    <w:rsid w:val="00C41C72"/>
    <w:rsid w:val="00C41D11"/>
    <w:rsid w:val="00C44BC2"/>
    <w:rsid w:val="00C44E7C"/>
    <w:rsid w:val="00C51BEB"/>
    <w:rsid w:val="00C528CE"/>
    <w:rsid w:val="00C54B2C"/>
    <w:rsid w:val="00C57C1C"/>
    <w:rsid w:val="00C61B5D"/>
    <w:rsid w:val="00C66303"/>
    <w:rsid w:val="00C77227"/>
    <w:rsid w:val="00C80817"/>
    <w:rsid w:val="00C83407"/>
    <w:rsid w:val="00C83ABA"/>
    <w:rsid w:val="00C843E9"/>
    <w:rsid w:val="00C85EA6"/>
    <w:rsid w:val="00C935C3"/>
    <w:rsid w:val="00C95E88"/>
    <w:rsid w:val="00C97B8C"/>
    <w:rsid w:val="00CA7A3C"/>
    <w:rsid w:val="00CB297A"/>
    <w:rsid w:val="00CB6A2E"/>
    <w:rsid w:val="00CC1F25"/>
    <w:rsid w:val="00CC43B5"/>
    <w:rsid w:val="00CC483D"/>
    <w:rsid w:val="00CE1728"/>
    <w:rsid w:val="00CF3742"/>
    <w:rsid w:val="00D019CB"/>
    <w:rsid w:val="00D12DB2"/>
    <w:rsid w:val="00D3072A"/>
    <w:rsid w:val="00D34511"/>
    <w:rsid w:val="00D36149"/>
    <w:rsid w:val="00D55CAF"/>
    <w:rsid w:val="00D647AB"/>
    <w:rsid w:val="00D76574"/>
    <w:rsid w:val="00D77F22"/>
    <w:rsid w:val="00D81F14"/>
    <w:rsid w:val="00DB0B5B"/>
    <w:rsid w:val="00DD1290"/>
    <w:rsid w:val="00DE1ACE"/>
    <w:rsid w:val="00DE4AEC"/>
    <w:rsid w:val="00DE768E"/>
    <w:rsid w:val="00E01EDC"/>
    <w:rsid w:val="00E24CDB"/>
    <w:rsid w:val="00E2694B"/>
    <w:rsid w:val="00E32B2F"/>
    <w:rsid w:val="00E336EE"/>
    <w:rsid w:val="00E4504F"/>
    <w:rsid w:val="00E46609"/>
    <w:rsid w:val="00E467E1"/>
    <w:rsid w:val="00E553E7"/>
    <w:rsid w:val="00E56C7B"/>
    <w:rsid w:val="00E73C8A"/>
    <w:rsid w:val="00E76FFD"/>
    <w:rsid w:val="00EA0C8C"/>
    <w:rsid w:val="00EA0FD7"/>
    <w:rsid w:val="00EC1146"/>
    <w:rsid w:val="00EC1562"/>
    <w:rsid w:val="00EC2AB4"/>
    <w:rsid w:val="00ED437C"/>
    <w:rsid w:val="00ED70B5"/>
    <w:rsid w:val="00EE667B"/>
    <w:rsid w:val="00EF14EB"/>
    <w:rsid w:val="00EF5CA4"/>
    <w:rsid w:val="00EF6E49"/>
    <w:rsid w:val="00F07C9C"/>
    <w:rsid w:val="00F269DB"/>
    <w:rsid w:val="00F41493"/>
    <w:rsid w:val="00F7143D"/>
    <w:rsid w:val="00F872D9"/>
    <w:rsid w:val="00F97CFA"/>
    <w:rsid w:val="00FC5B19"/>
    <w:rsid w:val="00FD46A5"/>
    <w:rsid w:val="00FE0468"/>
    <w:rsid w:val="00FF3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8D3158"/>
    <w:pPr>
      <w:tabs>
        <w:tab w:val="right" w:leader="dot" w:pos="8828"/>
      </w:tabs>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hyperlink" Target="https://redflags.observatoriofiscal.cl/Home/Informes" TargetMode="External"/><Relationship Id="rId21" Type="http://schemas.openxmlformats.org/officeDocument/2006/relationships/hyperlink" Target="https://redflags.observatoriofiscal.cl/Home/Informes" TargetMode="External"/><Relationship Id="rId34" Type="http://schemas.openxmlformats.org/officeDocument/2006/relationships/image" Target="media/image14.png"/><Relationship Id="rId42" Type="http://schemas.openxmlformats.org/officeDocument/2006/relationships/hyperlink" Target="https://redflags.observatoriofiscal.cl/Home/Informes"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redflags.observatoriofiscal.cl/Home/Informes" TargetMode="External"/><Relationship Id="rId5" Type="http://schemas.openxmlformats.org/officeDocument/2006/relationships/webSettings" Target="webSetting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hyperlink" Target="https://redflags.observatoriofiscal.cl/Home/Informe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redflags.observatoriofiscal.cl/Home/Informes" TargetMode="External"/><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hyperlink" Target="https://redflags.observatoriofiscal.cl/Home/Informes" TargetMode="External"/><Relationship Id="rId38" Type="http://schemas.openxmlformats.org/officeDocument/2006/relationships/image" Target="media/image17.png"/><Relationship Id="rId46" Type="http://schemas.openxmlformats.org/officeDocument/2006/relationships/hyperlink" Target="https://redflags.observatoriofiscal.cl/" TargetMode="External"/><Relationship Id="rId20"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9104</TotalTime>
  <Pages>1</Pages>
  <Words>3005</Words>
  <Characters>16530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18</cp:revision>
  <cp:lastPrinted>2021-10-07T15:48:00Z</cp:lastPrinted>
  <dcterms:created xsi:type="dcterms:W3CDTF">2021-07-01T21:43:00Z</dcterms:created>
  <dcterms:modified xsi:type="dcterms:W3CDTF">2021-10-12T19:49:00Z</dcterms:modified>
</cp:coreProperties>
</file>