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Política de respuesta a incidentes de seguridad</w:t>
      </w:r>
    </w:p>
    <w:p>
      <w:r>
        <w:t xml:space="preserve">Nube Austral Software Sintética · versión 2</w:t>
      </w:r>
    </w:p>
    <w:p>
      <w:pPr>
        <w:pStyle w:val="Heading2"/>
      </w:pPr>
      <w:r>
        <w:rPr>
          <w:b/>
        </w:rPr>
        <w:t xml:space="preserve">3. Clasificación</w:t>
      </w:r>
    </w:p>
    <w:p>
      <w:r>
        <w:t xml:space="preserve">Cada incidente se clasifica como crítico, alto, medio o bajo al momento de su detección.</w:t>
      </w:r>
    </w:p>
    <w:p>
      <w:pPr>
        <w:pStyle w:val="Heading2"/>
      </w:pPr>
      <w:r>
        <w:rPr>
          <w:b/>
        </w:rPr>
        <w:t xml:space="preserve">5. Contención</w:t>
      </w:r>
    </w:p>
    <w:p>
      <w:r>
        <w:t xml:space="preserve">El incidente se contiene dentro de las siguientes horas desde su detección:</w:t>
      </w:r>
    </w:p>
    <w:tbl>
      <w:tr>
        <w:tc>
          <w:p>
            <w:r>
              <w:t xml:space="preserve">Severidad</w:t>
            </w:r>
          </w:p>
        </w:tc>
        <w:tc>
          <w:p>
            <w:r>
              <w:t xml:space="preserve">Horas para contenerlo</w:t>
            </w:r>
          </w:p>
        </w:tc>
      </w:tr>
      <w:tr>
        <w:tc>
          <w:p>
            <w:r>
              <w:t xml:space="preserve">Crítica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Alta</w:t>
            </w:r>
          </w:p>
        </w:tc>
        <w:tc>
          <w:p>
            <w:r>
              <w:t xml:space="preserve">8</w:t>
            </w:r>
          </w:p>
        </w:tc>
      </w:tr>
      <w:tr>
        <w:tc>
          <w:p>
            <w:r>
              <w:t xml:space="preserve">Media</w:t>
            </w:r>
          </w:p>
        </w:tc>
        <w:tc>
          <w:p>
            <w:r>
              <w:t xml:space="preserve">48</w:t>
            </w:r>
          </w:p>
        </w:tc>
      </w:tr>
      <w:tr>
        <w:tc>
          <w:p>
            <w:r>
              <w:t xml:space="preserve">Baja</w:t>
            </w:r>
          </w:p>
        </w:tc>
        <w:tc>
          <w:p>
            <w:r>
              <w:t xml:space="preserve">120</w:t>
            </w:r>
          </w:p>
        </w:tc>
      </w:tr>
    </w:tbl>
    <w:p>
      <w:pPr>
        <w:pStyle w:val="Heading2"/>
      </w:pPr>
      <w:r>
        <w:rPr>
          <w:b/>
        </w:rPr>
        <w:t xml:space="preserve">7. Revisión posterior</w:t>
      </w:r>
    </w:p>
    <w:p>
      <w:r>
        <w:t xml:space="preserve">Todo incidente cerrado tiene su revisión de lecciones aprendidas dentro de los 14 días calendario siguientes a su cierre.</w:t>
      </w:r>
    </w:p>
    <w:p>
      <w:pPr>
        <w:pStyle w:val="Heading2"/>
      </w:pPr>
      <w:r>
        <w:rPr>
          <w:b/>
        </w:rPr>
        <w:t xml:space="preserve">8. Notificaciones</w:t>
      </w:r>
    </w:p>
    <w:p>
      <w:r>
        <w:t xml:space="preserve">Las notificaciones externas e internas se hacen según la matriz de notificaciones vigente.</w:t>
      </w:r>
    </w:p>
  </w:body>
</w:document>
</file>