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INC-NUB-103</w:t>
      </w:r>
    </w:p>
    <w:p>
      <w:r>
        <w:t xml:space="preserve">Título: Exfiltración de una base de datos de clientes</w:t>
      </w:r>
    </w:p>
    <w:p>
      <w:r>
        <w:t xml:space="preserve">Severidad asignada: crítica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2026-09-22 07:30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2026-09-22 09:00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2026-09-26</w:t>
            </w:r>
          </w:p>
        </w:tc>
      </w:tr>
    </w:tbl>
    <w:p>
      <w:r>
        <w:t xml:space="preserve">Datos personales comprometidos: sí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Agencia de ciberseguridad: 2026-09-23 13:30 (constancia adjunta).</w:t>
      </w:r>
    </w:p>
    <w:p>
      <w:r>
        <w:t xml:space="preserve">• Autoridad de protección de datos: 2026-09-23 23:30 (constancia adjunta).</w:t>
      </w:r>
    </w:p>
    <w:p>
      <w:r>
        <w:t xml:space="preserve">• Comité de riesgos: 2026-09-22 12:30 (constancia adjunta).</w:t>
      </w:r>
    </w:p>
  </w:body>
</w:document>
</file>