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2,250,000.00 de Comercial · Publicidad a Comercial · Eventos, de julio a diciembre.</w:t>
      </w:r>
    </w:p>
  </w:body>
</w:document>
</file>