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160"/>
        <w:jc w:val="center"/>
      </w:pPr>
      <w:r>
        <w:rPr>
          <w:rFonts w:ascii="Calibri" w:hAnsi="Calibri"/>
          <w:b/>
          <w:i w:val="0"/>
          <w:color w:val="1F4D78"/>
          <w:sz w:val="50"/>
        </w:rPr>
        <w:t>Manual de tecnico</w:t>
      </w:r>
    </w:p>
    <w:p>
      <w:pPr>
        <w:spacing w:after="560"/>
        <w:jc w:val="center"/>
      </w:pPr>
      <w:r>
        <w:rPr>
          <w:rFonts w:ascii="Calibri" w:hAnsi="Calibri"/>
          <w:b w:val="0"/>
          <w:i/>
          <w:color w:val="5B677A"/>
          <w:sz w:val="26"/>
        </w:rPr>
        <w:t>Atencion de colas, tickets, SLA y resolucion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Campo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Detalle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Sistema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Ticket Tracking System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Documento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Manual de usuario TECH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Fecha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1 de julio de 2026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Version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1.0</w:t>
            </w:r>
          </w:p>
        </w:tc>
      </w:tr>
    </w:tbl>
    <w:p/>
    <w:p>
      <w:r>
        <w:br w:type="page"/>
      </w:r>
    </w:p>
    <w:p>
      <w:pPr>
        <w:pStyle w:val="Heading1"/>
      </w:pPr>
      <w:r>
        <w:t>1. Proposito del manual</w:t>
      </w:r>
    </w:p>
    <w:p>
      <w:r>
        <w:rPr>
          <w:rFonts w:ascii="Calibri" w:hAnsi="Calibri"/>
          <w:b w:val="0"/>
          <w:i w:val="0"/>
          <w:color w:val="1F2937"/>
          <w:sz w:val="22"/>
        </w:rPr>
        <w:t>Este manual guia al tecnico en la atencion de casos, creacion de tickets, asignacion, seguimiento por SLA y resolucion.</w:t>
      </w:r>
    </w:p>
    <w:p>
      <w:pPr>
        <w:pStyle w:val="Heading1"/>
      </w:pPr>
      <w:r>
        <w:t>2. Ingreso y navegacion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Elemento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Uso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Dashboard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Muestra metricas por REQUEST e INCIDENT en un rango de fechas.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Crear ticket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Colas de casos OPEN sin ticket, separadas por Solicitudes e Incidentes.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Casos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Lista de casos visibles segun rol; para TECH se filtran casos con tickets asignados al tecnico.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Tickets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Bandejas de tickets abiertos, en proceso y resueltos.</w:t>
            </w:r>
          </w:p>
        </w:tc>
      </w:tr>
    </w:tbl>
    <w:p/>
    <w:p>
      <w:pPr>
        <w:pStyle w:val="Heading1"/>
      </w:pPr>
      <w:r>
        <w:t>3. Revisar dashboard</w:t>
      </w:r>
    </w:p>
    <w:p>
      <w:r>
        <w:rPr>
          <w:rFonts w:ascii="Calibri" w:hAnsi="Calibri"/>
          <w:b w:val="0"/>
          <w:i w:val="0"/>
          <w:color w:val="1F2937"/>
          <w:sz w:val="22"/>
        </w:rPr>
        <w:t>El dashboard permite seleccionar dateFrom y dateTo. Para TECH el alcance es OWN_ASSIGNED; para ADMIN es ALL. Las tarjetas muestran casos sin ticket, tickets totales, abiertos, en proceso, resueltos, advertencias y porcentajes SLA.</w:t>
      </w:r>
    </w:p>
    <w:p>
      <w:pPr>
        <w:pStyle w:val="Heading1"/>
      </w:pPr>
      <w:r>
        <w:t>4. Convertir caso en ticket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8060"/>
      </w:tblGrid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Paso</w:t>
            </w:r>
          </w:p>
        </w:tc>
        <w:tc>
          <w:tcPr>
            <w:tcW w:type="dxa" w:w="8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Accion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1</w:t>
            </w:r>
          </w:p>
        </w:tc>
        <w:tc>
          <w:tcPr>
            <w:tcW w:type="dxa" w:w="8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Entrar a Crear ticket y ubicar el caso en la cola REQUEST o INCIDENT.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2</w:t>
            </w:r>
          </w:p>
        </w:tc>
        <w:tc>
          <w:tcPr>
            <w:tcW w:type="dxa" w:w="8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Presionar Atender para abrir el detalle del caso.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3</w:t>
            </w:r>
          </w:p>
        </w:tc>
        <w:tc>
          <w:tcPr>
            <w:tcW w:type="dxa" w:w="8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Completar resumen tecnico, asignatario, prioridad, descripcion tecnica y categoria si aplica.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4</w:t>
            </w:r>
          </w:p>
        </w:tc>
        <w:tc>
          <w:tcPr>
            <w:tcW w:type="dxa" w:w="8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Presionar Crear y asignar.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5</w:t>
            </w:r>
          </w:p>
        </w:tc>
        <w:tc>
          <w:tcPr>
            <w:tcW w:type="dxa" w:w="8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Verificar que el caso pase a IN_PROGRESS y el ticket aparezca en bandejas.</w:t>
            </w:r>
          </w:p>
        </w:tc>
      </w:tr>
    </w:tbl>
    <w:p/>
    <w:p>
      <w:pPr>
        <w:pStyle w:val="Heading1"/>
      </w:pPr>
      <w:r>
        <w:t>5. Actualizar ticket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Campo/accion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Uso por tecnico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Estado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Puede mantenerse en OPEN o IN_PROGRESS. Cierres/cancelaciones protegidas son administrativas.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Prioridad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Ajustar si el impacto real cambia.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Comentario tecnico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Agregar observacion interna para trazabilidad.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Asignarme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Autoasignar el ticket al usuario tecnico actual.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Transferir a equipo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Guardar reasignacion a otro tecnico si corresponde.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Resolver solicitud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Cerrar operativamente con resolucion publica minima de 12 caracteres.</w:t>
            </w:r>
          </w:p>
        </w:tc>
      </w:tr>
    </w:tbl>
    <w:p/>
    <w:p>
      <w:pPr>
        <w:pStyle w:val="Heading1"/>
      </w:pPr>
      <w:r>
        <w:t>6. Resolver ticket</w:t>
      </w:r>
    </w:p>
    <w:p>
      <w:r>
        <w:rPr>
          <w:rFonts w:ascii="Calibri" w:hAnsi="Calibri"/>
          <w:b w:val="0"/>
          <w:i w:val="0"/>
          <w:color w:val="1F2937"/>
          <w:sz w:val="22"/>
        </w:rPr>
        <w:t>Para resolver, escribir una resolucion clara para el usuario. Al confirmar, la API actualiza ticket.status a RESOLVED, asigna resolved_at, cambia el caso a RESOLVED, agrega una actualizacion PUBLIC y registra auditoria.</w:t>
      </w:r>
    </w:p>
    <w:p>
      <w:pPr>
        <w:pStyle w:val="Heading1"/>
      </w:pPr>
      <w:r>
        <w:t>7. Auditoria y actualizaciones</w:t>
      </w:r>
    </w:p>
    <w:p>
      <w:r>
        <w:rPr>
          <w:rFonts w:ascii="Calibri" w:hAnsi="Calibri"/>
          <w:b w:val="0"/>
          <w:i w:val="0"/>
          <w:color w:val="1F2937"/>
          <w:sz w:val="22"/>
        </w:rPr>
        <w:t>El detalle del ticket incluye secciones Actualizaciones y Auditoria. Actualizaciones muestra comentarios, cambios de estado y asignaciones. Auditoria muestra cambios de campos con valor anterior y nuevo cuando existen datos before/after.</w:t>
      </w:r>
    </w:p>
    <w:p>
      <w:pPr>
        <w:pStyle w:val="Heading1"/>
      </w:pPr>
      <w:r>
        <w:t>8. Criterios de calidad tecnica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Criterio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Como aplicarlo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Diagnostico claro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Registrar hallazgos y pasos realizados en comentario tecnico.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Resolucion entendible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Explicar que se hizo y como el usuario valida la solucion.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SLA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Atender primero tickets WARNING o BREACHED.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Reasignacion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Derivar solo cuando otro tecnico tiene mejor contexto o responsabilidad.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No duplicar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No crear ticket si el caso ya tiene uno; el sistema lo bloquea.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B677A"/>
        <w:sz w:val="16"/>
      </w:rPr>
      <w:t>Ticket Tracking System - documentacion interna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i/>
        <w:color w:val="5B677A"/>
        <w:sz w:val="17"/>
      </w:rPr>
      <w:t>Manual de tecnico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tecnico</dc:title>
  <dc:subject>Atencion de colas, tickets, SLA y resolucion</dc:subject>
  <dc:creator>Equipo de proyecto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