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80"/>
      </w:pPr>
      <w:r>
        <w:rPr>
          <w:rFonts w:ascii="Calibri" w:hAnsi="Calibri" w:cs="Calibri"/>
          <w:b/>
          <w:color w:val="2E74B5"/>
          <w:sz w:val="20"/>
        </w:rPr>
        <w:t>PLAN OPERATIVO DE IMPLEMENTACIÓN</w:t>
      </w:r>
    </w:p>
    <w:p>
      <w:pPr>
        <w:spacing w:after="160"/>
      </w:pPr>
      <w:r>
        <w:rPr>
          <w:rFonts w:ascii="Calibri" w:hAnsi="Calibri" w:cs="Calibri"/>
          <w:b/>
          <w:color w:val="1F4D78"/>
          <w:sz w:val="56"/>
        </w:rPr>
        <w:t>Configuración Shopify</w:t>
        <w:br/>
        <w:t>LovLory</w:t>
      </w:r>
    </w:p>
    <w:p>
      <w:pPr>
        <w:spacing w:after="440"/>
      </w:pPr>
      <w:r>
        <w:rPr>
          <w:rFonts w:ascii="Calibri" w:hAnsi="Calibri" w:cs="Calibri"/>
          <w:color w:val="667085"/>
          <w:sz w:val="27"/>
        </w:rPr>
        <w:t>Lista maestra para decidir, configurar, verificar y lanzar la tienda paso a paso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5DCE5"/>
          <w:left w:val="single" w:sz="4" w:color="D5DCE5"/>
          <w:bottom w:val="single" w:sz="4" w:color="D5DCE5"/>
          <w:right w:val="single" w:sz="4" w:color="D5DCE5"/>
          <w:insideH w:val="single" w:sz="4" w:color="D5DCE5"/>
          <w:insideV w:val="single" w:sz="4" w:color="D5DCE5"/>
        </w:tblBorders>
      </w:tblPr>
      <w:tblGrid>
        <w:gridCol w:w="2520"/>
        <w:gridCol w:w="6840"/>
      </w:tblGrid>
      <w:tr>
        <w:trPr>
          <w:cantSplit/>
        </w:trP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F4D78"/>
                <w:sz w:val="20"/>
              </w:rPr>
              <w:t>Versión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20"/>
              </w:rPr>
              <w:t>1.0 — 21 de julio de 2026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F4D78"/>
                <w:sz w:val="20"/>
              </w:rPr>
              <w:t>Ámbito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20"/>
              </w:rPr>
              <w:t>Moneda, mercados, impuestos, pagos, inventario, transporte, checkout, cumplimiento, catálogo y lanzamiento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F4D78"/>
                <w:sz w:val="20"/>
              </w:rPr>
              <w:t>Estado inicial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20"/>
              </w:rPr>
              <w:t>Pendiente de completar decisiones previas</w:t>
            </w:r>
          </w:p>
        </w:tc>
      </w:tr>
    </w:tbl>
    <w:p>
      <w:pPr>
        <w:spacing w:before="400" w:after="120"/>
      </w:pPr>
      <w:r>
        <w:rPr>
          <w:rFonts w:ascii="Calibri" w:hAnsi="Calibri" w:cs="Calibri"/>
          <w:b/>
          <w:color w:val="2E74B5"/>
          <w:sz w:val="20"/>
        </w:rPr>
        <w:t>OBJETIVO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5DCE5"/>
          <w:left w:val="single" w:sz="4" w:color="D5DCE5"/>
          <w:bottom w:val="single" w:sz="4" w:color="D5DCE5"/>
          <w:right w:val="single" w:sz="4" w:color="D5DCE5"/>
          <w:insideH w:val="single" w:sz="4" w:color="D5DCE5"/>
          <w:insideV w:val="single" w:sz="4" w:color="D5DC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22"/>
              </w:rPr>
              <w:t>Convertir la configuración general de Shopify en un proceso controlado y verificable. Cada tarea debe quedar marcada, asignada y respaldada por una evidencia antes de considerarse terminada.</w:t>
            </w:r>
          </w:p>
        </w:tc>
      </w:tr>
    </w:tbl>
    <w:p>
      <w:pPr>
        <w:spacing w:before="360" w:after="80"/>
      </w:pPr>
      <w:r>
        <w:rPr>
          <w:rFonts w:ascii="Calibri" w:hAnsi="Calibri" w:cs="Calibri"/>
          <w:b/>
          <w:color w:val="1F4D78"/>
          <w:sz w:val="24"/>
        </w:rPr>
        <w:t>Orden recomendado</w:t>
      </w:r>
    </w:p>
    <w:p>
      <w:pPr>
        <w:numPr>
          <w:ilvl w:val="0"/>
          <w:numId w:val="11"/>
        </w:numPr>
      </w:pPr>
      <w:r>
        <w:rPr>
          <w:rFonts w:ascii="Calibri" w:hAnsi="Calibri" w:cs="Calibri"/>
          <w:color w:val="243447"/>
          <w:sz w:val="21"/>
        </w:rPr>
        <w:t>Completar decisiones previas y datos de empresa.</w:t>
      </w:r>
    </w:p>
    <w:p>
      <w:pPr>
        <w:numPr>
          <w:ilvl w:val="0"/>
          <w:numId w:val="11"/>
        </w:numPr>
      </w:pPr>
      <w:r>
        <w:rPr>
          <w:rFonts w:ascii="Calibri" w:hAnsi="Calibri" w:cs="Calibri"/>
          <w:color w:val="243447"/>
          <w:sz w:val="21"/>
        </w:rPr>
        <w:t>Cerrar moneda, mercados, fiscalidad, pagos y logística.</w:t>
      </w:r>
    </w:p>
    <w:p>
      <w:pPr>
        <w:numPr>
          <w:ilvl w:val="0"/>
          <w:numId w:val="11"/>
        </w:numPr>
      </w:pPr>
      <w:r>
        <w:rPr>
          <w:rFonts w:ascii="Calibri" w:hAnsi="Calibri" w:cs="Calibri"/>
          <w:color w:val="243447"/>
          <w:sz w:val="21"/>
        </w:rPr>
        <w:t>Aplicar catálogo, políticas, comunicaciones y medición.</w:t>
      </w:r>
    </w:p>
    <w:p>
      <w:pPr>
        <w:numPr>
          <w:ilvl w:val="0"/>
          <w:numId w:val="11"/>
        </w:numPr>
      </w:pPr>
      <w:r>
        <w:rPr>
          <w:rFonts w:ascii="Calibri" w:hAnsi="Calibri" w:cs="Calibri"/>
          <w:color w:val="243447"/>
          <w:sz w:val="21"/>
        </w:rPr>
        <w:t>Superar las pruebas de aceptación antes de abrir la tienda.</w:t>
      </w:r>
    </w:p>
    <w:p>
      <w:pPr>
        <w:spacing w:before="320" w:after="0"/>
      </w:pPr>
      <w:r>
        <w:rPr>
          <w:rFonts w:ascii="Calibri" w:hAnsi="Calibri" w:cs="Calibri"/>
          <w:i/>
          <w:color w:val="667085"/>
          <w:sz w:val="19"/>
        </w:rPr>
        <w:t>Documento vivo · Mantener el Markdown como fuente de seguimiento y el Word como versión compartible.</w:t>
      </w:r>
      <w:r>
        <w:br w:type="page"/>
      </w:r>
    </w:p>
    <w:p>
      <w:pPr>
        <w:pStyle w:val="Heading1"/>
        <w:keepNext/>
        <w:keepLines/>
      </w:pPr>
      <w:r>
        <w:rPr>
          <w:rFonts w:ascii="Calibri" w:hAnsi="Calibri" w:cs="Calibri"/>
          <w:color w:val="2E74B5"/>
          <w:sz w:val="32"/>
        </w:rPr>
        <w:t>Cómo utilizar este documento</w:t>
      </w:r>
    </w:p>
    <w:p>
      <w:pPr>
        <w:numPr>
          <w:ilvl w:val="0"/>
          <w:numId w:val="10"/>
        </w:numPr>
      </w:pPr>
      <w:r>
        <w:rPr>
          <w:rFonts w:ascii="Consolas" w:hAnsi="Consolas" w:cs="Consolas"/>
          <w:color w:val="1F4D78"/>
          <w:sz w:val="20"/>
        </w:rPr>
        <w:t>[ ]</w:t>
      </w:r>
      <w:r>
        <w:rPr>
          <w:rFonts w:ascii="Calibri" w:hAnsi="Calibri" w:cs="Calibri"/>
          <w:color w:val="243447"/>
          <w:sz w:val="21"/>
        </w:rPr>
        <w:t xml:space="preserve"> Pendiente.</w:t>
      </w:r>
    </w:p>
    <w:p>
      <w:pPr>
        <w:numPr>
          <w:ilvl w:val="0"/>
          <w:numId w:val="10"/>
        </w:numPr>
      </w:pPr>
      <w:r>
        <w:rPr>
          <w:rFonts w:ascii="Consolas" w:hAnsi="Consolas" w:cs="Consolas"/>
          <w:color w:val="1F4D78"/>
          <w:sz w:val="20"/>
        </w:rPr>
        <w:t>[~]</w:t>
      </w:r>
      <w:r>
        <w:rPr>
          <w:rFonts w:ascii="Calibri" w:hAnsi="Calibri" w:cs="Calibri"/>
          <w:color w:val="243447"/>
          <w:sz w:val="21"/>
        </w:rPr>
        <w:t xml:space="preserve"> En curso.</w:t>
      </w:r>
    </w:p>
    <w:p>
      <w:pPr>
        <w:numPr>
          <w:ilvl w:val="0"/>
          <w:numId w:val="10"/>
        </w:numPr>
      </w:pPr>
      <w:r>
        <w:rPr>
          <w:rFonts w:ascii="Consolas" w:hAnsi="Consolas" w:cs="Consolas"/>
          <w:color w:val="1F4D78"/>
          <w:sz w:val="20"/>
        </w:rPr>
        <w:t>[x]</w:t>
      </w:r>
      <w:r>
        <w:rPr>
          <w:rFonts w:ascii="Calibri" w:hAnsi="Calibri" w:cs="Calibri"/>
          <w:color w:val="243447"/>
          <w:sz w:val="21"/>
        </w:rPr>
        <w:t xml:space="preserve"> Terminado y verificado.</w:t>
      </w:r>
    </w:p>
    <w:p>
      <w:pPr>
        <w:numPr>
          <w:ilvl w:val="0"/>
          <w:numId w:val="10"/>
        </w:numPr>
      </w:pPr>
      <w:r>
        <w:rPr>
          <w:rFonts w:ascii="Consolas" w:hAnsi="Consolas" w:cs="Consolas"/>
          <w:color w:val="1F4D78"/>
          <w:sz w:val="20"/>
        </w:rPr>
        <w:t>[!]</w:t>
      </w:r>
      <w:r>
        <w:rPr>
          <w:rFonts w:ascii="Calibri" w:hAnsi="Calibri" w:cs="Calibri"/>
          <w:color w:val="243447"/>
          <w:sz w:val="21"/>
        </w:rPr>
        <w:t xml:space="preserve"> Bloqueado o requiere una decisión.</w:t>
      </w:r>
    </w:p>
    <w:p>
      <w:pPr>
        <w:numPr>
          <w:ilvl w:val="0"/>
          <w:numId w:val="10"/>
        </w:numPr>
      </w:pPr>
      <w:r>
        <w:rPr>
          <w:rFonts w:ascii="Calibri" w:hAnsi="Calibri" w:cs="Calibri"/>
          <w:color w:val="243447"/>
          <w:sz w:val="21"/>
        </w:rPr>
        <w:t>No marcar una tarea como terminada hasta guardar una evidencia: captura, URL, número de pedido de prueba o nota de validación.</w:t>
      </w:r>
    </w:p>
    <w:p>
      <w:pPr>
        <w:numPr>
          <w:ilvl w:val="0"/>
          <w:numId w:val="10"/>
        </w:numPr>
      </w:pPr>
      <w:r>
        <w:rPr>
          <w:rFonts w:ascii="Calibri" w:hAnsi="Calibri" w:cs="Calibri"/>
          <w:color w:val="243447"/>
          <w:sz w:val="21"/>
        </w:rPr>
        <w:t xml:space="preserve">Registrar cambios importantes en el apartado </w:t>
      </w:r>
      <w:r>
        <w:rPr>
          <w:rFonts w:ascii="Calibri" w:hAnsi="Calibri" w:cs="Calibri"/>
          <w:b/>
          <w:color w:val="243447"/>
          <w:sz w:val="21"/>
        </w:rPr>
        <w:t>Registro de decisiones</w:t>
      </w:r>
      <w:r>
        <w:rPr>
          <w:rFonts w:ascii="Calibri" w:hAnsi="Calibri" w:cs="Calibri"/>
          <w:color w:val="243447"/>
          <w:sz w:val="21"/>
        </w:rPr>
        <w:t>.</w:t>
      </w:r>
    </w:p>
    <w:p>
      <w:pPr>
        <w:numPr>
          <w:ilvl w:val="0"/>
          <w:numId w:val="10"/>
        </w:numPr>
      </w:pPr>
      <w:r>
        <w:rPr>
          <w:rFonts w:ascii="Calibri" w:hAnsi="Calibri" w:cs="Calibri"/>
          <w:color w:val="243447"/>
          <w:sz w:val="21"/>
        </w:rPr>
        <w:t>Revisar primero los bloques 0–8. Los bloques 9–15 completan la preparación para el lanzamiento.</w:t>
      </w:r>
    </w:p>
    <w:p>
      <w:pPr>
        <w:pStyle w:val="Heading1"/>
        <w:keepNext/>
        <w:keepLines/>
      </w:pPr>
      <w:r>
        <w:rPr>
          <w:rFonts w:ascii="Calibri" w:hAnsi="Calibri" w:cs="Calibri"/>
          <w:color w:val="2E74B5"/>
          <w:sz w:val="32"/>
        </w:rPr>
        <w:t>Panel de avance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8D0DA"/>
          <w:left w:val="single" w:sz="4" w:color="C8D0DA"/>
          <w:bottom w:val="single" w:sz="4" w:color="C8D0DA"/>
          <w:right w:val="single" w:sz="4" w:color="C8D0DA"/>
          <w:insideH w:val="single" w:sz="4" w:color="C8D0DA"/>
          <w:insideV w:val="single" w:sz="4" w:color="C8D0DA"/>
        </w:tblBorders>
      </w:tblPr>
      <w:tblGrid>
        <w:gridCol w:w="1300"/>
        <w:gridCol w:w="2300"/>
        <w:gridCol w:w="1500"/>
        <w:gridCol w:w="1300"/>
        <w:gridCol w:w="2960"/>
      </w:tblGrid>
      <w:tr>
        <w:trPr>
          <w:cantSplit/>
          <w:tblHeader w:val="true"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color w:val="1F4D78"/>
                <w:sz w:val="19"/>
              </w:rPr>
              <w:t>Bloque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color w:val="1F4D78"/>
                <w:sz w:val="19"/>
              </w:rPr>
              <w:t>Área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color w:val="1F4D78"/>
                <w:sz w:val="19"/>
              </w:rPr>
              <w:t>Estado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color w:val="1F4D78"/>
                <w:sz w:val="19"/>
              </w:rPr>
              <w:t>Responsable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color w:val="1F4D78"/>
                <w:sz w:val="19"/>
              </w:rPr>
              <w:t>Evidencia / fecha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Calibri"/>
                <w:color w:val="243447"/>
                <w:sz w:val="18"/>
              </w:rPr>
              <w:t>0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Decisiones previas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7A5A00"/>
                <w:sz w:val="18"/>
              </w:rPr>
              <w:t>Pendiente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Por asignar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Calibri"/>
                <w:color w:val="243447"/>
                <w:sz w:val="18"/>
              </w:rPr>
              <w:t>1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Seguridad, empresa y facturación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7A5A00"/>
                <w:sz w:val="18"/>
              </w:rPr>
              <w:t>Pendiente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Por asignar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Calibri"/>
                <w:color w:val="243447"/>
                <w:sz w:val="18"/>
              </w:rPr>
              <w:t>2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Datos generales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7A5A00"/>
                <w:sz w:val="18"/>
              </w:rPr>
              <w:t>Pendiente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Por asignar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Calibri"/>
                <w:color w:val="243447"/>
                <w:sz w:val="18"/>
              </w:rPr>
              <w:t>3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Mercados, moneda e idiomas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7A5A00"/>
                <w:sz w:val="18"/>
              </w:rPr>
              <w:t>Pendiente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Por asignar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Calibri"/>
                <w:color w:val="243447"/>
                <w:sz w:val="18"/>
              </w:rPr>
              <w:t>4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Impuestos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7A5A00"/>
                <w:sz w:val="18"/>
              </w:rPr>
              <w:t>Pendiente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Por asignar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Calibri"/>
                <w:color w:val="243447"/>
                <w:sz w:val="18"/>
              </w:rPr>
              <w:t>5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Pagos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7A5A00"/>
                <w:sz w:val="18"/>
              </w:rPr>
              <w:t>Pendiente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Por asignar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Calibri"/>
                <w:color w:val="243447"/>
                <w:sz w:val="18"/>
              </w:rPr>
              <w:t>6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Ubicaciones e inventario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7A5A00"/>
                <w:sz w:val="18"/>
              </w:rPr>
              <w:t>Pendiente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Por asignar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Calibri"/>
                <w:color w:val="243447"/>
                <w:sz w:val="18"/>
              </w:rPr>
              <w:t>7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Transporte y preparación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7A5A00"/>
                <w:sz w:val="18"/>
              </w:rPr>
              <w:t>Pendiente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Por asignar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Calibri"/>
                <w:color w:val="243447"/>
                <w:sz w:val="18"/>
              </w:rPr>
              <w:t>8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Checkout y cuentas de cliente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7A5A00"/>
                <w:sz w:val="18"/>
              </w:rPr>
              <w:t>Pendiente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Por asignar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Calibri"/>
                <w:color w:val="243447"/>
                <w:sz w:val="18"/>
              </w:rPr>
              <w:t>9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Políticas, privacidad y cumplimiento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7A5A00"/>
                <w:sz w:val="18"/>
              </w:rPr>
              <w:t>Pendiente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Por asignar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Calibri"/>
                <w:color w:val="243447"/>
                <w:sz w:val="18"/>
              </w:rPr>
              <w:t>10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Dominio, correo y notificaciones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7A5A00"/>
                <w:sz w:val="18"/>
              </w:rPr>
              <w:t>Pendiente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Por asignar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Calibri"/>
                <w:color w:val="243447"/>
                <w:sz w:val="18"/>
              </w:rPr>
              <w:t>11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Catálogo y colecciones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7A5A00"/>
                <w:sz w:val="18"/>
              </w:rPr>
              <w:t>En curso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Por asignar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Artefactos de migración existentes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Calibri"/>
                <w:color w:val="243447"/>
                <w:sz w:val="18"/>
              </w:rPr>
              <w:t>12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Analítica y canales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7A5A00"/>
                <w:sz w:val="18"/>
              </w:rPr>
              <w:t>Pendiente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Por asignar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Calibri"/>
                <w:color w:val="243447"/>
                <w:sz w:val="18"/>
              </w:rPr>
              <w:t>13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Pruebas de aceptación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7A5A00"/>
                <w:sz w:val="18"/>
              </w:rPr>
              <w:t>Pendiente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Por asignar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Calibri"/>
                <w:color w:val="243447"/>
                <w:sz w:val="18"/>
              </w:rPr>
              <w:t>14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Lanzamiento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7A5A00"/>
                <w:sz w:val="18"/>
              </w:rPr>
              <w:t>Pendiente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Por asignar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Calibri"/>
                <w:color w:val="243447"/>
                <w:sz w:val="18"/>
              </w:rPr>
              <w:t>15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Seguimiento posterior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7A5A00"/>
                <w:sz w:val="18"/>
              </w:rPr>
              <w:t>Pendiente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Por asignar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—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rFonts w:ascii="Calibri" w:hAnsi="Calibri" w:cs="Calibri"/>
          <w:color w:val="2E74B5"/>
          <w:sz w:val="32"/>
        </w:rPr>
        <w:t>0. Decisiones previas</w:t>
      </w:r>
    </w:p>
    <w:p>
      <w:r>
        <w:rPr>
          <w:rFonts w:ascii="Calibri" w:hAnsi="Calibri" w:cs="Calibri"/>
          <w:color w:val="243447"/>
          <w:sz w:val="21"/>
        </w:rPr>
        <w:t>No configurar impuestos, pagos o portes definitivos hasta completar estas decisiones.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CFG-001 — Confirmar titular de la tienda.</w:t>
      </w:r>
      <w:r>
        <w:rPr>
          <w:rFonts w:ascii="Calibri" w:hAnsi="Calibri" w:cs="Calibri"/>
          <w:color w:val="243447"/>
          <w:sz w:val="21"/>
        </w:rPr>
        <w:t xml:space="preserve"> Razón social o nombre del autónomo, NIF/CIF, domicilio fiscal y teléfono.</w:t>
      </w:r>
    </w:p>
    <w:p>
      <w:pPr>
        <w:numPr>
          <w:ilvl w:val="1"/>
          <w:numId w:val="10"/>
        </w:numPr>
      </w:pPr>
      <w:r>
        <w:rPr>
          <w:rFonts w:ascii="Calibri" w:hAnsi="Calibri" w:cs="Calibri"/>
          <w:color w:val="243447"/>
          <w:sz w:val="21"/>
        </w:rPr>
        <w:t>Terminado cuando: los datos coinciden con la documentación fiscal y bancaria.</w:t>
      </w:r>
    </w:p>
    <w:p>
      <w:pPr>
        <w:numPr>
          <w:ilvl w:val="1"/>
          <w:numId w:val="10"/>
        </w:numPr>
      </w:pPr>
      <w:r>
        <w:rPr>
          <w:rFonts w:ascii="Calibri" w:hAnsi="Calibri" w:cs="Calibri"/>
          <w:color w:val="243447"/>
          <w:sz w:val="21"/>
        </w:rPr>
        <w:t>Evidencia: ________________________________________________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CFG-002 — Confirmar URL de administración.</w:t>
      </w:r>
      <w:r>
        <w:rPr>
          <w:rFonts w:ascii="Calibri" w:hAnsi="Calibri" w:cs="Calibri"/>
          <w:color w:val="243447"/>
          <w:sz w:val="21"/>
        </w:rPr>
        <w:t xml:space="preserve"> Guardar la dirección </w:t>
      </w:r>
      <w:r>
        <w:rPr>
          <w:rFonts w:ascii="Consolas" w:hAnsi="Consolas" w:cs="Consolas"/>
          <w:color w:val="1F4D78"/>
          <w:sz w:val="20"/>
        </w:rPr>
        <w:t>nombre-tienda.myshopify.com</w:t>
      </w:r>
      <w:r>
        <w:rPr>
          <w:rFonts w:ascii="Calibri" w:hAnsi="Calibri" w:cs="Calibri"/>
          <w:color w:val="243447"/>
          <w:sz w:val="21"/>
        </w:rPr>
        <w:t>.</w:t>
      </w:r>
    </w:p>
    <w:p>
      <w:pPr>
        <w:numPr>
          <w:ilvl w:val="1"/>
          <w:numId w:val="10"/>
        </w:numPr>
      </w:pPr>
      <w:r>
        <w:rPr>
          <w:rFonts w:ascii="Calibri" w:hAnsi="Calibri" w:cs="Calibri"/>
          <w:color w:val="243447"/>
          <w:sz w:val="21"/>
        </w:rPr>
        <w:t>Valor: ________________________________________________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CFG-003 — Confirmar origen de los envíos.</w:t>
      </w:r>
      <w:r>
        <w:rPr>
          <w:rFonts w:ascii="Calibri" w:hAnsi="Calibri" w:cs="Calibri"/>
          <w:color w:val="243447"/>
          <w:sz w:val="21"/>
        </w:rPr>
        <w:t xml:space="preserve"> Dirección física, provincia, código postal y horario de recogida.</w:t>
      </w:r>
    </w:p>
    <w:p>
      <w:pPr>
        <w:numPr>
          <w:ilvl w:val="1"/>
          <w:numId w:val="10"/>
        </w:numPr>
      </w:pPr>
      <w:r>
        <w:rPr>
          <w:rFonts w:ascii="Calibri" w:hAnsi="Calibri" w:cs="Calibri"/>
          <w:color w:val="243447"/>
          <w:sz w:val="21"/>
        </w:rPr>
        <w:t>Valor: ________________________________________________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CFG-004 — Definir alcance geográfico de lanzamiento.</w:t>
      </w:r>
      <w:r>
        <w:rPr>
          <w:rFonts w:ascii="Calibri" w:hAnsi="Calibri" w:cs="Calibri"/>
          <w:color w:val="243447"/>
          <w:sz w:val="21"/>
        </w:rPr>
        <w:t xml:space="preserve"> Recomendación inicial: España peninsular y Baleares; Canarias, Ceuta, Melilla y otros países solo después de validar impuestos, aduanas y costes.</w:t>
      </w:r>
    </w:p>
    <w:p>
      <w:pPr>
        <w:numPr>
          <w:ilvl w:val="1"/>
          <w:numId w:val="10"/>
        </w:numPr>
      </w:pPr>
      <w:r>
        <w:rPr>
          <w:rFonts w:ascii="Calibri" w:hAnsi="Calibri" w:cs="Calibri"/>
          <w:color w:val="243447"/>
          <w:sz w:val="21"/>
        </w:rPr>
        <w:t>Decisión: ________________________________________________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CFG-005 — Confirmar transportista y tarifas contratadas.</w:t>
      </w:r>
      <w:r>
        <w:rPr>
          <w:rFonts w:ascii="Calibri" w:hAnsi="Calibri" w:cs="Calibri"/>
          <w:color w:val="243447"/>
          <w:sz w:val="21"/>
        </w:rPr>
        <w:t xml:space="preserve"> Incluir coste por zona, peso, combustible, reexpediciones y devoluciones.</w:t>
      </w:r>
    </w:p>
    <w:p>
      <w:pPr>
        <w:numPr>
          <w:ilvl w:val="1"/>
          <w:numId w:val="10"/>
        </w:numPr>
      </w:pPr>
      <w:r>
        <w:rPr>
          <w:rFonts w:ascii="Calibri" w:hAnsi="Calibri" w:cs="Calibri"/>
          <w:color w:val="243447"/>
          <w:sz w:val="21"/>
        </w:rPr>
        <w:t>Transportista / contrato: ________________________________________________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CFG-006 — Definir umbral de envío gratuito.</w:t>
      </w:r>
      <w:r>
        <w:rPr>
          <w:rFonts w:ascii="Calibri" w:hAnsi="Calibri" w:cs="Calibri"/>
          <w:color w:val="243447"/>
          <w:sz w:val="21"/>
        </w:rPr>
        <w:t xml:space="preserve"> Calcularlo con margen medio, ticket objetivo y coste logístico; no elegir una cifra arbitraria.</w:t>
      </w:r>
    </w:p>
    <w:p>
      <w:pPr>
        <w:numPr>
          <w:ilvl w:val="1"/>
          <w:numId w:val="10"/>
        </w:numPr>
      </w:pPr>
      <w:r>
        <w:rPr>
          <w:rFonts w:ascii="Calibri" w:hAnsi="Calibri" w:cs="Calibri"/>
          <w:color w:val="243447"/>
          <w:sz w:val="21"/>
        </w:rPr>
        <w:t>Umbral aprobado: ________________________________________________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CFG-007 — Confirmar régimen de IVA y registro OSS con la gestoría.</w:t>
      </w:r>
    </w:p>
    <w:p>
      <w:pPr>
        <w:numPr>
          <w:ilvl w:val="1"/>
          <w:numId w:val="10"/>
        </w:numPr>
      </w:pPr>
      <w:r>
        <w:rPr>
          <w:rFonts w:ascii="Calibri" w:hAnsi="Calibri" w:cs="Calibri"/>
          <w:color w:val="243447"/>
          <w:sz w:val="21"/>
        </w:rPr>
        <w:t>Conclusión de la gestoría: ________________________________________________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CFG-008 — Confirmar procesadores de pago compatibles con el catálogo.</w:t>
      </w:r>
      <w:r>
        <w:rPr>
          <w:rFonts w:ascii="Calibri" w:hAnsi="Calibri" w:cs="Calibri"/>
          <w:color w:val="243447"/>
          <w:sz w:val="21"/>
        </w:rPr>
        <w:t xml:space="preserve"> Indicar expresamente que se venden juguetes sexuales físicos, no contenido o servicios sexuales.</w:t>
      </w:r>
    </w:p>
    <w:p>
      <w:pPr>
        <w:numPr>
          <w:ilvl w:val="1"/>
          <w:numId w:val="10"/>
        </w:numPr>
      </w:pPr>
      <w:r>
        <w:rPr>
          <w:rFonts w:ascii="Calibri" w:hAnsi="Calibri" w:cs="Calibri"/>
          <w:color w:val="243447"/>
          <w:sz w:val="21"/>
        </w:rPr>
        <w:t>Proveedor principal: ____________________  Alternativo: ____________________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CFG-009 — Definir política comercial de devoluciones.</w:t>
      </w:r>
      <w:r>
        <w:rPr>
          <w:rFonts w:ascii="Calibri" w:hAnsi="Calibri" w:cs="Calibri"/>
          <w:color w:val="243447"/>
          <w:sz w:val="21"/>
        </w:rPr>
        <w:t xml:space="preserve"> Plazo, costes, productos precintados y condiciones de higiene.</w:t>
      </w:r>
    </w:p>
    <w:p>
      <w:pPr>
        <w:numPr>
          <w:ilvl w:val="1"/>
          <w:numId w:val="10"/>
        </w:numPr>
      </w:pPr>
      <w:r>
        <w:rPr>
          <w:rFonts w:ascii="Calibri" w:hAnsi="Calibri" w:cs="Calibri"/>
          <w:color w:val="243447"/>
          <w:sz w:val="21"/>
        </w:rPr>
        <w:t>Decisión: ________________________________________________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CFG-010 — Definir plazo real de preparación.</w:t>
      </w:r>
      <w:r>
        <w:rPr>
          <w:rFonts w:ascii="Calibri" w:hAnsi="Calibri" w:cs="Calibri"/>
          <w:color w:val="243447"/>
          <w:sz w:val="21"/>
        </w:rPr>
        <w:t xml:space="preserve"> Recomendación provisional: 1–2 días laborables si la operación puede cumplirlo.</w:t>
      </w:r>
    </w:p>
    <w:p>
      <w:pPr>
        <w:numPr>
          <w:ilvl w:val="1"/>
          <w:numId w:val="10"/>
        </w:numPr>
      </w:pPr>
      <w:r>
        <w:rPr>
          <w:rFonts w:ascii="Calibri" w:hAnsi="Calibri" w:cs="Calibri"/>
          <w:color w:val="243447"/>
          <w:sz w:val="21"/>
        </w:rPr>
        <w:t>Plazo aprobado: ________________________________________________</w:t>
      </w:r>
    </w:p>
    <w:p>
      <w:pPr>
        <w:pStyle w:val="Heading1"/>
        <w:keepNext/>
        <w:keepLines/>
      </w:pPr>
      <w:r>
        <w:rPr>
          <w:rFonts w:ascii="Calibri" w:hAnsi="Calibri" w:cs="Calibri"/>
          <w:color w:val="2E74B5"/>
          <w:sz w:val="32"/>
        </w:rPr>
        <w:t>1. Seguridad, empresa y facturación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SEC-001 — Activar autenticación en dos pasos</w:t>
      </w:r>
      <w:r>
        <w:rPr>
          <w:rFonts w:ascii="Calibri" w:hAnsi="Calibri" w:cs="Calibri"/>
          <w:color w:val="243447"/>
          <w:sz w:val="21"/>
        </w:rPr>
        <w:t xml:space="preserve"> para todas las cuentas con acceso al panel.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SEC-002 — Revisar usuarios y permisos.</w:t>
      </w:r>
      <w:r>
        <w:rPr>
          <w:rFonts w:ascii="Calibri" w:hAnsi="Calibri" w:cs="Calibri"/>
          <w:color w:val="243447"/>
          <w:sz w:val="21"/>
        </w:rPr>
        <w:t xml:space="preserve"> Dar a cada persona solo el acceso necesario y evitar cuentas compartidas.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SEC-003 — Designar propietario y contacto de emergencia</w:t>
      </w:r>
      <w:r>
        <w:rPr>
          <w:rFonts w:ascii="Calibri" w:hAnsi="Calibri" w:cs="Calibri"/>
          <w:color w:val="243447"/>
          <w:sz w:val="21"/>
        </w:rPr>
        <w:t xml:space="preserve"> de la tienda.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SEC-004 — Guardar métodos de recuperación</w:t>
      </w:r>
      <w:r>
        <w:rPr>
          <w:rFonts w:ascii="Calibri" w:hAnsi="Calibri" w:cs="Calibri"/>
          <w:color w:val="243447"/>
          <w:sz w:val="21"/>
        </w:rPr>
        <w:t xml:space="preserve"> y códigos de respaldo en un lugar seguro.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SEC-005 — Configurar datos de facturación de Shopify</w:t>
      </w:r>
      <w:r>
        <w:rPr>
          <w:rFonts w:ascii="Calibri" w:hAnsi="Calibri" w:cs="Calibri"/>
          <w:color w:val="243447"/>
          <w:sz w:val="21"/>
        </w:rPr>
        <w:t xml:space="preserve"> y comprobar el método de pago de la suscripción.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SEC-006 — Revisar el plan contratado</w:t>
      </w:r>
      <w:r>
        <w:rPr>
          <w:rFonts w:ascii="Calibri" w:hAnsi="Calibri" w:cs="Calibri"/>
          <w:color w:val="243447"/>
          <w:sz w:val="21"/>
        </w:rPr>
        <w:t xml:space="preserve"> y confirmar que cubre informes, usuarios y funciones de transporte necesarias.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SEC-007 — Registrar aplicaciones instaladas, coste, responsable y permisos.</w:t>
      </w:r>
      <w:r>
        <w:rPr>
          <w:rFonts w:ascii="Calibri" w:hAnsi="Calibri" w:cs="Calibri"/>
          <w:color w:val="243447"/>
          <w:sz w:val="21"/>
        </w:rPr>
        <w:t xml:space="preserve"> Eliminar aplicaciones de prueba que no se utilicen.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SEC-008 — Definir rutina de revisión de accesos</w:t>
      </w:r>
      <w:r>
        <w:rPr>
          <w:rFonts w:ascii="Calibri" w:hAnsi="Calibri" w:cs="Calibri"/>
          <w:color w:val="243447"/>
          <w:sz w:val="21"/>
        </w:rPr>
        <w:t xml:space="preserve"> mensual durante el lanzamiento y trimestral después.</w:t>
      </w:r>
    </w:p>
    <w:p>
      <w:r>
        <w:rPr>
          <w:rFonts w:ascii="Calibri" w:hAnsi="Calibri" w:cs="Calibri"/>
          <w:b/>
          <w:color w:val="243447"/>
          <w:sz w:val="21"/>
        </w:rPr>
        <w:t>Criterio de cierre del bloque:</w:t>
      </w:r>
      <w:r>
        <w:rPr>
          <w:rFonts w:ascii="Calibri" w:hAnsi="Calibri" w:cs="Calibri"/>
          <w:color w:val="243447"/>
          <w:sz w:val="21"/>
        </w:rPr>
        <w:t xml:space="preserve"> acceso protegido, usuarios identificados, facturación operativa y ninguna aplicación desconocida.</w:t>
      </w:r>
    </w:p>
    <w:p>
      <w:pPr>
        <w:pStyle w:val="Heading1"/>
        <w:keepNext/>
        <w:keepLines/>
      </w:pPr>
      <w:r>
        <w:rPr>
          <w:rFonts w:ascii="Calibri" w:hAnsi="Calibri" w:cs="Calibri"/>
          <w:color w:val="2E74B5"/>
          <w:sz w:val="32"/>
        </w:rPr>
        <w:t>2. Datos generales de la tienda</w:t>
      </w:r>
    </w:p>
    <w:p>
      <w:r>
        <w:rPr>
          <w:rFonts w:ascii="Calibri" w:hAnsi="Calibri" w:cs="Calibri"/>
          <w:color w:val="243447"/>
          <w:sz w:val="21"/>
        </w:rPr>
        <w:t xml:space="preserve">Ruta orientativa: </w:t>
      </w:r>
      <w:r>
        <w:rPr>
          <w:rFonts w:ascii="Calibri" w:hAnsi="Calibri" w:cs="Calibri"/>
          <w:b/>
          <w:color w:val="243447"/>
          <w:sz w:val="21"/>
        </w:rPr>
        <w:t>Configuración &gt; General</w:t>
      </w:r>
      <w:r>
        <w:rPr>
          <w:rFonts w:ascii="Calibri" w:hAnsi="Calibri" w:cs="Calibri"/>
          <w:color w:val="243447"/>
          <w:sz w:val="21"/>
        </w:rPr>
        <w:t>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GEN-001 — Nombre visible:</w:t>
      </w:r>
      <w:r>
        <w:rPr>
          <w:rFonts w:ascii="Calibri" w:hAnsi="Calibri" w:cs="Calibri"/>
          <w:color w:val="243447"/>
          <w:sz w:val="21"/>
        </w:rPr>
        <w:t xml:space="preserve"> LovLory.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GEN-002 — Razón social, NIF/CIF y dirección:</w:t>
      </w:r>
      <w:r>
        <w:rPr>
          <w:rFonts w:ascii="Calibri" w:hAnsi="Calibri" w:cs="Calibri"/>
          <w:color w:val="243447"/>
          <w:sz w:val="21"/>
        </w:rPr>
        <w:t xml:space="preserve"> introducir datos reales y consistentes con pagos y facturación.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GEN-003 — Zona horaria:</w:t>
      </w:r>
      <w:r>
        <w:rPr>
          <w:rFonts w:ascii="Calibri" w:hAnsi="Calibri" w:cs="Calibri"/>
          <w:color w:val="243447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Europe/Madrid</w:t>
      </w:r>
      <w:r>
        <w:rPr>
          <w:rFonts w:ascii="Calibri" w:hAnsi="Calibri" w:cs="Calibri"/>
          <w:color w:val="243447"/>
          <w:sz w:val="21"/>
        </w:rPr>
        <w:t>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GEN-004 — Unidades:</w:t>
      </w:r>
      <w:r>
        <w:rPr>
          <w:rFonts w:ascii="Calibri" w:hAnsi="Calibri" w:cs="Calibri"/>
          <w:color w:val="243447"/>
          <w:sz w:val="21"/>
        </w:rPr>
        <w:t xml:space="preserve"> sistema métrico; peso en kg/g y dimensiones en cm.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GEN-005 — Moneda de la tienda:</w:t>
      </w:r>
      <w:r>
        <w:rPr>
          <w:rFonts w:ascii="Calibri" w:hAnsi="Calibri" w:cs="Calibri"/>
          <w:color w:val="243447"/>
          <w:sz w:val="21"/>
        </w:rPr>
        <w:t xml:space="preserve"> EUR.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GEN-006 — Correo de contacto:</w:t>
      </w:r>
      <w:r>
        <w:rPr>
          <w:rFonts w:ascii="Calibri" w:hAnsi="Calibri" w:cs="Calibri"/>
          <w:color w:val="243447"/>
          <w:sz w:val="21"/>
        </w:rPr>
        <w:t xml:space="preserve"> cuenta activa y atendida del dominio de LovLory.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GEN-007 — Correo del remitente:</w:t>
      </w:r>
      <w:r>
        <w:rPr>
          <w:rFonts w:ascii="Calibri" w:hAnsi="Calibri" w:cs="Calibri"/>
          <w:color w:val="243447"/>
          <w:sz w:val="21"/>
        </w:rPr>
        <w:t xml:space="preserve"> autenticarlo para reducir entregas en spam.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GEN-008 — Formato de número de pedido:</w:t>
      </w:r>
      <w:r>
        <w:rPr>
          <w:rFonts w:ascii="Calibri" w:hAnsi="Calibri" w:cs="Calibri"/>
          <w:color w:val="243447"/>
          <w:sz w:val="21"/>
        </w:rPr>
        <w:t xml:space="preserve"> mantener uno corto, inequívoco y estable; documentar prefijo o sufijo si se cambia.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GEN-009 — Datos de contacto para clientes:</w:t>
      </w:r>
      <w:r>
        <w:rPr>
          <w:rFonts w:ascii="Calibri" w:hAnsi="Calibri" w:cs="Calibri"/>
          <w:color w:val="243447"/>
          <w:sz w:val="21"/>
        </w:rPr>
        <w:t xml:space="preserve"> correo, teléfono o formulario accesible desde el pie de página.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GEN-010 — Revisar favicon, logotipo y nombre del remitente</w:t>
      </w:r>
      <w:r>
        <w:rPr>
          <w:rFonts w:ascii="Calibri" w:hAnsi="Calibri" w:cs="Calibri"/>
          <w:color w:val="243447"/>
          <w:sz w:val="21"/>
        </w:rPr>
        <w:t xml:space="preserve"> en todos los puntos visibles.</w:t>
      </w:r>
    </w:p>
    <w:p>
      <w:r>
        <w:rPr>
          <w:rFonts w:ascii="Calibri" w:hAnsi="Calibri" w:cs="Calibri"/>
          <w:b/>
          <w:color w:val="243447"/>
          <w:sz w:val="21"/>
        </w:rPr>
        <w:t>Criterio de cierre del bloque:</w:t>
      </w:r>
      <w:r>
        <w:rPr>
          <w:rFonts w:ascii="Calibri" w:hAnsi="Calibri" w:cs="Calibri"/>
          <w:color w:val="243447"/>
          <w:sz w:val="21"/>
        </w:rPr>
        <w:t xml:space="preserve"> los datos mostrados, fiscales, bancarios y de contacto no se contradicen.</w:t>
      </w:r>
    </w:p>
    <w:p>
      <w:pPr>
        <w:pStyle w:val="Heading1"/>
        <w:keepNext/>
        <w:keepLines/>
      </w:pPr>
      <w:r>
        <w:rPr>
          <w:rFonts w:ascii="Calibri" w:hAnsi="Calibri" w:cs="Calibri"/>
          <w:color w:val="2E74B5"/>
          <w:sz w:val="32"/>
        </w:rPr>
        <w:t>3. Mercados, moneda e idiomas</w:t>
      </w:r>
    </w:p>
    <w:p>
      <w:r>
        <w:rPr>
          <w:rFonts w:ascii="Calibri" w:hAnsi="Calibri" w:cs="Calibri"/>
          <w:color w:val="243447"/>
          <w:sz w:val="21"/>
        </w:rPr>
        <w:t xml:space="preserve">Ruta orientativa: </w:t>
      </w:r>
      <w:r>
        <w:rPr>
          <w:rFonts w:ascii="Calibri" w:hAnsi="Calibri" w:cs="Calibri"/>
          <w:b/>
          <w:color w:val="243447"/>
          <w:sz w:val="21"/>
        </w:rPr>
        <w:t>Mercados</w:t>
      </w:r>
      <w:r>
        <w:rPr>
          <w:rFonts w:ascii="Calibri" w:hAnsi="Calibri" w:cs="Calibri"/>
          <w:color w:val="243447"/>
          <w:sz w:val="21"/>
        </w:rPr>
        <w:t>.</w:t>
      </w:r>
    </w:p>
    <w:p>
      <w:pPr>
        <w:pStyle w:val="Heading2"/>
        <w:keepNext/>
        <w:keepLines/>
      </w:pPr>
      <w:r>
        <w:rPr>
          <w:rFonts w:ascii="Calibri" w:hAnsi="Calibri" w:cs="Calibri"/>
          <w:color w:val="2E74B5"/>
          <w:sz w:val="26"/>
        </w:rPr>
        <w:t>3.1 Mercado de lanzamiento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MKT-001 — Crear o revisar el mercado España.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MKT-002 — Establecer EUR</w:t>
      </w:r>
      <w:r>
        <w:rPr>
          <w:rFonts w:ascii="Calibri" w:hAnsi="Calibri" w:cs="Calibri"/>
          <w:color w:val="243447"/>
          <w:sz w:val="21"/>
        </w:rPr>
        <w:t xml:space="preserve"> como moneda del mercado español.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MKT-003 — Activar español</w:t>
      </w:r>
      <w:r>
        <w:rPr>
          <w:rFonts w:ascii="Calibri" w:hAnsi="Calibri" w:cs="Calibri"/>
          <w:color w:val="243447"/>
          <w:sz w:val="21"/>
        </w:rPr>
        <w:t xml:space="preserve"> como idioma principal y revisar que tema, checkout y políticas estén traducidos.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MKT-004 — Confirmar disponibilidad del catálogo</w:t>
      </w:r>
      <w:r>
        <w:rPr>
          <w:rFonts w:ascii="Calibri" w:hAnsi="Calibri" w:cs="Calibri"/>
          <w:color w:val="243447"/>
          <w:sz w:val="21"/>
        </w:rPr>
        <w:t xml:space="preserve"> para el mercado español.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MKT-005 — Verificar que cada país activo tenga una zona de envío válida.</w:t>
      </w:r>
      <w:r>
        <w:rPr>
          <w:rFonts w:ascii="Calibri" w:hAnsi="Calibri" w:cs="Calibri"/>
          <w:color w:val="243447"/>
          <w:sz w:val="21"/>
        </w:rPr>
        <w:t xml:space="preserve"> Un mercado activo sin tarifa puede impedir la compra.</w:t>
      </w:r>
    </w:p>
    <w:p>
      <w:pPr>
        <w:pStyle w:val="Heading2"/>
        <w:keepNext/>
        <w:keepLines/>
      </w:pPr>
      <w:r>
        <w:rPr>
          <w:rFonts w:ascii="Calibri" w:hAnsi="Calibri" w:cs="Calibri"/>
          <w:color w:val="2E74B5"/>
          <w:sz w:val="26"/>
        </w:rPr>
        <w:t>3.2 Territorios con tratamiento específico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MKT-006 — Separar Canarias</w:t>
      </w:r>
      <w:r>
        <w:rPr>
          <w:rFonts w:ascii="Calibri" w:hAnsi="Calibri" w:cs="Calibri"/>
          <w:color w:val="243447"/>
          <w:sz w:val="21"/>
        </w:rPr>
        <w:t xml:space="preserve"> de Península/Baleares hasta validar IGIC, aduanas, DUA, plazos y transportista.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MKT-007 — Separar Ceuta y Melilla</w:t>
      </w:r>
      <w:r>
        <w:rPr>
          <w:rFonts w:ascii="Calibri" w:hAnsi="Calibri" w:cs="Calibri"/>
          <w:color w:val="243447"/>
          <w:sz w:val="21"/>
        </w:rPr>
        <w:t xml:space="preserve"> hasta validar IPSI, aduanas, plazos y transportista.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MKT-008 — Decidir si Baleares tendrá tarifa propia</w:t>
      </w:r>
      <w:r>
        <w:rPr>
          <w:rFonts w:ascii="Calibri" w:hAnsi="Calibri" w:cs="Calibri"/>
          <w:color w:val="243447"/>
          <w:sz w:val="21"/>
        </w:rPr>
        <w:t xml:space="preserve"> según el contrato logístico.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MKT-009 — Probar que una dirección no cubierta recibe un mensaje correcto</w:t>
      </w:r>
      <w:r>
        <w:rPr>
          <w:rFonts w:ascii="Calibri" w:hAnsi="Calibri" w:cs="Calibri"/>
          <w:color w:val="243447"/>
          <w:sz w:val="21"/>
        </w:rPr>
        <w:t xml:space="preserve"> y no una tarifa errónea.</w:t>
      </w:r>
    </w:p>
    <w:p>
      <w:pPr>
        <w:pStyle w:val="Heading2"/>
        <w:keepNext/>
        <w:keepLines/>
      </w:pPr>
      <w:r>
        <w:rPr>
          <w:rFonts w:ascii="Calibri" w:hAnsi="Calibri" w:cs="Calibri"/>
          <w:color w:val="2E74B5"/>
          <w:sz w:val="26"/>
        </w:rPr>
        <w:t>3.3 Expansión a la Unión Europea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MKT-010 — Mantener inactivos los países no preparados</w:t>
      </w:r>
      <w:r>
        <w:rPr>
          <w:rFonts w:ascii="Calibri" w:hAnsi="Calibri" w:cs="Calibri"/>
          <w:color w:val="243447"/>
          <w:sz w:val="21"/>
        </w:rPr>
        <w:t xml:space="preserve"> fiscal o logísticamente.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MKT-011 — Antes de activar la UE, confirmar OSS y tributación en destino</w:t>
      </w:r>
      <w:r>
        <w:rPr>
          <w:rFonts w:ascii="Calibri" w:hAnsi="Calibri" w:cs="Calibri"/>
          <w:color w:val="243447"/>
          <w:sz w:val="21"/>
        </w:rPr>
        <w:t xml:space="preserve"> con la gestoría.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MKT-012 — Definir moneda por mercado.</w:t>
      </w:r>
      <w:r>
        <w:rPr>
          <w:rFonts w:ascii="Calibri" w:hAnsi="Calibri" w:cs="Calibri"/>
          <w:color w:val="243447"/>
          <w:sz w:val="21"/>
        </w:rPr>
        <w:t xml:space="preserve"> Para la eurozona, EUR; otras monedas solo con una decisión comercial y revisión de costes de conversión.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MKT-013 — Definir idiomas y traducciones</w:t>
      </w:r>
      <w:r>
        <w:rPr>
          <w:rFonts w:ascii="Calibri" w:hAnsi="Calibri" w:cs="Calibri"/>
          <w:color w:val="243447"/>
          <w:sz w:val="21"/>
        </w:rPr>
        <w:t xml:space="preserve"> antes de indexar nuevos mercados.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MKT-014 — Revisar precios, redondeos y margen por mercado.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MKT-015 — Crear zonas y tarifas de envío correspondientes</w:t>
      </w:r>
      <w:r>
        <w:rPr>
          <w:rFonts w:ascii="Calibri" w:hAnsi="Calibri" w:cs="Calibri"/>
          <w:color w:val="243447"/>
          <w:sz w:val="21"/>
        </w:rPr>
        <w:t xml:space="preserve"> antes de activar cada mercado.</w:t>
      </w:r>
    </w:p>
    <w:p>
      <w:r>
        <w:rPr>
          <w:rFonts w:ascii="Calibri" w:hAnsi="Calibri" w:cs="Calibri"/>
          <w:b/>
          <w:color w:val="243447"/>
          <w:sz w:val="21"/>
        </w:rPr>
        <w:t>Criterio de cierre del bloque:</w:t>
      </w:r>
      <w:r>
        <w:rPr>
          <w:rFonts w:ascii="Calibri" w:hAnsi="Calibri" w:cs="Calibri"/>
          <w:color w:val="243447"/>
          <w:sz w:val="21"/>
        </w:rPr>
        <w:t xml:space="preserve"> solo pueden comprar clientes de territorios preparados, con moneda, idioma, impuestos y transporte coherentes.</w:t>
      </w:r>
    </w:p>
    <w:p>
      <w:pPr>
        <w:pStyle w:val="Heading1"/>
        <w:keepNext/>
        <w:keepLines/>
      </w:pPr>
      <w:r>
        <w:rPr>
          <w:rFonts w:ascii="Calibri" w:hAnsi="Calibri" w:cs="Calibri"/>
          <w:color w:val="2E74B5"/>
          <w:sz w:val="32"/>
        </w:rPr>
        <w:t>4. Impuestos</w:t>
      </w:r>
    </w:p>
    <w:p>
      <w:r>
        <w:rPr>
          <w:rFonts w:ascii="Calibri" w:hAnsi="Calibri" w:cs="Calibri"/>
          <w:color w:val="243447"/>
          <w:sz w:val="21"/>
        </w:rPr>
        <w:t xml:space="preserve">Ruta orientativa: </w:t>
      </w:r>
      <w:r>
        <w:rPr>
          <w:rFonts w:ascii="Calibri" w:hAnsi="Calibri" w:cs="Calibri"/>
          <w:b/>
          <w:color w:val="243447"/>
          <w:sz w:val="21"/>
        </w:rPr>
        <w:t>Configuración &gt; Impuestos y aranceles</w:t>
      </w:r>
      <w:r>
        <w:rPr>
          <w:rFonts w:ascii="Calibri" w:hAnsi="Calibri" w:cs="Calibri"/>
          <w:color w:val="243447"/>
          <w:sz w:val="21"/>
        </w:rPr>
        <w:t>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5DCE5"/>
          <w:left w:val="single" w:sz="4" w:color="D5DCE5"/>
          <w:bottom w:val="single" w:sz="4" w:color="D5DCE5"/>
          <w:right w:val="single" w:sz="4" w:color="D5DCE5"/>
          <w:insideH w:val="single" w:sz="4" w:color="D5DCE5"/>
          <w:insideV w:val="single" w:sz="4" w:color="D5DC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21"/>
              </w:rPr>
              <w:t>Validación obligatoria: Shopify ayuda a calcular impuestos, pero LovLory sigue siendo responsable de determinar, declarar y pagar los importes correctos.</w:t>
            </w:r>
          </w:p>
        </w:tc>
      </w:tr>
    </w:tbl>
    <w:p>
      <w:pPr>
        <w:spacing w:after="20"/>
      </w:pP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TAX-001 — Confirmar con gestoría el tipo aplicable al catálogo.</w:t>
      </w:r>
      <w:r>
        <w:rPr>
          <w:rFonts w:ascii="Calibri" w:hAnsi="Calibri" w:cs="Calibri"/>
          <w:color w:val="243447"/>
          <w:sz w:val="21"/>
        </w:rPr>
        <w:t xml:space="preserve"> Punto de partida esperado para productos físicos ordinarios: IVA general del 21 %, salvo productos con tratamiento específico.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TAX-002 — Añadir el registro español de IVA</w:t>
      </w:r>
      <w:r>
        <w:rPr>
          <w:rFonts w:ascii="Calibri" w:hAnsi="Calibri" w:cs="Calibri"/>
          <w:color w:val="243447"/>
          <w:sz w:val="21"/>
        </w:rPr>
        <w:t xml:space="preserve"> con el identificador real del negocio.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TAX-003 — Elegir servicio fiscal.</w:t>
      </w:r>
      <w:r>
        <w:rPr>
          <w:rFonts w:ascii="Calibri" w:hAnsi="Calibri" w:cs="Calibri"/>
          <w:color w:val="243447"/>
          <w:sz w:val="21"/>
        </w:rPr>
        <w:t xml:space="preserve"> Para tiendas nuevas en la UE desde el 13 de mayo de 2026, revisar Shopify Tax frente a configuración manual, incluyendo coste y necesidades de factura.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TAX-004 — Configurar precios con IVA incluido</w:t>
      </w:r>
      <w:r>
        <w:rPr>
          <w:rFonts w:ascii="Calibri" w:hAnsi="Calibri" w:cs="Calibri"/>
          <w:color w:val="243447"/>
          <w:sz w:val="21"/>
        </w:rPr>
        <w:t xml:space="preserve"> para venta B2C en España, si la gestoría lo confirma.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TAX-005 — Confirmar el tratamiento fiscal de los gastos de envío.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TAX-006 — Revisar la categoría fiscal de cada producto</w:t>
      </w:r>
      <w:r>
        <w:rPr>
          <w:rFonts w:ascii="Calibri" w:hAnsi="Calibri" w:cs="Calibri"/>
          <w:color w:val="243447"/>
          <w:sz w:val="21"/>
        </w:rPr>
        <w:t xml:space="preserve"> y evitar anulaciones globales sin justificación.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TAX-007 — Revisar regalos, descuentos y códigos promocionales</w:t>
      </w:r>
      <w:r>
        <w:rPr>
          <w:rFonts w:ascii="Calibri" w:hAnsi="Calibri" w:cs="Calibri"/>
          <w:color w:val="243447"/>
          <w:sz w:val="21"/>
        </w:rPr>
        <w:t xml:space="preserve"> con impuestos incluidos.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TAX-008 — Configurar Canarias, Ceuta y Melilla</w:t>
      </w:r>
      <w:r>
        <w:rPr>
          <w:rFonts w:ascii="Calibri" w:hAnsi="Calibri" w:cs="Calibri"/>
          <w:color w:val="243447"/>
          <w:sz w:val="21"/>
        </w:rPr>
        <w:t xml:space="preserve"> solo tras recibir instrucciones fiscales y logísticas específicas.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TAX-009 — Registrar la decisión sobre OSS.</w:t>
      </w:r>
      <w:r>
        <w:rPr>
          <w:rFonts w:ascii="Calibri" w:hAnsi="Calibri" w:cs="Calibri"/>
          <w:color w:val="243447"/>
          <w:sz w:val="21"/>
        </w:rPr>
        <w:t xml:space="preserve"> El umbral conjunto de ventas B2C intracomunitarias a distancia es de 10.000 € sin IVA en las condiciones descritas por la AEAT.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TAX-010 — Configurar facturas con IVA</w:t>
      </w:r>
      <w:r>
        <w:rPr>
          <w:rFonts w:ascii="Calibri" w:hAnsi="Calibri" w:cs="Calibri"/>
          <w:color w:val="243447"/>
          <w:sz w:val="21"/>
        </w:rPr>
        <w:t xml:space="preserve"> o la solución de facturación que utilice la empresa.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TAX-011 — Ejecutar pedidos fiscales de prueba:</w:t>
      </w:r>
      <w:r>
        <w:rPr>
          <w:rFonts w:ascii="Calibri" w:hAnsi="Calibri" w:cs="Calibri"/>
          <w:color w:val="243447"/>
          <w:sz w:val="21"/>
        </w:rPr>
        <w:t xml:space="preserve"> Península, Baleares y, si están activos, UE/Canarias/Ceuta/Melilla.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TAX-012 — Comparar el cálculo de Shopify con un cálculo manual</w:t>
      </w:r>
      <w:r>
        <w:rPr>
          <w:rFonts w:ascii="Calibri" w:hAnsi="Calibri" w:cs="Calibri"/>
          <w:color w:val="243447"/>
          <w:sz w:val="21"/>
        </w:rPr>
        <w:t xml:space="preserve"> y obtener aprobación de la gestoría.</w:t>
      </w:r>
    </w:p>
    <w:p>
      <w:r>
        <w:rPr>
          <w:rFonts w:ascii="Calibri" w:hAnsi="Calibri" w:cs="Calibri"/>
          <w:b/>
          <w:color w:val="243447"/>
          <w:sz w:val="21"/>
        </w:rPr>
        <w:t>Criterio de cierre del bloque:</w:t>
      </w:r>
      <w:r>
        <w:rPr>
          <w:rFonts w:ascii="Calibri" w:hAnsi="Calibri" w:cs="Calibri"/>
          <w:color w:val="243447"/>
          <w:sz w:val="21"/>
        </w:rPr>
        <w:t xml:space="preserve"> registros fiscales correctos, precios coherentes y al menos un pedido de prueba aprobado por territorio activo.</w:t>
      </w:r>
    </w:p>
    <w:p>
      <w:pPr>
        <w:pStyle w:val="Heading1"/>
        <w:keepNext/>
        <w:keepLines/>
      </w:pPr>
      <w:r>
        <w:rPr>
          <w:rFonts w:ascii="Calibri" w:hAnsi="Calibri" w:cs="Calibri"/>
          <w:color w:val="2E74B5"/>
          <w:sz w:val="32"/>
        </w:rPr>
        <w:t>5. Pagos</w:t>
      </w:r>
    </w:p>
    <w:p>
      <w:r>
        <w:rPr>
          <w:rFonts w:ascii="Calibri" w:hAnsi="Calibri" w:cs="Calibri"/>
          <w:color w:val="243447"/>
          <w:sz w:val="21"/>
        </w:rPr>
        <w:t xml:space="preserve">Ruta orientativa: </w:t>
      </w:r>
      <w:r>
        <w:rPr>
          <w:rFonts w:ascii="Calibri" w:hAnsi="Calibri" w:cs="Calibri"/>
          <w:b/>
          <w:color w:val="243447"/>
          <w:sz w:val="21"/>
        </w:rPr>
        <w:t>Configuración &gt; Pagos</w:t>
      </w:r>
      <w:r>
        <w:rPr>
          <w:rFonts w:ascii="Calibri" w:hAnsi="Calibri" w:cs="Calibri"/>
          <w:color w:val="243447"/>
          <w:sz w:val="21"/>
        </w:rPr>
        <w:t>.</w:t>
      </w:r>
    </w:p>
    <w:p>
      <w:pPr>
        <w:pStyle w:val="Heading2"/>
        <w:keepNext/>
        <w:keepLines/>
      </w:pPr>
      <w:r>
        <w:rPr>
          <w:rFonts w:ascii="Calibri" w:hAnsi="Calibri" w:cs="Calibri"/>
          <w:color w:val="2E74B5"/>
          <w:sz w:val="26"/>
        </w:rPr>
        <w:t>5.1 Elegibilidad y alta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PAY-001 — Confirmar por escrito la elegibilidad del catálogo</w:t>
      </w:r>
      <w:r>
        <w:rPr>
          <w:rFonts w:ascii="Calibri" w:hAnsi="Calibri" w:cs="Calibri"/>
          <w:color w:val="243447"/>
          <w:sz w:val="21"/>
        </w:rPr>
        <w:t xml:space="preserve"> con el proveedor de pagos. Describirlo como venta de juguetes sexuales físicos y bienestar íntimo.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PAY-002 — Evitar contenido sexual explícito, servicios sexuales y afirmaciones médicas no demostradas</w:t>
      </w:r>
      <w:r>
        <w:rPr>
          <w:rFonts w:ascii="Calibri" w:hAnsi="Calibri" w:cs="Calibri"/>
          <w:color w:val="243447"/>
          <w:sz w:val="21"/>
        </w:rPr>
        <w:t xml:space="preserve"> en páginas revisadas por el procesador.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PAY-003 — Publicar contacto, entrega, devolución, desistimiento y descripciones completas</w:t>
      </w:r>
      <w:r>
        <w:rPr>
          <w:rFonts w:ascii="Calibri" w:hAnsi="Calibri" w:cs="Calibri"/>
          <w:color w:val="243447"/>
          <w:sz w:val="21"/>
        </w:rPr>
        <w:t xml:space="preserve"> antes de solicitar o completar la revisión.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PAY-004 — Activar Shopify Payments solo si se aprueba la actividad.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PAY-005 — Verificar identidad y empresa</w:t>
      </w:r>
      <w:r>
        <w:rPr>
          <w:rFonts w:ascii="Calibri" w:hAnsi="Calibri" w:cs="Calibri"/>
          <w:color w:val="243447"/>
          <w:sz w:val="21"/>
        </w:rPr>
        <w:t xml:space="preserve"> con datos idénticos a la documentación oficial.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PAY-006 — Conectar cuenta bancaria en EUR compatible con SEPA.</w:t>
      </w:r>
      <w:r>
        <w:rPr>
          <w:rFonts w:ascii="Calibri" w:hAnsi="Calibri" w:cs="Calibri"/>
          <w:color w:val="243447"/>
          <w:sz w:val="21"/>
        </w:rPr>
        <w:t xml:space="preserve"> No usar una cuenta de ahorro ni una cuenta multidivisa no admitida.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PAY-007 — Definir un proveedor alternativo compatible</w:t>
      </w:r>
      <w:r>
        <w:rPr>
          <w:rFonts w:ascii="Calibri" w:hAnsi="Calibri" w:cs="Calibri"/>
          <w:color w:val="243447"/>
          <w:sz w:val="21"/>
        </w:rPr>
        <w:t xml:space="preserve"> para reducir riesgo operativo si el principal limita la cuenta.</w:t>
      </w:r>
    </w:p>
    <w:p>
      <w:pPr>
        <w:pStyle w:val="Heading2"/>
        <w:keepNext/>
        <w:keepLines/>
      </w:pPr>
      <w:r>
        <w:rPr>
          <w:rFonts w:ascii="Calibri" w:hAnsi="Calibri" w:cs="Calibri"/>
          <w:color w:val="2E74B5"/>
          <w:sz w:val="26"/>
        </w:rPr>
        <w:t>5.2 Métodos y operativa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PAY-008 — Activar tarjetas admitidas</w:t>
      </w:r>
      <w:r>
        <w:rPr>
          <w:rFonts w:ascii="Calibri" w:hAnsi="Calibri" w:cs="Calibri"/>
          <w:color w:val="243447"/>
          <w:sz w:val="21"/>
        </w:rPr>
        <w:t xml:space="preserve"> y comprobar 3D Secure.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PAY-009 — Activar Apple Pay, Google Pay y Shop Pay</w:t>
      </w:r>
      <w:r>
        <w:rPr>
          <w:rFonts w:ascii="Calibri" w:hAnsi="Calibri" w:cs="Calibri"/>
          <w:color w:val="243447"/>
          <w:sz w:val="21"/>
        </w:rPr>
        <w:t xml:space="preserve"> si están disponibles y aprobados.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PAY-010 — Revisar PayPal</w:t>
      </w:r>
      <w:r>
        <w:rPr>
          <w:rFonts w:ascii="Calibri" w:hAnsi="Calibri" w:cs="Calibri"/>
          <w:color w:val="243447"/>
          <w:sz w:val="21"/>
        </w:rPr>
        <w:t>: titular, correo, cuenta bancaria, divisa y política de protección.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PAY-011 — No activar Klarna u otros métodos aplazados</w:t>
      </w:r>
      <w:r>
        <w:rPr>
          <w:rFonts w:ascii="Calibri" w:hAnsi="Calibri" w:cs="Calibri"/>
          <w:color w:val="243447"/>
          <w:sz w:val="21"/>
        </w:rPr>
        <w:t xml:space="preserve"> hasta confirmar compatibilidad con todo el catálogo y condiciones de la tienda.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PAY-012 — Configurar descriptor bancario reconocible</w:t>
      </w:r>
      <w:r>
        <w:rPr>
          <w:rFonts w:ascii="Calibri" w:hAnsi="Calibri" w:cs="Calibri"/>
          <w:color w:val="243447"/>
          <w:sz w:val="21"/>
        </w:rPr>
        <w:t xml:space="preserve"> para reducir contracargos, si el proveedor lo permite.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PAY-013 — Definir captura de pagos:</w:t>
      </w:r>
      <w:r>
        <w:rPr>
          <w:rFonts w:ascii="Calibri" w:hAnsi="Calibri" w:cs="Calibri"/>
          <w:color w:val="243447"/>
          <w:sz w:val="21"/>
        </w:rPr>
        <w:t xml:space="preserve"> automática como opción inicial, salvo que el flujo operativo requiera revisión manual.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PAY-014 — Revisar pagos, comisiones, conversión y calendario de liquidaciones.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PAY-015 — Configurar alertas de fraude y revisión manual</w:t>
      </w:r>
      <w:r>
        <w:rPr>
          <w:rFonts w:ascii="Calibri" w:hAnsi="Calibri" w:cs="Calibri"/>
          <w:color w:val="243447"/>
          <w:sz w:val="21"/>
        </w:rPr>
        <w:t xml:space="preserve"> de pedidos de riesgo alto.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PAY-016 — Realizar transacción de prueba, reembolso total y reembolso parcial.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PAY-017 — Confirmar recepción de una liquidación real pequeña</w:t>
      </w:r>
      <w:r>
        <w:rPr>
          <w:rFonts w:ascii="Calibri" w:hAnsi="Calibri" w:cs="Calibri"/>
          <w:color w:val="243447"/>
          <w:sz w:val="21"/>
        </w:rPr>
        <w:t xml:space="preserve"> antes del lanzamiento completo.</w:t>
      </w:r>
    </w:p>
    <w:p>
      <w:r>
        <w:rPr>
          <w:rFonts w:ascii="Calibri" w:hAnsi="Calibri" w:cs="Calibri"/>
          <w:b/>
          <w:color w:val="243447"/>
          <w:sz w:val="21"/>
        </w:rPr>
        <w:t>Criterio de cierre del bloque:</w:t>
      </w:r>
      <w:r>
        <w:rPr>
          <w:rFonts w:ascii="Calibri" w:hAnsi="Calibri" w:cs="Calibri"/>
          <w:color w:val="243447"/>
          <w:sz w:val="21"/>
        </w:rPr>
        <w:t xml:space="preserve"> proveedor aprobado, cobro y reembolso probados, cuenta bancaria validada y alternativa documentada.</w:t>
      </w:r>
    </w:p>
    <w:p>
      <w:pPr>
        <w:pStyle w:val="Heading1"/>
        <w:keepNext/>
        <w:keepLines/>
      </w:pPr>
      <w:r>
        <w:rPr>
          <w:rFonts w:ascii="Calibri" w:hAnsi="Calibri" w:cs="Calibri"/>
          <w:color w:val="2E74B5"/>
          <w:sz w:val="32"/>
        </w:rPr>
        <w:t>6. Ubicaciones e inventario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INV-001 — Crear la ubicación real de preparación</w:t>
      </w:r>
      <w:r>
        <w:rPr>
          <w:rFonts w:ascii="Calibri" w:hAnsi="Calibri" w:cs="Calibri"/>
          <w:color w:val="243447"/>
          <w:sz w:val="21"/>
        </w:rPr>
        <w:t xml:space="preserve"> con dirección y nombre claros.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INV-002 — Desactivar ubicaciones ficticias o de prueba</w:t>
      </w:r>
      <w:r>
        <w:rPr>
          <w:rFonts w:ascii="Calibri" w:hAnsi="Calibri" w:cs="Calibri"/>
          <w:color w:val="243447"/>
          <w:sz w:val="21"/>
        </w:rPr>
        <w:t xml:space="preserve"> que puedan recibir inventario o pedidos.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INV-003 — Definir qué ubicación prepara pedidos online.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INV-004 — Confirmar que cada variante controla inventario</w:t>
      </w:r>
      <w:r>
        <w:rPr>
          <w:rFonts w:ascii="Calibri" w:hAnsi="Calibri" w:cs="Calibri"/>
          <w:color w:val="243447"/>
          <w:sz w:val="21"/>
        </w:rPr>
        <w:t xml:space="preserve"> cuando corresponda.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INV-005 — Importar y validar SKU</w:t>
      </w:r>
      <w:r>
        <w:rPr>
          <w:rFonts w:ascii="Calibri" w:hAnsi="Calibri" w:cs="Calibri"/>
          <w:color w:val="243447"/>
          <w:sz w:val="21"/>
        </w:rPr>
        <w:t xml:space="preserve"> sin valores vacíos o duplicados no intencionados.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INV-006 — Importar stock en la ubicación correcta.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INV-007 — Decidir política de venta sin stock.</w:t>
      </w:r>
      <w:r>
        <w:rPr>
          <w:rFonts w:ascii="Calibri" w:hAnsi="Calibri" w:cs="Calibri"/>
          <w:color w:val="243447"/>
          <w:sz w:val="21"/>
        </w:rPr>
        <w:t xml:space="preserve"> Recomendación: no continuar vendiendo productos agotados salvo caso documentado.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INV-008 — Configurar umbral interno de stock bajo</w:t>
      </w:r>
      <w:r>
        <w:rPr>
          <w:rFonts w:ascii="Calibri" w:hAnsi="Calibri" w:cs="Calibri"/>
          <w:color w:val="243447"/>
          <w:sz w:val="21"/>
        </w:rPr>
        <w:t xml:space="preserve"> y responsable de reposición.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INV-009 — Verificar inventario de una muestra y después del total del catálogo.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INV-010 — Documentar cualquier stock reservado, dañado o no vendible.</w:t>
      </w:r>
    </w:p>
    <w:p>
      <w:r>
        <w:rPr>
          <w:rFonts w:ascii="Calibri" w:hAnsi="Calibri" w:cs="Calibri"/>
          <w:b/>
          <w:color w:val="243447"/>
          <w:sz w:val="21"/>
        </w:rPr>
        <w:t>Criterio de cierre del bloque:</w:t>
      </w:r>
      <w:r>
        <w:rPr>
          <w:rFonts w:ascii="Calibri" w:hAnsi="Calibri" w:cs="Calibri"/>
          <w:color w:val="243447"/>
          <w:sz w:val="21"/>
        </w:rPr>
        <w:t xml:space="preserve"> todos los SKU vendibles tienen ubicación, cantidad y política de agotado correctas.</w:t>
      </w:r>
    </w:p>
    <w:p>
      <w:pPr>
        <w:pStyle w:val="Heading1"/>
        <w:keepNext/>
        <w:keepLines/>
      </w:pPr>
      <w:r>
        <w:rPr>
          <w:rFonts w:ascii="Calibri" w:hAnsi="Calibri" w:cs="Calibri"/>
          <w:color w:val="2E74B5"/>
          <w:sz w:val="32"/>
        </w:rPr>
        <w:t>7. Transporte, entrega y preparación</w:t>
      </w:r>
    </w:p>
    <w:p>
      <w:r>
        <w:rPr>
          <w:rFonts w:ascii="Calibri" w:hAnsi="Calibri" w:cs="Calibri"/>
          <w:color w:val="243447"/>
          <w:sz w:val="21"/>
        </w:rPr>
        <w:t xml:space="preserve">Ruta orientativa: </w:t>
      </w:r>
      <w:r>
        <w:rPr>
          <w:rFonts w:ascii="Calibri" w:hAnsi="Calibri" w:cs="Calibri"/>
          <w:b/>
          <w:color w:val="243447"/>
          <w:sz w:val="21"/>
        </w:rPr>
        <w:t>Configuración &gt; Envío y entrega</w:t>
      </w:r>
      <w:r>
        <w:rPr>
          <w:rFonts w:ascii="Calibri" w:hAnsi="Calibri" w:cs="Calibri"/>
          <w:color w:val="243447"/>
          <w:sz w:val="21"/>
        </w:rPr>
        <w:t>.</w:t>
      </w:r>
    </w:p>
    <w:p>
      <w:pPr>
        <w:pStyle w:val="Heading2"/>
        <w:keepNext/>
        <w:keepLines/>
      </w:pPr>
      <w:r>
        <w:rPr>
          <w:rFonts w:ascii="Calibri" w:hAnsi="Calibri" w:cs="Calibri"/>
          <w:color w:val="2E74B5"/>
          <w:sz w:val="26"/>
        </w:rPr>
        <w:t>7.1 Datos base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SHP-001 — Confirmar origen de envío</w:t>
      </w:r>
      <w:r>
        <w:rPr>
          <w:rFonts w:ascii="Calibri" w:hAnsi="Calibri" w:cs="Calibri"/>
          <w:color w:val="243447"/>
          <w:sz w:val="21"/>
        </w:rPr>
        <w:t xml:space="preserve"> y horario de recogida.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SHP-002 — Crear paquetes habituales</w:t>
      </w:r>
      <w:r>
        <w:rPr>
          <w:rFonts w:ascii="Calibri" w:hAnsi="Calibri" w:cs="Calibri"/>
          <w:color w:val="243447"/>
          <w:sz w:val="21"/>
        </w:rPr>
        <w:t xml:space="preserve"> con dimensiones y tara reales.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SHP-003 — Confirmar peso de todos los productos físicos.</w:t>
      </w:r>
      <w:r>
        <w:rPr>
          <w:rFonts w:ascii="Calibri" w:hAnsi="Calibri" w:cs="Calibri"/>
          <w:color w:val="243447"/>
          <w:sz w:val="21"/>
        </w:rPr>
        <w:t xml:space="preserve"> Usar los datos reales del CSV final y bloquear pesos faltantes.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SHP-004 — Definir tiempo de preparación real</w:t>
      </w:r>
      <w:r>
        <w:rPr>
          <w:rFonts w:ascii="Calibri" w:hAnsi="Calibri" w:cs="Calibri"/>
          <w:color w:val="243447"/>
          <w:sz w:val="21"/>
        </w:rPr>
        <w:t xml:space="preserve"> y días laborables/festivos.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SHP-005 — Definir si se muestran fechas de entrega manuales</w:t>
      </w:r>
      <w:r>
        <w:rPr>
          <w:rFonts w:ascii="Calibri" w:hAnsi="Calibri" w:cs="Calibri"/>
          <w:color w:val="243447"/>
          <w:sz w:val="21"/>
        </w:rPr>
        <w:t xml:space="preserve"> basadas en preparación y tránsito.</w:t>
      </w:r>
    </w:p>
    <w:p>
      <w:pPr>
        <w:pStyle w:val="Heading2"/>
        <w:keepNext/>
        <w:keepLines/>
      </w:pPr>
      <w:r>
        <w:rPr>
          <w:rFonts w:ascii="Calibri" w:hAnsi="Calibri" w:cs="Calibri"/>
          <w:color w:val="2E74B5"/>
          <w:sz w:val="26"/>
        </w:rPr>
        <w:t>7.2 Perfil general y zonas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SHP-006 — Revisar el perfil de envío general</w:t>
      </w:r>
      <w:r>
        <w:rPr>
          <w:rFonts w:ascii="Calibri" w:hAnsi="Calibri" w:cs="Calibri"/>
          <w:color w:val="243447"/>
          <w:sz w:val="21"/>
        </w:rPr>
        <w:t xml:space="preserve"> y confirmar qué productos contiene.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SHP-007 — Crear zona España peninsular.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SHP-008 — Crear zona Baleares</w:t>
      </w:r>
      <w:r>
        <w:rPr>
          <w:rFonts w:ascii="Calibri" w:hAnsi="Calibri" w:cs="Calibri"/>
          <w:color w:val="243447"/>
          <w:sz w:val="21"/>
        </w:rPr>
        <w:t xml:space="preserve"> si el coste o plazo difiere.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SHP-009 — Crear zonas separadas para Canarias, Ceuta y Melilla</w:t>
      </w:r>
      <w:r>
        <w:rPr>
          <w:rFonts w:ascii="Calibri" w:hAnsi="Calibri" w:cs="Calibri"/>
          <w:color w:val="243447"/>
          <w:sz w:val="21"/>
        </w:rPr>
        <w:t xml:space="preserve"> solo cuando estén aprobadas.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SHP-010 — Crear zona UE</w:t>
      </w:r>
      <w:r>
        <w:rPr>
          <w:rFonts w:ascii="Calibri" w:hAnsi="Calibri" w:cs="Calibri"/>
          <w:color w:val="243447"/>
          <w:sz w:val="21"/>
        </w:rPr>
        <w:t xml:space="preserve"> solo al activar los países correspondientes en Mercados.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SHP-011 — Comprobar que ningún país aparece en dos zonas del mismo perfil.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SHP-012 — Excluir destinos a los que no se enviará.</w:t>
      </w:r>
    </w:p>
    <w:p>
      <w:pPr>
        <w:pStyle w:val="Heading2"/>
        <w:keepNext/>
        <w:keepLines/>
      </w:pPr>
      <w:r>
        <w:rPr>
          <w:rFonts w:ascii="Calibri" w:hAnsi="Calibri" w:cs="Calibri"/>
          <w:color w:val="2E74B5"/>
          <w:sz w:val="26"/>
        </w:rPr>
        <w:t>7.3 Tarifas y servicios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SHP-013 — Introducir tarifa estándar de Península</w:t>
      </w:r>
      <w:r>
        <w:rPr>
          <w:rFonts w:ascii="Calibri" w:hAnsi="Calibri" w:cs="Calibri"/>
          <w:color w:val="243447"/>
          <w:sz w:val="21"/>
        </w:rPr>
        <w:t xml:space="preserve"> basada en el contrato real.</w:t>
      </w:r>
    </w:p>
    <w:p>
      <w:pPr>
        <w:numPr>
          <w:ilvl w:val="1"/>
          <w:numId w:val="10"/>
        </w:numPr>
      </w:pPr>
      <w:r>
        <w:rPr>
          <w:rFonts w:ascii="Calibri" w:hAnsi="Calibri" w:cs="Calibri"/>
          <w:color w:val="243447"/>
          <w:sz w:val="21"/>
        </w:rPr>
        <w:t>Nombre mostrado: ____________________  Precio: ____________________  Plazo: ____________________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SHP-014 — Configurar envío gratuito</w:t>
      </w:r>
      <w:r>
        <w:rPr>
          <w:rFonts w:ascii="Calibri" w:hAnsi="Calibri" w:cs="Calibri"/>
          <w:color w:val="243447"/>
          <w:sz w:val="21"/>
        </w:rPr>
        <w:t xml:space="preserve"> solo a partir del umbral aprobado.</w:t>
      </w:r>
    </w:p>
    <w:p>
      <w:pPr>
        <w:numPr>
          <w:ilvl w:val="1"/>
          <w:numId w:val="10"/>
        </w:numPr>
      </w:pPr>
      <w:r>
        <w:rPr>
          <w:rFonts w:ascii="Calibri" w:hAnsi="Calibri" w:cs="Calibri"/>
          <w:color w:val="243447"/>
          <w:sz w:val="21"/>
        </w:rPr>
        <w:t>Umbral: ____________________  Zona: ____________________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SHP-015 — Introducir tarifa de Baleares</w:t>
      </w:r>
      <w:r>
        <w:rPr>
          <w:rFonts w:ascii="Calibri" w:hAnsi="Calibri" w:cs="Calibri"/>
          <w:color w:val="243447"/>
          <w:sz w:val="21"/>
        </w:rPr>
        <w:t xml:space="preserve"> y sus condiciones.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SHP-016 — Introducir tarifas especiales</w:t>
      </w:r>
      <w:r>
        <w:rPr>
          <w:rFonts w:ascii="Calibri" w:hAnsi="Calibri" w:cs="Calibri"/>
          <w:color w:val="243447"/>
          <w:sz w:val="21"/>
        </w:rPr>
        <w:t xml:space="preserve"> por peso o valor si son necesarias.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SHP-017 — Evaluar tarifa calculada por SEUR o aplicación del transportista</w:t>
      </w:r>
      <w:r>
        <w:rPr>
          <w:rFonts w:ascii="Calibri" w:hAnsi="Calibri" w:cs="Calibri"/>
          <w:color w:val="243447"/>
          <w:sz w:val="21"/>
        </w:rPr>
        <w:t xml:space="preserve"> frente a tarifa plana.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SHP-018 — Definir si habrá recogida local o puntos de recogida.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SHP-019 — Configurar seguro, seguimiento y firma</w:t>
      </w:r>
      <w:r>
        <w:rPr>
          <w:rFonts w:ascii="Calibri" w:hAnsi="Calibri" w:cs="Calibri"/>
          <w:color w:val="243447"/>
          <w:sz w:val="21"/>
        </w:rPr>
        <w:t xml:space="preserve"> según valor de pedido.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SHP-020 — Definir procedimiento de dirección incorrecta, ausencia, reexpedición y paquete rechazado.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SHP-021 — Definir embalaje discreto</w:t>
      </w:r>
      <w:r>
        <w:rPr>
          <w:rFonts w:ascii="Calibri" w:hAnsi="Calibri" w:cs="Calibri"/>
          <w:color w:val="243447"/>
          <w:sz w:val="21"/>
        </w:rPr>
        <w:t xml:space="preserve"> y verificar que etiqueta, remitente y descriptor respeten la política de privacidad de marca.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SHP-022 — Definir proceso de devolución:</w:t>
      </w:r>
      <w:r>
        <w:rPr>
          <w:rFonts w:ascii="Calibri" w:hAnsi="Calibri" w:cs="Calibri"/>
          <w:color w:val="243447"/>
          <w:sz w:val="21"/>
        </w:rPr>
        <w:t xml:space="preserve"> dirección, autorización, coste, inspección y reembolso.</w:t>
      </w:r>
    </w:p>
    <w:p>
      <w:r>
        <w:rPr>
          <w:rFonts w:ascii="Calibri" w:hAnsi="Calibri" w:cs="Calibri"/>
          <w:b/>
          <w:color w:val="243447"/>
          <w:sz w:val="21"/>
        </w:rPr>
        <w:t>Criterio de cierre del bloque:</w:t>
      </w:r>
      <w:r>
        <w:rPr>
          <w:rFonts w:ascii="Calibri" w:hAnsi="Calibri" w:cs="Calibri"/>
          <w:color w:val="243447"/>
          <w:sz w:val="21"/>
        </w:rPr>
        <w:t xml:space="preserve"> cada territorio activo devuelve exactamente una opción válida de envío, con coste y plazo correctos.</w:t>
      </w:r>
    </w:p>
    <w:p>
      <w:pPr>
        <w:pStyle w:val="Heading1"/>
        <w:keepNext/>
        <w:keepLines/>
      </w:pPr>
      <w:r>
        <w:rPr>
          <w:rFonts w:ascii="Calibri" w:hAnsi="Calibri" w:cs="Calibri"/>
          <w:color w:val="2E74B5"/>
          <w:sz w:val="32"/>
        </w:rPr>
        <w:t>8. Checkout y cuentas de cliente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CHK-001 — Configurar contacto del cliente:</w:t>
      </w:r>
      <w:r>
        <w:rPr>
          <w:rFonts w:ascii="Calibri" w:hAnsi="Calibri" w:cs="Calibri"/>
          <w:color w:val="243447"/>
          <w:sz w:val="21"/>
        </w:rPr>
        <w:t xml:space="preserve"> decidir correo como dato principal y teléfono opcional u obligatorio según transporte.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CHK-002 — Revisar nombre, apellidos, empresa y segunda línea de dirección.</w:t>
      </w:r>
      <w:r>
        <w:rPr>
          <w:rFonts w:ascii="Calibri" w:hAnsi="Calibri" w:cs="Calibri"/>
          <w:color w:val="243447"/>
          <w:sz w:val="21"/>
        </w:rPr>
        <w:t xml:space="preserve"> Pedir solo datos útiles.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CHK-003 — Activar validación de dirección</w:t>
      </w:r>
      <w:r>
        <w:rPr>
          <w:rFonts w:ascii="Calibri" w:hAnsi="Calibri" w:cs="Calibri"/>
          <w:color w:val="243447"/>
          <w:sz w:val="21"/>
        </w:rPr>
        <w:t xml:space="preserve"> si está disponible y probar códigos postales especiales.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CHK-004 — Decidir si las cuentas de cliente son opcionales.</w:t>
      </w:r>
      <w:r>
        <w:rPr>
          <w:rFonts w:ascii="Calibri" w:hAnsi="Calibri" w:cs="Calibri"/>
          <w:color w:val="243447"/>
          <w:sz w:val="21"/>
        </w:rPr>
        <w:t xml:space="preserve"> Recomendación inicial: permitir compra como invitado.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CHK-005 — Revisar consentimiento de marketing</w:t>
      </w:r>
      <w:r>
        <w:rPr>
          <w:rFonts w:ascii="Calibri" w:hAnsi="Calibri" w:cs="Calibri"/>
          <w:color w:val="243447"/>
          <w:sz w:val="21"/>
        </w:rPr>
        <w:t xml:space="preserve"> separado de la aceptación necesaria para completar la compra.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CHK-006 — Configurar recuperación de checkout abandonado</w:t>
      </w:r>
      <w:r>
        <w:rPr>
          <w:rFonts w:ascii="Calibri" w:hAnsi="Calibri" w:cs="Calibri"/>
          <w:color w:val="243447"/>
          <w:sz w:val="21"/>
        </w:rPr>
        <w:t xml:space="preserve"> y revisar su texto, plazo y descuentos.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CHK-007 — Revisar propinas, venta adicional y aplicaciones del checkout.</w:t>
      </w:r>
      <w:r>
        <w:rPr>
          <w:rFonts w:ascii="Calibri" w:hAnsi="Calibri" w:cs="Calibri"/>
          <w:color w:val="243447"/>
          <w:sz w:val="21"/>
        </w:rPr>
        <w:t xml:space="preserve"> Desactivar elementos no necesarios.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CHK-008 — Revisar mensaje de error cuando un destino no tiene envío.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CHK-009 — Personalizar página de agradecimiento y estado del pedido</w:t>
      </w:r>
      <w:r>
        <w:rPr>
          <w:rFonts w:ascii="Calibri" w:hAnsi="Calibri" w:cs="Calibri"/>
          <w:color w:val="243447"/>
          <w:sz w:val="21"/>
        </w:rPr>
        <w:t xml:space="preserve"> sin scripts obsoletos.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CHK-010 — Verificar privacidad del contenido del paquete y comunicaciones</w:t>
      </w:r>
      <w:r>
        <w:rPr>
          <w:rFonts w:ascii="Calibri" w:hAnsi="Calibri" w:cs="Calibri"/>
          <w:color w:val="243447"/>
          <w:sz w:val="21"/>
        </w:rPr>
        <w:t xml:space="preserve"> de cara al cliente.</w:t>
      </w:r>
    </w:p>
    <w:p>
      <w:r>
        <w:rPr>
          <w:rFonts w:ascii="Calibri" w:hAnsi="Calibri" w:cs="Calibri"/>
          <w:b/>
          <w:color w:val="243447"/>
          <w:sz w:val="21"/>
        </w:rPr>
        <w:t>Criterio de cierre del bloque:</w:t>
      </w:r>
      <w:r>
        <w:rPr>
          <w:rFonts w:ascii="Calibri" w:hAnsi="Calibri" w:cs="Calibri"/>
          <w:color w:val="243447"/>
          <w:sz w:val="21"/>
        </w:rPr>
        <w:t xml:space="preserve"> un cliente nuevo puede comprar sin fricción, entiende los consentimientos y recibe información de entrega correcta.</w:t>
      </w:r>
    </w:p>
    <w:p>
      <w:pPr>
        <w:pStyle w:val="Heading1"/>
        <w:keepNext/>
        <w:keepLines/>
      </w:pPr>
      <w:r>
        <w:rPr>
          <w:rFonts w:ascii="Calibri" w:hAnsi="Calibri" w:cs="Calibri"/>
          <w:color w:val="2E74B5"/>
          <w:sz w:val="32"/>
        </w:rPr>
        <w:t>9. Políticas, privacidad y cumplimiento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5DCE5"/>
          <w:left w:val="single" w:sz="4" w:color="D5DCE5"/>
          <w:bottom w:val="single" w:sz="4" w:color="D5DCE5"/>
          <w:right w:val="single" w:sz="4" w:color="D5DCE5"/>
          <w:insideH w:val="single" w:sz="4" w:color="D5DCE5"/>
          <w:insideV w:val="single" w:sz="4" w:color="D5DC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21"/>
              </w:rPr>
              <w:t>Las plantillas de Shopify son un punto de partida. Deben revisarse para el negocio, el catálogo y la normativa aplicable.</w:t>
            </w:r>
          </w:p>
        </w:tc>
      </w:tr>
    </w:tbl>
    <w:p>
      <w:pPr>
        <w:spacing w:after="20"/>
      </w:pP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LEG-001 — Aviso legal:</w:t>
      </w:r>
      <w:r>
        <w:rPr>
          <w:rFonts w:ascii="Calibri" w:hAnsi="Calibri" w:cs="Calibri"/>
          <w:color w:val="243447"/>
          <w:sz w:val="21"/>
        </w:rPr>
        <w:t xml:space="preserve"> titular, NIF/CIF, domicilio y contacto.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LEG-002 — Condiciones de compra:</w:t>
      </w:r>
      <w:r>
        <w:rPr>
          <w:rFonts w:ascii="Calibri" w:hAnsi="Calibri" w:cs="Calibri"/>
          <w:color w:val="243447"/>
          <w:sz w:val="21"/>
        </w:rPr>
        <w:t xml:space="preserve"> formación del contrato, precio, pago, entrega, incidencias y jurisdicción.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LEG-003 — Política de envíos:</w:t>
      </w:r>
      <w:r>
        <w:rPr>
          <w:rFonts w:ascii="Calibri" w:hAnsi="Calibri" w:cs="Calibri"/>
          <w:color w:val="243447"/>
          <w:sz w:val="21"/>
        </w:rPr>
        <w:t xml:space="preserve"> zonas, costes, preparación, tránsito, seguimiento e incidencias.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LEG-004 — Política de devoluciones y reembolsos:</w:t>
      </w:r>
      <w:r>
        <w:rPr>
          <w:rFonts w:ascii="Calibri" w:hAnsi="Calibri" w:cs="Calibri"/>
          <w:color w:val="243447"/>
          <w:sz w:val="21"/>
        </w:rPr>
        <w:t xml:space="preserve"> plazos, proceso, costes y estado del producto.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LEG-005 — Validar con asesoría la excepción de desistimiento por higiene</w:t>
      </w:r>
      <w:r>
        <w:rPr>
          <w:rFonts w:ascii="Calibri" w:hAnsi="Calibri" w:cs="Calibri"/>
          <w:color w:val="243447"/>
          <w:sz w:val="21"/>
        </w:rPr>
        <w:t xml:space="preserve"> para bienes precintados que no sean aptos para devolución tras desprecintarse; explicarla claramente antes de la compra.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LEG-006 — Política de privacidad:</w:t>
      </w:r>
      <w:r>
        <w:rPr>
          <w:rFonts w:ascii="Calibri" w:hAnsi="Calibri" w:cs="Calibri"/>
          <w:color w:val="243447"/>
          <w:sz w:val="21"/>
        </w:rPr>
        <w:t xml:space="preserve"> responsables, finalidades, bases, proveedores, conservación y derechos.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LEG-007 — Política de cookies y banner de consentimiento</w:t>
      </w:r>
      <w:r>
        <w:rPr>
          <w:rFonts w:ascii="Calibri" w:hAnsi="Calibri" w:cs="Calibri"/>
          <w:color w:val="243447"/>
          <w:sz w:val="21"/>
        </w:rPr>
        <w:t xml:space="preserve"> adaptados a las herramientas realmente instaladas.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LEG-008 — Información de contacto y reclamaciones</w:t>
      </w:r>
      <w:r>
        <w:rPr>
          <w:rFonts w:ascii="Calibri" w:hAnsi="Calibri" w:cs="Calibri"/>
          <w:color w:val="243447"/>
          <w:sz w:val="21"/>
        </w:rPr>
        <w:t xml:space="preserve"> accesible desde el pie de página.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LEG-009 — Revisar textos de mayoría de edad y acceso al catálogo</w:t>
      </w:r>
      <w:r>
        <w:rPr>
          <w:rFonts w:ascii="Calibri" w:hAnsi="Calibri" w:cs="Calibri"/>
          <w:color w:val="243447"/>
          <w:sz w:val="21"/>
        </w:rPr>
        <w:t xml:space="preserve"> con asesoría; no usar una barrera de edad como sustituto de cumplimiento.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LEG-010 — Revisar descripciones e imágenes:</w:t>
      </w:r>
      <w:r>
        <w:rPr>
          <w:rFonts w:ascii="Calibri" w:hAnsi="Calibri" w:cs="Calibri"/>
          <w:color w:val="243447"/>
          <w:sz w:val="21"/>
        </w:rPr>
        <w:t xml:space="preserve"> producto físico, materiales, medidas, uso, limpieza y seguridad; sin afirmaciones médicas no sustentadas.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LEG-011 — Revisar garantías y conformidad de producto.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LEG-012 — Revisar etiquetado, fabricante/importador y obligaciones de seguridad</w:t>
      </w:r>
      <w:r>
        <w:rPr>
          <w:rFonts w:ascii="Calibri" w:hAnsi="Calibri" w:cs="Calibri"/>
          <w:color w:val="243447"/>
          <w:sz w:val="21"/>
        </w:rPr>
        <w:t xml:space="preserve"> aplicables al catálogo.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LEG-013 — Añadir enlaces permanentes a políticas</w:t>
      </w:r>
      <w:r>
        <w:rPr>
          <w:rFonts w:ascii="Calibri" w:hAnsi="Calibri" w:cs="Calibri"/>
          <w:color w:val="243447"/>
          <w:sz w:val="21"/>
        </w:rPr>
        <w:t xml:space="preserve"> en pie de página y checkout.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LEG-014 — Guardar fecha y versión de cada política aprobada.</w:t>
      </w:r>
    </w:p>
    <w:p>
      <w:r>
        <w:rPr>
          <w:rFonts w:ascii="Calibri" w:hAnsi="Calibri" w:cs="Calibri"/>
          <w:b/>
          <w:color w:val="243447"/>
          <w:sz w:val="21"/>
        </w:rPr>
        <w:t>Criterio de cierre del bloque:</w:t>
      </w:r>
      <w:r>
        <w:rPr>
          <w:rFonts w:ascii="Calibri" w:hAnsi="Calibri" w:cs="Calibri"/>
          <w:color w:val="243447"/>
          <w:sz w:val="21"/>
        </w:rPr>
        <w:t xml:space="preserve"> asesoría ha revisado los textos y todas las políticas son accesibles antes de pagar.</w:t>
      </w:r>
    </w:p>
    <w:p>
      <w:pPr>
        <w:pStyle w:val="Heading1"/>
        <w:keepNext/>
        <w:keepLines/>
      </w:pPr>
      <w:r>
        <w:rPr>
          <w:rFonts w:ascii="Calibri" w:hAnsi="Calibri" w:cs="Calibri"/>
          <w:color w:val="2E74B5"/>
          <w:sz w:val="32"/>
        </w:rPr>
        <w:t>10. Dominio, correo y notificaciones</w:t>
      </w:r>
    </w:p>
    <w:p>
      <w:pPr>
        <w:pStyle w:val="Heading2"/>
        <w:keepNext/>
        <w:keepLines/>
      </w:pPr>
      <w:r>
        <w:rPr>
          <w:rFonts w:ascii="Calibri" w:hAnsi="Calibri" w:cs="Calibri"/>
          <w:color w:val="2E74B5"/>
          <w:sz w:val="26"/>
        </w:rPr>
        <w:t>10.1 Dominio y correo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DOM-001 — Conectar el dominio principal</w:t>
      </w:r>
      <w:r>
        <w:rPr>
          <w:rFonts w:ascii="Calibri" w:hAnsi="Calibri" w:cs="Calibri"/>
          <w:color w:val="243447"/>
          <w:sz w:val="21"/>
        </w:rPr>
        <w:t xml:space="preserve"> y elegir una única versión canónica.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DOM-002 — Verificar SSL activo</w:t>
      </w:r>
      <w:r>
        <w:rPr>
          <w:rFonts w:ascii="Calibri" w:hAnsi="Calibri" w:cs="Calibri"/>
          <w:color w:val="243447"/>
          <w:sz w:val="21"/>
        </w:rPr>
        <w:t xml:space="preserve"> y ausencia de advertencias del navegador.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DOM-003 — Configurar redirección desde dominios secundarios.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DOM-004 — Configurar SPF, DKIM y DMARC</w:t>
      </w:r>
      <w:r>
        <w:rPr>
          <w:rFonts w:ascii="Calibri" w:hAnsi="Calibri" w:cs="Calibri"/>
          <w:color w:val="243447"/>
          <w:sz w:val="21"/>
        </w:rPr>
        <w:t xml:space="preserve"> del dominio de correo según el proveedor.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DOM-005 — Probar recepción y respuesta</w:t>
      </w:r>
      <w:r>
        <w:rPr>
          <w:rFonts w:ascii="Calibri" w:hAnsi="Calibri" w:cs="Calibri"/>
          <w:color w:val="243447"/>
          <w:sz w:val="21"/>
        </w:rPr>
        <w:t xml:space="preserve"> desde las direcciones de atención.</w:t>
      </w:r>
    </w:p>
    <w:p>
      <w:pPr>
        <w:pStyle w:val="Heading2"/>
        <w:keepNext/>
        <w:keepLines/>
      </w:pPr>
      <w:r>
        <w:rPr>
          <w:rFonts w:ascii="Calibri" w:hAnsi="Calibri" w:cs="Calibri"/>
          <w:color w:val="2E74B5"/>
          <w:sz w:val="26"/>
        </w:rPr>
        <w:t>10.2 Notificaciones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NTF-001 — Revisar confirmación de pedido.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NTF-002 — Revisar confirmación y actualización de envío.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NTF-003 — Revisar entrega, cancelación y reembolso.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NTF-004 — Revisar recuperación de checkout abandonado.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NTF-005 — Aplicar identidad visual y tono de LovLory.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NTF-006 — Evitar contenido sensible innecesario en asuntos o previsualizaciones.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NTF-007 — Probar notificaciones en móvil y escritorio.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NTF-008 — Verificar enlaces a ayuda, seguimiento y políticas.</w:t>
      </w:r>
    </w:p>
    <w:p>
      <w:r>
        <w:rPr>
          <w:rFonts w:ascii="Calibri" w:hAnsi="Calibri" w:cs="Calibri"/>
          <w:b/>
          <w:color w:val="243447"/>
          <w:sz w:val="21"/>
        </w:rPr>
        <w:t>Criterio de cierre del bloque:</w:t>
      </w:r>
      <w:r>
        <w:rPr>
          <w:rFonts w:ascii="Calibri" w:hAnsi="Calibri" w:cs="Calibri"/>
          <w:color w:val="243447"/>
          <w:sz w:val="21"/>
        </w:rPr>
        <w:t xml:space="preserve"> dominio seguro, correo autenticado y ciclo completo de notificaciones probado.</w:t>
      </w:r>
    </w:p>
    <w:p>
      <w:pPr>
        <w:pStyle w:val="Heading1"/>
        <w:keepNext/>
        <w:keepLines/>
      </w:pPr>
      <w:r>
        <w:rPr>
          <w:rFonts w:ascii="Calibri" w:hAnsi="Calibri" w:cs="Calibri"/>
          <w:color w:val="2E74B5"/>
          <w:sz w:val="32"/>
        </w:rPr>
        <w:t>11. Catálogo, colecciones y búsqueda</w:t>
      </w:r>
    </w:p>
    <w:p>
      <w:r>
        <w:rPr>
          <w:rFonts w:ascii="Calibri" w:hAnsi="Calibri" w:cs="Calibri"/>
          <w:color w:val="243447"/>
          <w:sz w:val="21"/>
        </w:rPr>
        <w:t>Este bloque se coordina con el flujo de migración WooCommerce → Shopify existente en el repositorio.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CAT-001 — Importar únicamente desde el CSV final validado.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CAT-002 — Conservar la categoría WooCommerce original</w:t>
      </w:r>
      <w:r>
        <w:rPr>
          <w:rFonts w:ascii="Calibri" w:hAnsi="Calibri" w:cs="Calibri"/>
          <w:color w:val="243447"/>
          <w:sz w:val="21"/>
        </w:rPr>
        <w:t xml:space="preserve"> para trazabilidad.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CAT-003 — Verificar por producto:</w:t>
      </w:r>
      <w:r>
        <w:rPr>
          <w:rFonts w:ascii="Calibri" w:hAnsi="Calibri" w:cs="Calibri"/>
          <w:color w:val="243447"/>
          <w:sz w:val="21"/>
        </w:rPr>
        <w:t xml:space="preserve"> título, </w:t>
      </w:r>
      <w:r>
        <w:rPr>
          <w:rFonts w:ascii="Consolas" w:hAnsi="Consolas" w:cs="Consolas"/>
          <w:color w:val="1F4D78"/>
          <w:sz w:val="20"/>
        </w:rPr>
        <w:t>Body (HTML)</w:t>
      </w:r>
      <w:r>
        <w:rPr>
          <w:rFonts w:ascii="Calibri" w:hAnsi="Calibri" w:cs="Calibri"/>
          <w:color w:val="243447"/>
          <w:sz w:val="21"/>
        </w:rPr>
        <w:t>, precio, SKU, vendor, tipo, tags, colecciones, stock, peso y SEO.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CAT-004 — No inventar descripciones ni imágenes.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CAT-005 — Mantener en borrador productos sin precio, imagen o stock disponible.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CAT-006 — Comprobar handles duplicados y SKU vacíos.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CAT-007 — Validar pesos faltantes en productos físicos.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CAT-008 — Verificar imágenes en Shopify CDN y estado de media `READY`.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CAT-009 — Documentar productos con URL de imagen fallida.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CAT-010 — Revisar colecciones automáticas y manuales</w:t>
      </w:r>
      <w:r>
        <w:rPr>
          <w:rFonts w:ascii="Calibri" w:hAnsi="Calibri" w:cs="Calibri"/>
          <w:color w:val="243447"/>
          <w:sz w:val="21"/>
        </w:rPr>
        <w:t xml:space="preserve"> con el plan de colecciones del proyecto.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CAT-011 — Revisar navegación principal, filtros y búsqueda.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CAT-012 — Revisar SEO title, SEO description, URL y contenido duplicado.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CAT-013 — Revisar texto alternativo de imágenes.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CAT-014 — Revisar recomendaciones y productos relacionados</w:t>
      </w:r>
      <w:r>
        <w:rPr>
          <w:rFonts w:ascii="Calibri" w:hAnsi="Calibri" w:cs="Calibri"/>
          <w:color w:val="243447"/>
          <w:sz w:val="21"/>
        </w:rPr>
        <w:t xml:space="preserve"> para evitar asociaciones inadecuadas.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CAT-015 — Ejecutar verificación reproducible y guardar resumen JSON.</w:t>
      </w:r>
    </w:p>
    <w:p>
      <w:r>
        <w:rPr>
          <w:rFonts w:ascii="Calibri" w:hAnsi="Calibri" w:cs="Calibri"/>
          <w:b/>
          <w:color w:val="243447"/>
          <w:sz w:val="21"/>
        </w:rPr>
        <w:t>Criterio de cierre del bloque:</w:t>
      </w:r>
      <w:r>
        <w:rPr>
          <w:rFonts w:ascii="Calibri" w:hAnsi="Calibri" w:cs="Calibri"/>
          <w:color w:val="243447"/>
          <w:sz w:val="21"/>
        </w:rPr>
        <w:t xml:space="preserve"> recuentos coinciden, productos inválidos permanecen en borrador y el muestreo visual/operativo está aprobado.</w:t>
      </w:r>
    </w:p>
    <w:p>
      <w:pPr>
        <w:pStyle w:val="Heading1"/>
        <w:keepNext/>
        <w:keepLines/>
      </w:pPr>
      <w:r>
        <w:rPr>
          <w:rFonts w:ascii="Calibri" w:hAnsi="Calibri" w:cs="Calibri"/>
          <w:color w:val="2E74B5"/>
          <w:sz w:val="32"/>
        </w:rPr>
        <w:t>12. Analítica, privacidad de marketing y canales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ANA-001 — Configurar Google Analytics</w:t>
      </w:r>
      <w:r>
        <w:rPr>
          <w:rFonts w:ascii="Calibri" w:hAnsi="Calibri" w:cs="Calibri"/>
          <w:color w:val="243447"/>
          <w:sz w:val="21"/>
        </w:rPr>
        <w:t xml:space="preserve"> solo con la propiedad correcta.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ANA-002 — Configurar píxeles publicitarios</w:t>
      </w:r>
      <w:r>
        <w:rPr>
          <w:rFonts w:ascii="Calibri" w:hAnsi="Calibri" w:cs="Calibri"/>
          <w:color w:val="243447"/>
          <w:sz w:val="21"/>
        </w:rPr>
        <w:t xml:space="preserve"> mediante integraciones compatibles, sin duplicar eventos.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ANA-003 — Vincular Search Console</w:t>
      </w:r>
      <w:r>
        <w:rPr>
          <w:rFonts w:ascii="Calibri" w:hAnsi="Calibri" w:cs="Calibri"/>
          <w:color w:val="243447"/>
          <w:sz w:val="21"/>
        </w:rPr>
        <w:t xml:space="preserve"> y enviar sitemap tras el lanzamiento.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ANA-004 — Configurar banner y regiones de consentimiento.</w:t>
      </w:r>
      <w:r>
        <w:rPr>
          <w:rFonts w:ascii="Calibri" w:hAnsi="Calibri" w:cs="Calibri"/>
          <w:color w:val="243447"/>
          <w:sz w:val="21"/>
        </w:rPr>
        <w:t xml:space="preserve"> Comprobar que las etiquetas respetan la elección del usuario.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ANA-005 — Definir eventos clave:</w:t>
      </w:r>
      <w:r>
        <w:rPr>
          <w:rFonts w:ascii="Calibri" w:hAnsi="Calibri" w:cs="Calibri"/>
          <w:color w:val="243447"/>
          <w:sz w:val="21"/>
        </w:rPr>
        <w:t xml:space="preserve"> vista de producto, añadir al carrito, iniciar checkout, compra y reembolso.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ANA-006 — Excluir tráfico interno</w:t>
      </w:r>
      <w:r>
        <w:rPr>
          <w:rFonts w:ascii="Calibri" w:hAnsi="Calibri" w:cs="Calibri"/>
          <w:color w:val="243447"/>
          <w:sz w:val="21"/>
        </w:rPr>
        <w:t xml:space="preserve"> cuando sea posible.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ANA-007 — Revisar retención y acceso a datos.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ANA-008 — Evaluar elegibilidad de Google Merchant Center y otros canales</w:t>
      </w:r>
      <w:r>
        <w:rPr>
          <w:rFonts w:ascii="Calibri" w:hAnsi="Calibri" w:cs="Calibri"/>
          <w:color w:val="243447"/>
          <w:sz w:val="21"/>
        </w:rPr>
        <w:t xml:space="preserve"> para productos adultos antes de sincronizar.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ANA-009 — Marcar correctamente productos para adultos</w:t>
      </w:r>
      <w:r>
        <w:rPr>
          <w:rFonts w:ascii="Calibri" w:hAnsi="Calibri" w:cs="Calibri"/>
          <w:color w:val="243447"/>
          <w:sz w:val="21"/>
        </w:rPr>
        <w:t xml:space="preserve"> en feeds que lo exijan y respetar restricciones publicitarias.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ANA-010 — Revisar canal Shop.</w:t>
      </w:r>
      <w:r>
        <w:rPr>
          <w:rFonts w:ascii="Calibri" w:hAnsi="Calibri" w:cs="Calibri"/>
          <w:color w:val="243447"/>
          <w:sz w:val="21"/>
        </w:rPr>
        <w:t xml:space="preserve"> Algunos productos o contenidos maduros pueden no ser elegibles aunque la tienda online funcione.</w:t>
      </w:r>
    </w:p>
    <w:p>
      <w:r>
        <w:rPr>
          <w:rFonts w:ascii="Calibri" w:hAnsi="Calibri" w:cs="Calibri"/>
          <w:b/>
          <w:color w:val="243447"/>
          <w:sz w:val="21"/>
        </w:rPr>
        <w:t>Criterio de cierre del bloque:</w:t>
      </w:r>
      <w:r>
        <w:rPr>
          <w:rFonts w:ascii="Calibri" w:hAnsi="Calibri" w:cs="Calibri"/>
          <w:color w:val="243447"/>
          <w:sz w:val="21"/>
        </w:rPr>
        <w:t xml:space="preserve"> medición sin duplicados, consentimiento probado y ningún canal recibe productos no elegibles.</w:t>
      </w:r>
    </w:p>
    <w:p>
      <w:pPr>
        <w:pStyle w:val="Heading1"/>
        <w:keepNext/>
        <w:keepLines/>
      </w:pPr>
      <w:r>
        <w:rPr>
          <w:rFonts w:ascii="Calibri" w:hAnsi="Calibri" w:cs="Calibri"/>
          <w:color w:val="2E74B5"/>
          <w:sz w:val="32"/>
        </w:rPr>
        <w:t>13. Pruebas de aceptación antes del lanzamiento</w:t>
      </w:r>
    </w:p>
    <w:p>
      <w:r>
        <w:rPr>
          <w:rFonts w:ascii="Calibri" w:hAnsi="Calibri" w:cs="Calibri"/>
          <w:color w:val="243447"/>
          <w:sz w:val="21"/>
        </w:rPr>
        <w:t>Crear una hoja de resultados con fecha, dispositivo, dirección utilizada, pedido y resultado.</w:t>
      </w:r>
    </w:p>
    <w:p>
      <w:pPr>
        <w:pStyle w:val="Heading2"/>
        <w:keepNext/>
        <w:keepLines/>
      </w:pPr>
      <w:r>
        <w:rPr>
          <w:rFonts w:ascii="Calibri" w:hAnsi="Calibri" w:cs="Calibri"/>
          <w:color w:val="2E74B5"/>
          <w:sz w:val="26"/>
        </w:rPr>
        <w:t>13.1 Catálogo y navegación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QA-001 — Buscar productos por título, marca y SKU.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QA-002 — Probar filtros, colecciones, migas de pan y productos relacionados.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QA-003 — Revisar una muestra de productos por marca:</w:t>
      </w:r>
      <w:r>
        <w:rPr>
          <w:rFonts w:ascii="Calibri" w:hAnsi="Calibri" w:cs="Calibri"/>
          <w:color w:val="243447"/>
          <w:sz w:val="21"/>
        </w:rPr>
        <w:t xml:space="preserve"> ORGIE, SVAKOM, TENGA y MISTRESS.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QA-004 — Confirmar imágenes, precio con IVA, stock, variantes y peso.</w:t>
      </w:r>
    </w:p>
    <w:p>
      <w:pPr>
        <w:pStyle w:val="Heading2"/>
        <w:keepNext/>
        <w:keepLines/>
      </w:pPr>
      <w:r>
        <w:rPr>
          <w:rFonts w:ascii="Calibri" w:hAnsi="Calibri" w:cs="Calibri"/>
          <w:color w:val="2E74B5"/>
          <w:sz w:val="26"/>
        </w:rPr>
        <w:t>13.2 Carrito, impuestos y transporte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QA-005 — Pedido España peninsular por debajo del envío gratis.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QA-006 — Pedido España peninsular por encima del envío gratis.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QA-007 — Pedido Baleares.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QA-008 — Dirección de Canarias/Ceuta/Melilla según su estado activo o bloqueado.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QA-009 — Dirección de país no atendido.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QA-010 — Carrito de varios productos y pesos.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QA-011 — Código de descuento y combinación de promociones.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QA-012 — Comparar IVA y total con cálculo esperado.</w:t>
      </w:r>
    </w:p>
    <w:p>
      <w:pPr>
        <w:pStyle w:val="Heading2"/>
        <w:keepNext/>
        <w:keepLines/>
      </w:pPr>
      <w:r>
        <w:rPr>
          <w:rFonts w:ascii="Calibri" w:hAnsi="Calibri" w:cs="Calibri"/>
          <w:color w:val="2E74B5"/>
          <w:sz w:val="26"/>
        </w:rPr>
        <w:t>13.3 Pago y posventa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QA-013 — Pago satisfactorio en móvil.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QA-014 — Pago satisfactorio en escritorio.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QA-015 — Pago rechazado y reintento.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QA-016 — Flujo 3D Secure.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QA-017 — Preparar pedido y añadir seguimiento.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QA-018 — Reembolso parcial.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QA-019 — Reembolso total y cancelación.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QA-020 — Confirmar actualización correcta del inventario.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QA-021 — Revisar todas las notificaciones recibidas.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QA-022 — Confirmar que analítica registra compra una sola vez.</w:t>
      </w:r>
    </w:p>
    <w:p>
      <w:pPr>
        <w:pStyle w:val="Heading2"/>
        <w:keepNext/>
        <w:keepLines/>
      </w:pPr>
      <w:r>
        <w:rPr>
          <w:rFonts w:ascii="Calibri" w:hAnsi="Calibri" w:cs="Calibri"/>
          <w:color w:val="2E74B5"/>
          <w:sz w:val="26"/>
        </w:rPr>
        <w:t>13.4 Calidad técnica y contenido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QA-023 — Revisar móvil, tableta y escritorio.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QA-024 — Revisar enlaces rotos, redirecciones y página 404.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QA-025 — Revisar rendimiento de páginas principales.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QA-026 — Revisar accesibilidad básica:</w:t>
      </w:r>
      <w:r>
        <w:rPr>
          <w:rFonts w:ascii="Calibri" w:hAnsi="Calibri" w:cs="Calibri"/>
          <w:color w:val="243447"/>
          <w:sz w:val="21"/>
        </w:rPr>
        <w:t xml:space="preserve"> teclado, contraste, etiquetas y texto alternativo.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QA-027 — Revisar políticas y contacto desde todas las páginas clave.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QA-028 — Registrar incidencias, responsable y fecha de corrección.</w:t>
      </w:r>
    </w:p>
    <w:p>
      <w:r>
        <w:rPr>
          <w:rFonts w:ascii="Calibri" w:hAnsi="Calibri" w:cs="Calibri"/>
          <w:b/>
          <w:color w:val="243447"/>
          <w:sz w:val="21"/>
        </w:rPr>
        <w:t>Criterio de cierre del bloque:</w:t>
      </w:r>
      <w:r>
        <w:rPr>
          <w:rFonts w:ascii="Calibri" w:hAnsi="Calibri" w:cs="Calibri"/>
          <w:color w:val="243447"/>
          <w:sz w:val="21"/>
        </w:rPr>
        <w:t xml:space="preserve"> cero errores bloqueantes y aprobación formal de pagos, impuestos, transporte, catálogo y legal.</w:t>
      </w:r>
    </w:p>
    <w:p>
      <w:pPr>
        <w:pStyle w:val="Heading1"/>
        <w:keepNext/>
        <w:keepLines/>
      </w:pPr>
      <w:r>
        <w:rPr>
          <w:rFonts w:ascii="Calibri" w:hAnsi="Calibri" w:cs="Calibri"/>
          <w:color w:val="2E74B5"/>
          <w:sz w:val="32"/>
        </w:rPr>
        <w:t>14. Lanzamiento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LCH-001 — Congelar cambios de catálogo y configuración</w:t>
      </w:r>
      <w:r>
        <w:rPr>
          <w:rFonts w:ascii="Calibri" w:hAnsi="Calibri" w:cs="Calibri"/>
          <w:color w:val="243447"/>
          <w:sz w:val="21"/>
        </w:rPr>
        <w:t xml:space="preserve"> durante la ventana de lanzamiento.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LCH-002 — Realizar copia/exportación de configuración y datos disponibles.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LCH-003 — Confirmar dominio principal, SSL y redirecciones.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LCH-004 — Desactivar contraseña de la tienda</w:t>
      </w:r>
      <w:r>
        <w:rPr>
          <w:rFonts w:ascii="Calibri" w:hAnsi="Calibri" w:cs="Calibri"/>
          <w:color w:val="243447"/>
          <w:sz w:val="21"/>
        </w:rPr>
        <w:t xml:space="preserve"> solo con autorización final.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LCH-005 — Activar exclusivamente mercados, pagos y zonas aprobados.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LCH-006 — Confirmar inventario final</w:t>
      </w:r>
      <w:r>
        <w:rPr>
          <w:rFonts w:ascii="Calibri" w:hAnsi="Calibri" w:cs="Calibri"/>
          <w:color w:val="243447"/>
          <w:sz w:val="21"/>
        </w:rPr>
        <w:t xml:space="preserve"> inmediatamente antes de abrir.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LCH-007 — Ejecutar compra real de control</w:t>
      </w:r>
      <w:r>
        <w:rPr>
          <w:rFonts w:ascii="Calibri" w:hAnsi="Calibri" w:cs="Calibri"/>
          <w:color w:val="243447"/>
          <w:sz w:val="21"/>
        </w:rPr>
        <w:t xml:space="preserve"> y validar liquidación.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LCH-008 — Comprobar indexación, sitemap y robots.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LCH-009 — Preparar soporte y protocolo de incidencias</w:t>
      </w:r>
      <w:r>
        <w:rPr>
          <w:rFonts w:ascii="Calibri" w:hAnsi="Calibri" w:cs="Calibri"/>
          <w:color w:val="243447"/>
          <w:sz w:val="21"/>
        </w:rPr>
        <w:t xml:space="preserve"> para las primeras 72 horas.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LCH-010 — Registrar fecha, hora y responsables del lanzamiento.</w:t>
      </w:r>
    </w:p>
    <w:p>
      <w:r>
        <w:rPr>
          <w:rFonts w:ascii="Calibri" w:hAnsi="Calibri" w:cs="Calibri"/>
          <w:b/>
          <w:color w:val="243447"/>
          <w:sz w:val="21"/>
        </w:rPr>
        <w:t>Criterio de cierre del bloque:</w:t>
      </w:r>
      <w:r>
        <w:rPr>
          <w:rFonts w:ascii="Calibri" w:hAnsi="Calibri" w:cs="Calibri"/>
          <w:color w:val="243447"/>
          <w:sz w:val="21"/>
        </w:rPr>
        <w:t xml:space="preserve"> tienda accesible, compra real verificada y equipo preparado para incidencias.</w:t>
      </w:r>
    </w:p>
    <w:p>
      <w:pPr>
        <w:pStyle w:val="Heading1"/>
        <w:keepNext/>
        <w:keepLines/>
      </w:pPr>
      <w:r>
        <w:rPr>
          <w:rFonts w:ascii="Calibri" w:hAnsi="Calibri" w:cs="Calibri"/>
          <w:color w:val="2E74B5"/>
          <w:sz w:val="32"/>
        </w:rPr>
        <w:t>15. Seguimiento posterior al lanzamiento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OPS-001 — Revisar diariamente pedidos, pagos fallidos y fraude</w:t>
      </w:r>
      <w:r>
        <w:rPr>
          <w:rFonts w:ascii="Calibri" w:hAnsi="Calibri" w:cs="Calibri"/>
          <w:color w:val="243447"/>
          <w:sz w:val="21"/>
        </w:rPr>
        <w:t xml:space="preserve"> durante la primera semana.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OPS-002 — Revisar inventario negativo o desajustes</w:t>
      </w:r>
      <w:r>
        <w:rPr>
          <w:rFonts w:ascii="Calibri" w:hAnsi="Calibri" w:cs="Calibri"/>
          <w:color w:val="243447"/>
          <w:sz w:val="21"/>
        </w:rPr>
        <w:t xml:space="preserve"> diariamente durante la primera semana.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OPS-003 — Revisar errores de envío y direcciones sin tarifa.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OPS-004 — Revisar fallos de imágenes y media.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OPS-005 — Revisar contracargos y consultas sobre el descriptor bancario.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OPS-006 — Comparar costes reales de transporte con tarifas cobradas.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OPS-007 — Revisar conversión y abandono de checkout</w:t>
      </w:r>
      <w:r>
        <w:rPr>
          <w:rFonts w:ascii="Calibri" w:hAnsi="Calibri" w:cs="Calibri"/>
          <w:color w:val="243447"/>
          <w:sz w:val="21"/>
        </w:rPr>
        <w:t xml:space="preserve"> después de acumular datos suficientes.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OPS-008 — Conciliar pedidos, pagos, reembolsos e impuestos</w:t>
      </w:r>
      <w:r>
        <w:rPr>
          <w:rFonts w:ascii="Calibri" w:hAnsi="Calibri" w:cs="Calibri"/>
          <w:color w:val="243447"/>
          <w:sz w:val="21"/>
        </w:rPr>
        <w:t xml:space="preserve"> con contabilidad.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OPS-009 — Revisar aplicaciones y costes mensualmente.</w:t>
      </w:r>
    </w:p>
    <w:p>
      <w:pPr>
        <w:spacing w:after="80" w:line="300" w:lineRule="auto"/>
        <w:ind w:left="540" w:hanging="271"/>
      </w:pPr>
      <w:r>
        <w:rPr>
          <w:rFonts w:ascii="Segoe UI Symbol" w:hAnsi="Segoe UI Symbol" w:cs="Segoe UI Symbol"/>
          <w:b/>
          <w:color w:val="1F4D78"/>
          <w:sz w:val="22"/>
        </w:rPr>
        <w:t xml:space="preserve">☐ </w:t>
      </w:r>
      <w:r>
        <w:rPr>
          <w:rFonts w:ascii="Calibri" w:hAnsi="Calibri" w:cs="Calibri"/>
          <w:b/>
          <w:color w:val="243447"/>
          <w:sz w:val="21"/>
        </w:rPr>
        <w:t>OPS-010 — Revisar políticas, mercados e impuestos</w:t>
      </w:r>
      <w:r>
        <w:rPr>
          <w:rFonts w:ascii="Calibri" w:hAnsi="Calibri" w:cs="Calibri"/>
          <w:color w:val="243447"/>
          <w:sz w:val="21"/>
        </w:rPr>
        <w:t xml:space="preserve"> cuando cambie la operación o la normativa.</w:t>
      </w:r>
    </w:p>
    <w:p>
      <w:pPr>
        <w:pStyle w:val="Heading1"/>
        <w:keepNext/>
        <w:keepLines/>
      </w:pPr>
      <w:r>
        <w:rPr>
          <w:rFonts w:ascii="Calibri" w:hAnsi="Calibri" w:cs="Calibri"/>
          <w:color w:val="2E74B5"/>
          <w:sz w:val="32"/>
        </w:rPr>
        <w:t>Puertas de aprobación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8D0DA"/>
          <w:left w:val="single" w:sz="4" w:color="C8D0DA"/>
          <w:bottom w:val="single" w:sz="4" w:color="C8D0DA"/>
          <w:right w:val="single" w:sz="4" w:color="C8D0DA"/>
          <w:insideH w:val="single" w:sz="4" w:color="C8D0DA"/>
          <w:insideV w:val="single" w:sz="4" w:color="C8D0DA"/>
        </w:tblBorders>
      </w:tblPr>
      <w:tblGrid>
        <w:gridCol w:w="1300"/>
        <w:gridCol w:w="2300"/>
        <w:gridCol w:w="1500"/>
        <w:gridCol w:w="1300"/>
        <w:gridCol w:w="2960"/>
      </w:tblGrid>
      <w:tr>
        <w:trPr>
          <w:cantSplit/>
          <w:tblHeader w:val="true"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color w:val="1F4D78"/>
                <w:sz w:val="19"/>
              </w:rPr>
              <w:t>Puerta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color w:val="1F4D78"/>
                <w:sz w:val="19"/>
              </w:rPr>
              <w:t>Condición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color w:val="1F4D78"/>
                <w:sz w:val="19"/>
              </w:rPr>
              <w:t>Aprobación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color w:val="1F4D78"/>
                <w:sz w:val="19"/>
              </w:rPr>
              <w:t>Fecha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color w:val="1F4D78"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Calibri"/>
                <w:color w:val="243447"/>
                <w:sz w:val="18"/>
              </w:rPr>
              <w:t>A — Base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Bloques 0–3 terminados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7A5A00"/>
                <w:sz w:val="18"/>
              </w:rPr>
              <w:t>Pendiente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—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B — Cobro y fiscalidad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Bloques 4–5 aprobados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7A5A00"/>
                <w:sz w:val="18"/>
              </w:rPr>
              <w:t>Pendiente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—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C — Operación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Bloques 6–10 aprobados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7A5A00"/>
                <w:sz w:val="18"/>
              </w:rPr>
              <w:t>Pendiente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—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D — Catálogo y medición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Bloques 11–12 aprobados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7A5A00"/>
                <w:sz w:val="18"/>
              </w:rPr>
              <w:t>Pendiente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—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Calibri"/>
                <w:color w:val="243447"/>
                <w:sz w:val="18"/>
              </w:rPr>
              <w:t>E — Salida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Bloque 13 sin errores bloqueantes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7A5A00"/>
                <w:sz w:val="18"/>
              </w:rPr>
              <w:t>Pendiente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—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F — Lanzamiento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Bloque 14 completado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7A5A00"/>
                <w:sz w:val="18"/>
              </w:rPr>
              <w:t>Pendiente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—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—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rFonts w:ascii="Calibri" w:hAnsi="Calibri" w:cs="Calibri"/>
          <w:color w:val="2E74B5"/>
          <w:sz w:val="32"/>
        </w:rPr>
        <w:t>Registro de decisiones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8D0DA"/>
          <w:left w:val="single" w:sz="4" w:color="C8D0DA"/>
          <w:bottom w:val="single" w:sz="4" w:color="C8D0DA"/>
          <w:right w:val="single" w:sz="4" w:color="C8D0DA"/>
          <w:insideH w:val="single" w:sz="4" w:color="C8D0DA"/>
          <w:insideV w:val="single" w:sz="4" w:color="C8D0DA"/>
        </w:tblBorders>
      </w:tblPr>
      <w:tblGrid>
        <w:gridCol w:w="900"/>
        <w:gridCol w:w="900"/>
        <w:gridCol w:w="2200"/>
        <w:gridCol w:w="1900"/>
        <w:gridCol w:w="1400"/>
        <w:gridCol w:w="2060"/>
      </w:tblGrid>
      <w:tr>
        <w:trPr>
          <w:cantSplit/>
          <w:tblHeader w:val="true"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color w:val="1F4D78"/>
                <w:sz w:val="19"/>
              </w:rPr>
              <w:t>ID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color w:val="1F4D78"/>
                <w:sz w:val="19"/>
              </w:rPr>
              <w:t>Fecha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color w:val="1F4D78"/>
                <w:sz w:val="19"/>
              </w:rPr>
              <w:t>Decisión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color w:val="1F4D78"/>
                <w:sz w:val="19"/>
              </w:rPr>
              <w:t>Motivo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color w:val="1F4D78"/>
                <w:sz w:val="19"/>
              </w:rPr>
              <w:t>Responsable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color w:val="1F4D78"/>
                <w:sz w:val="19"/>
              </w:rPr>
              <w:t>Impacto / seguimiento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Calibri"/>
                <w:color w:val="243447"/>
                <w:sz w:val="18"/>
              </w:rPr>
              <w:t>DEC-001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—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Mercado inicial por definir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Validar logística y fiscalidad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Por asignar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Actualizar MKT y SHP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Calibri"/>
                <w:color w:val="243447"/>
                <w:sz w:val="18"/>
              </w:rPr>
              <w:t>DEC-002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—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Transportista por definir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Faltan tarifas reales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Por asignar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Actualizar SHP-013 a SHP-019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Calibri"/>
                <w:color w:val="243447"/>
                <w:sz w:val="18"/>
              </w:rPr>
              <w:t>DEC-003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—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Proveedor de pagos por confirmar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Revisión de catálogo adulto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Por asignar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Actualizar PAY-001 a PAY-007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Calibri"/>
                <w:color w:val="243447"/>
                <w:sz w:val="18"/>
              </w:rPr>
              <w:t>DEC-004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—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Servicio fiscal por elegir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Shopify Tax frente a manual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Por asignar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8"/>
              </w:rPr>
              <w:t>Actualizar TAX-003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rFonts w:ascii="Calibri" w:hAnsi="Calibri" w:cs="Calibri"/>
          <w:color w:val="2E74B5"/>
          <w:sz w:val="32"/>
        </w:rPr>
        <w:t>Registro de incidencias</w:t>
      </w:r>
    </w:p>
    <w:p>
      <w:pPr>
        <w:spacing w:before="80" w:after="60"/>
      </w:pPr>
      <w:r>
        <w:rPr>
          <w:rFonts w:ascii="Calibri" w:hAnsi="Calibri" w:cs="Calibri"/>
          <w:b/>
          <w:color w:val="1F4D78"/>
          <w:sz w:val="21"/>
        </w:rPr>
        <w:t>INC-001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5DCE5"/>
          <w:left w:val="single" w:sz="4" w:color="D5DCE5"/>
          <w:bottom w:val="single" w:sz="4" w:color="D5DCE5"/>
          <w:right w:val="single" w:sz="4" w:color="D5DCE5"/>
          <w:insideH w:val="single" w:sz="4" w:color="D5DCE5"/>
          <w:insideV w:val="single" w:sz="4" w:color="D5DCE5"/>
        </w:tblBorders>
      </w:tblPr>
      <w:tblGrid>
        <w:gridCol w:w="1450"/>
        <w:gridCol w:w="3230"/>
        <w:gridCol w:w="1450"/>
        <w:gridCol w:w="3230"/>
      </w:tblGrid>
      <w:tr>
        <w:trPr>
          <w:cantSplit/>
        </w:trP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F4D78"/>
                <w:sz w:val="19"/>
              </w:rPr>
              <w:t>Fecha</w:t>
            </w:r>
          </w:p>
        </w:tc>
        <w:tc>
          <w:tcPr>
            <w:tcW w:type="dxa" w:w="32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9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F4D78"/>
                <w:sz w:val="19"/>
              </w:rPr>
              <w:t>Área / pedido</w:t>
            </w:r>
          </w:p>
        </w:tc>
        <w:tc>
          <w:tcPr>
            <w:tcW w:type="dxa" w:w="32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F4D78"/>
                <w:sz w:val="19"/>
              </w:rPr>
              <w:t>Descripción</w:t>
            </w:r>
          </w:p>
        </w:tc>
        <w:tc>
          <w:tcPr>
            <w:tcW w:type="dxa" w:w="32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9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F4D78"/>
                <w:sz w:val="19"/>
              </w:rPr>
              <w:t>Severidad</w:t>
            </w:r>
          </w:p>
        </w:tc>
        <w:tc>
          <w:tcPr>
            <w:tcW w:type="dxa" w:w="32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F4D78"/>
                <w:sz w:val="19"/>
              </w:rPr>
              <w:t>Responsable</w:t>
            </w:r>
          </w:p>
        </w:tc>
        <w:tc>
          <w:tcPr>
            <w:tcW w:type="dxa" w:w="32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9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F4D78"/>
                <w:sz w:val="19"/>
              </w:rPr>
              <w:t>Estado</w:t>
            </w:r>
          </w:p>
        </w:tc>
        <w:tc>
          <w:tcPr>
            <w:tcW w:type="dxa" w:w="32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9"/>
              </w:rPr>
              <w:t>Abierta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F4D78"/>
                <w:sz w:val="19"/>
              </w:rPr>
              <w:t>Resolución</w:t>
            </w:r>
          </w:p>
        </w:tc>
        <w:tc>
          <w:tcPr>
            <w:tcW w:type="dxa" w:w="32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color w:val="243447"/>
                <w:sz w:val="19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/>
        </w:tc>
        <w:tc>
          <w:tcPr>
            <w:tcW w:type="dxa" w:w="32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/>
        </w:tc>
      </w:tr>
    </w:tbl>
    <w:p>
      <w:pPr>
        <w:pStyle w:val="Heading1"/>
        <w:keepNext/>
        <w:keepLines/>
      </w:pPr>
      <w:r>
        <w:rPr>
          <w:rFonts w:ascii="Calibri" w:hAnsi="Calibri" w:cs="Calibri"/>
          <w:color w:val="2E74B5"/>
          <w:sz w:val="32"/>
        </w:rPr>
        <w:t>Datos pendientes para comenzar</w:t>
      </w:r>
    </w:p>
    <w:p>
      <w:pPr>
        <w:numPr>
          <w:ilvl w:val="0"/>
          <w:numId w:val="12"/>
        </w:numPr>
      </w:pPr>
      <w:r>
        <w:rPr>
          <w:rFonts w:ascii="Calibri" w:hAnsi="Calibri" w:cs="Calibri"/>
          <w:color w:val="243447"/>
          <w:sz w:val="21"/>
        </w:rPr>
        <w:t xml:space="preserve">URL </w:t>
      </w:r>
      <w:r>
        <w:rPr>
          <w:rFonts w:ascii="Consolas" w:hAnsi="Consolas" w:cs="Consolas"/>
          <w:color w:val="1F4D78"/>
          <w:sz w:val="20"/>
        </w:rPr>
        <w:t>*.myshopify.com</w:t>
      </w:r>
      <w:r>
        <w:rPr>
          <w:rFonts w:ascii="Calibri" w:hAnsi="Calibri" w:cs="Calibri"/>
          <w:color w:val="243447"/>
          <w:sz w:val="21"/>
        </w:rPr>
        <w:t xml:space="preserve"> o URL de administración.</w:t>
      </w:r>
    </w:p>
    <w:p>
      <w:pPr>
        <w:numPr>
          <w:ilvl w:val="0"/>
          <w:numId w:val="12"/>
        </w:numPr>
      </w:pPr>
      <w:r>
        <w:rPr>
          <w:rFonts w:ascii="Calibri" w:hAnsi="Calibri" w:cs="Calibri"/>
          <w:color w:val="243447"/>
          <w:sz w:val="21"/>
        </w:rPr>
        <w:t>Razón social/autónomo, NIF/CIF y dirección fiscal.</w:t>
      </w:r>
    </w:p>
    <w:p>
      <w:pPr>
        <w:numPr>
          <w:ilvl w:val="0"/>
          <w:numId w:val="12"/>
        </w:numPr>
      </w:pPr>
      <w:r>
        <w:rPr>
          <w:rFonts w:ascii="Calibri" w:hAnsi="Calibri" w:cs="Calibri"/>
          <w:color w:val="243447"/>
          <w:sz w:val="21"/>
        </w:rPr>
        <w:t>Dirección y provincia desde la que salen los pedidos.</w:t>
      </w:r>
    </w:p>
    <w:p>
      <w:pPr>
        <w:numPr>
          <w:ilvl w:val="0"/>
          <w:numId w:val="12"/>
        </w:numPr>
      </w:pPr>
      <w:r>
        <w:rPr>
          <w:rFonts w:ascii="Calibri" w:hAnsi="Calibri" w:cs="Calibri"/>
          <w:color w:val="243447"/>
          <w:sz w:val="21"/>
        </w:rPr>
        <w:t>Transportista y tabla de tarifas contratadas.</w:t>
      </w:r>
    </w:p>
    <w:p>
      <w:pPr>
        <w:numPr>
          <w:ilvl w:val="0"/>
          <w:numId w:val="12"/>
        </w:numPr>
      </w:pPr>
      <w:r>
        <w:rPr>
          <w:rFonts w:ascii="Calibri" w:hAnsi="Calibri" w:cs="Calibri"/>
          <w:color w:val="243447"/>
          <w:sz w:val="21"/>
        </w:rPr>
        <w:t>Destinos de lanzamiento: Península, Baleares, Canarias, Ceuta/Melilla y/o UE.</w:t>
      </w:r>
    </w:p>
    <w:p>
      <w:pPr>
        <w:numPr>
          <w:ilvl w:val="0"/>
          <w:numId w:val="12"/>
        </w:numPr>
      </w:pPr>
      <w:r>
        <w:rPr>
          <w:rFonts w:ascii="Calibri" w:hAnsi="Calibri" w:cs="Calibri"/>
          <w:color w:val="243447"/>
          <w:sz w:val="21"/>
        </w:rPr>
        <w:t>Umbral comercial deseado para envío gratuito o datos para calcularlo.</w:t>
      </w:r>
    </w:p>
    <w:p>
      <w:pPr>
        <w:numPr>
          <w:ilvl w:val="0"/>
          <w:numId w:val="12"/>
        </w:numPr>
      </w:pPr>
      <w:r>
        <w:rPr>
          <w:rFonts w:ascii="Calibri" w:hAnsi="Calibri" w:cs="Calibri"/>
          <w:color w:val="243447"/>
          <w:sz w:val="21"/>
        </w:rPr>
        <w:t>Confirmación de la gestoría sobre IVA, OSS y territorios especiales.</w:t>
      </w:r>
    </w:p>
    <w:p>
      <w:pPr>
        <w:numPr>
          <w:ilvl w:val="0"/>
          <w:numId w:val="12"/>
        </w:numPr>
      </w:pPr>
      <w:r>
        <w:rPr>
          <w:rFonts w:ascii="Calibri" w:hAnsi="Calibri" w:cs="Calibri"/>
          <w:color w:val="243447"/>
          <w:sz w:val="21"/>
        </w:rPr>
        <w:t>Estado de Shopify Payments, PayPal y cualquier proveedor alternativo.</w:t>
      </w:r>
    </w:p>
    <w:p>
      <w:pPr>
        <w:numPr>
          <w:ilvl w:val="0"/>
          <w:numId w:val="12"/>
        </w:numPr>
      </w:pPr>
      <w:r>
        <w:rPr>
          <w:rFonts w:ascii="Calibri" w:hAnsi="Calibri" w:cs="Calibri"/>
          <w:color w:val="243447"/>
          <w:sz w:val="21"/>
        </w:rPr>
        <w:t>Plazo real de preparación de pedidos.</w:t>
      </w:r>
    </w:p>
    <w:p>
      <w:pPr>
        <w:numPr>
          <w:ilvl w:val="0"/>
          <w:numId w:val="12"/>
        </w:numPr>
      </w:pPr>
      <w:r>
        <w:rPr>
          <w:rFonts w:ascii="Calibri" w:hAnsi="Calibri" w:cs="Calibri"/>
          <w:color w:val="243447"/>
          <w:sz w:val="21"/>
        </w:rPr>
        <w:t>Política de devoluciones aprobada o borrador actual.</w:t>
      </w:r>
    </w:p>
    <w:p>
      <w:pPr>
        <w:pStyle w:val="Heading1"/>
        <w:keepNext/>
        <w:keepLines/>
      </w:pPr>
      <w:r>
        <w:rPr>
          <w:rFonts w:ascii="Calibri" w:hAnsi="Calibri" w:cs="Calibri"/>
          <w:color w:val="2E74B5"/>
          <w:sz w:val="32"/>
        </w:rPr>
        <w:t>Fuentes de referencia</w:t>
      </w:r>
    </w:p>
    <w:p>
      <w:pPr>
        <w:numPr>
          <w:ilvl w:val="0"/>
          <w:numId w:val="10"/>
        </w:numPr>
      </w:pPr>
      <w:r>
        <w:rPr>
          <w:rFonts w:ascii="Calibri" w:hAnsi="Calibri" w:cs="Calibri"/>
          <w:color w:val="243447"/>
          <w:sz w:val="21"/>
        </w:rPr>
        <w:t xml:space="preserve">Shopify, configuración de monedas para mercados: </w:t>
      </w:r>
      <w:hyperlink r:id="rId11">
        <w:r>
          <w:rPr>
            <w:rFonts w:ascii="Calibri" w:hAnsi="Calibri"/>
            <w:color w:val="2E74B5"/>
            <w:u w:val="single"/>
          </w:rPr>
          <w:t>https://help.shopify.com/es/manual/markets/customizations/local-currencies</w:t>
        </w:r>
      </w:hyperlink>
    </w:p>
    <w:p>
      <w:pPr>
        <w:numPr>
          <w:ilvl w:val="0"/>
          <w:numId w:val="10"/>
        </w:numPr>
      </w:pPr>
      <w:r>
        <w:rPr>
          <w:rFonts w:ascii="Calibri" w:hAnsi="Calibri" w:cs="Calibri"/>
          <w:color w:val="243447"/>
          <w:sz w:val="21"/>
        </w:rPr>
        <w:t xml:space="preserve">Shopify, impuestos de la Unión Europea: </w:t>
      </w:r>
      <w:hyperlink r:id="rId12">
        <w:r>
          <w:rPr>
            <w:rFonts w:ascii="Calibri" w:hAnsi="Calibri"/>
            <w:color w:val="2E74B5"/>
            <w:u w:val="single"/>
          </w:rPr>
          <w:t>https://help.shopify.com/en/manual/taxes/eu</w:t>
        </w:r>
      </w:hyperlink>
    </w:p>
    <w:p>
      <w:pPr>
        <w:numPr>
          <w:ilvl w:val="0"/>
          <w:numId w:val="10"/>
        </w:numPr>
      </w:pPr>
      <w:r>
        <w:rPr>
          <w:rFonts w:ascii="Calibri" w:hAnsi="Calibri" w:cs="Calibri"/>
          <w:color w:val="243447"/>
          <w:sz w:val="21"/>
        </w:rPr>
        <w:t xml:space="preserve">Shopify, funciones de Shopify Tax para UE y Reino Unido: </w:t>
      </w:r>
      <w:hyperlink r:id="rId13">
        <w:r>
          <w:rPr>
            <w:rFonts w:ascii="Calibri" w:hAnsi="Calibri"/>
            <w:color w:val="2E74B5"/>
            <w:u w:val="single"/>
          </w:rPr>
          <w:t>https://help.shopify.com/es/manual/taxes/shopify-tax/shopify-tax-eu</w:t>
        </w:r>
      </w:hyperlink>
    </w:p>
    <w:p>
      <w:pPr>
        <w:numPr>
          <w:ilvl w:val="0"/>
          <w:numId w:val="10"/>
        </w:numPr>
      </w:pPr>
      <w:r>
        <w:rPr>
          <w:rFonts w:ascii="Calibri" w:hAnsi="Calibri" w:cs="Calibri"/>
          <w:color w:val="243447"/>
          <w:sz w:val="21"/>
        </w:rPr>
        <w:t xml:space="preserve">Shopify, zonas y tarifas de envío: </w:t>
      </w:r>
      <w:hyperlink r:id="rId14">
        <w:r>
          <w:rPr>
            <w:rFonts w:ascii="Calibri" w:hAnsi="Calibri"/>
            <w:color w:val="2E74B5"/>
            <w:u w:val="single"/>
          </w:rPr>
          <w:t>https://help.shopify.com/es/manual/fulfillment/setup/shipping-rates/setting-up-shipping-rates</w:t>
        </w:r>
      </w:hyperlink>
    </w:p>
    <w:p>
      <w:pPr>
        <w:numPr>
          <w:ilvl w:val="0"/>
          <w:numId w:val="10"/>
        </w:numPr>
      </w:pPr>
      <w:r>
        <w:rPr>
          <w:rFonts w:ascii="Calibri" w:hAnsi="Calibri" w:cs="Calibri"/>
          <w:color w:val="243447"/>
          <w:sz w:val="21"/>
        </w:rPr>
        <w:t xml:space="preserve">Shopify, Shopify Payments en España: </w:t>
      </w:r>
      <w:hyperlink r:id="rId15">
        <w:r>
          <w:rPr>
            <w:rFonts w:ascii="Calibri" w:hAnsi="Calibri"/>
            <w:color w:val="2E74B5"/>
            <w:u w:val="single"/>
          </w:rPr>
          <w:t>https://help.shopify.com/es/manual/payments/shopify-payments/supported-countries/spain</w:t>
        </w:r>
      </w:hyperlink>
    </w:p>
    <w:p>
      <w:pPr>
        <w:numPr>
          <w:ilvl w:val="0"/>
          <w:numId w:val="10"/>
        </w:numPr>
      </w:pPr>
      <w:r>
        <w:rPr>
          <w:rFonts w:ascii="Calibri" w:hAnsi="Calibri" w:cs="Calibri"/>
          <w:color w:val="243447"/>
          <w:sz w:val="21"/>
        </w:rPr>
        <w:t xml:space="preserve">Shopify, requisitos bancarios de Shopify Payments en España: </w:t>
      </w:r>
      <w:hyperlink r:id="rId16">
        <w:r>
          <w:rPr>
            <w:rFonts w:ascii="Calibri" w:hAnsi="Calibri"/>
            <w:color w:val="2E74B5"/>
            <w:u w:val="single"/>
          </w:rPr>
          <w:t>https://help.shopify.com/es/manual/payments/shopify-payments/supported-countries/spain/requirements</w:t>
        </w:r>
      </w:hyperlink>
    </w:p>
    <w:p>
      <w:pPr>
        <w:numPr>
          <w:ilvl w:val="0"/>
          <w:numId w:val="10"/>
        </w:numPr>
      </w:pPr>
      <w:r>
        <w:rPr>
          <w:rFonts w:ascii="Calibri" w:hAnsi="Calibri" w:cs="Calibri"/>
          <w:color w:val="243447"/>
          <w:sz w:val="21"/>
        </w:rPr>
        <w:t xml:space="preserve">Shopify, elegibilidad de Shopify Payments: </w:t>
      </w:r>
      <w:hyperlink r:id="rId17">
        <w:r>
          <w:rPr>
            <w:rFonts w:ascii="Calibri" w:hAnsi="Calibri"/>
            <w:color w:val="2E74B5"/>
            <w:u w:val="single"/>
          </w:rPr>
          <w:t>https://help.shopify.com/es/manual/payments/shopify-payments/onboarding/eligibility</w:t>
        </w:r>
      </w:hyperlink>
    </w:p>
    <w:p>
      <w:pPr>
        <w:numPr>
          <w:ilvl w:val="0"/>
          <w:numId w:val="10"/>
        </w:numPr>
      </w:pPr>
      <w:r>
        <w:rPr>
          <w:rFonts w:ascii="Calibri" w:hAnsi="Calibri" w:cs="Calibri"/>
          <w:color w:val="243447"/>
          <w:sz w:val="21"/>
        </w:rPr>
        <w:t xml:space="preserve">Shopify, guía para vender juguetes sexuales: </w:t>
      </w:r>
      <w:hyperlink r:id="rId18">
        <w:r>
          <w:rPr>
            <w:rFonts w:ascii="Calibri" w:hAnsi="Calibri"/>
            <w:color w:val="2E74B5"/>
            <w:u w:val="single"/>
          </w:rPr>
          <w:t>https://www.shopify.com/blog/sell-sex-toys</w:t>
        </w:r>
      </w:hyperlink>
    </w:p>
    <w:p>
      <w:pPr>
        <w:numPr>
          <w:ilvl w:val="0"/>
          <w:numId w:val="10"/>
        </w:numPr>
      </w:pPr>
      <w:r>
        <w:rPr>
          <w:rFonts w:ascii="Calibri" w:hAnsi="Calibri" w:cs="Calibri"/>
          <w:color w:val="243447"/>
          <w:sz w:val="21"/>
        </w:rPr>
        <w:t xml:space="preserve">Agencia Tributaria, tipos de IVA: </w:t>
      </w:r>
      <w:hyperlink r:id="rId19">
        <w:r>
          <w:rPr>
            <w:rFonts w:ascii="Calibri" w:hAnsi="Calibri"/>
            <w:color w:val="2E74B5"/>
            <w:u w:val="single"/>
          </w:rPr>
          <w:t>https://sede.agenciatributaria.gob.es/Sede/ayuda/manuales-videos-folletos/manuales-practicos/manual-iva-2025/capitulo-04-sujetos-pasivos-repercusion-impositivo/tipo-impositivo.html</w:t>
        </w:r>
      </w:hyperlink>
    </w:p>
    <w:p>
      <w:pPr>
        <w:numPr>
          <w:ilvl w:val="0"/>
          <w:numId w:val="10"/>
        </w:numPr>
      </w:pPr>
      <w:r>
        <w:rPr>
          <w:rFonts w:ascii="Calibri" w:hAnsi="Calibri" w:cs="Calibri"/>
          <w:color w:val="243447"/>
          <w:sz w:val="21"/>
        </w:rPr>
        <w:t xml:space="preserve">Agencia Tributaria, ventas a particulares de otros Estados miembros: </w:t>
      </w:r>
      <w:hyperlink r:id="rId20">
        <w:r>
          <w:rPr>
            <w:rFonts w:ascii="Calibri" w:hAnsi="Calibri"/>
            <w:color w:val="2E74B5"/>
            <w:u w:val="single"/>
          </w:rPr>
          <w:t>https://sede.agenciatributaria.gob.es/Sede/iva/iva-operaciones-comercio-exterior/ventas-particulares-otros-estados-miembros-ue.html</w:t>
        </w:r>
      </w:hyperlink>
    </w:p>
    <w:p>
      <w:r>
        <w:rPr>
          <w:rFonts w:ascii="Calibri" w:hAnsi="Calibri" w:cs="Calibri"/>
          <w:b/>
          <w:color w:val="243447"/>
          <w:sz w:val="21"/>
        </w:rPr>
        <w:t>Próximo paso recomendado:</w:t>
      </w:r>
      <w:r>
        <w:rPr>
          <w:rFonts w:ascii="Calibri" w:hAnsi="Calibri" w:cs="Calibri"/>
          <w:color w:val="243447"/>
          <w:sz w:val="21"/>
        </w:rPr>
        <w:t xml:space="preserve"> completar el bloque 0. Con esas decisiones se podrán establecer valores reales en Shopify sin rehacer después impuestos, mercados o tarifas de envío.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cs="Calibri"/>
        <w:color w:val="667085"/>
        <w:sz w:val="18"/>
      </w:rPr>
      <w:t xml:space="preserve">Página </w:t>
    </w:r>
    <w:r>
      <w:rPr>
        <w:rFonts w:ascii="Calibri" w:hAnsi="Calibri"/>
        <w:sz w:val="18"/>
        <w:color w:val="667085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7085"/>
        <w:sz w:val="17"/>
      </w:rPr>
      <w:t>LOVLORY  |  PLAN DE CONFIGURACIÓN SHOPIFY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/>
      </w:rPr>
    </w:lvl>
    <w:lvl w:ilvl="2">
      <w:start w:val="1"/>
      <w:numFmt w:val="bullet"/>
      <w:lvlText w:val="–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1">
    <w:abstractNumId w:val="10"/>
  </w:num>
  <w:abstractNum w:abstractNumId="11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elp.shopify.com/es/manual/markets/customizations/local-currencies" TargetMode="External"/><Relationship Id="rId12" Type="http://schemas.openxmlformats.org/officeDocument/2006/relationships/hyperlink" Target="https://help.shopify.com/en/manual/taxes/eu" TargetMode="External"/><Relationship Id="rId13" Type="http://schemas.openxmlformats.org/officeDocument/2006/relationships/hyperlink" Target="https://help.shopify.com/es/manual/taxes/shopify-tax/shopify-tax-eu" TargetMode="External"/><Relationship Id="rId14" Type="http://schemas.openxmlformats.org/officeDocument/2006/relationships/hyperlink" Target="https://help.shopify.com/es/manual/fulfillment/setup/shipping-rates/setting-up-shipping-rates" TargetMode="External"/><Relationship Id="rId15" Type="http://schemas.openxmlformats.org/officeDocument/2006/relationships/hyperlink" Target="https://help.shopify.com/es/manual/payments/shopify-payments/supported-countries/spain" TargetMode="External"/><Relationship Id="rId16" Type="http://schemas.openxmlformats.org/officeDocument/2006/relationships/hyperlink" Target="https://help.shopify.com/es/manual/payments/shopify-payments/supported-countries/spain/requirements" TargetMode="External"/><Relationship Id="rId17" Type="http://schemas.openxmlformats.org/officeDocument/2006/relationships/hyperlink" Target="https://help.shopify.com/es/manual/payments/shopify-payments/onboarding/eligibility" TargetMode="External"/><Relationship Id="rId18" Type="http://schemas.openxmlformats.org/officeDocument/2006/relationships/hyperlink" Target="https://www.shopify.com/blog/sell-sex-toys" TargetMode="External"/><Relationship Id="rId19" Type="http://schemas.openxmlformats.org/officeDocument/2006/relationships/hyperlink" Target="https://sede.agenciatributaria.gob.es/Sede/ayuda/manuales-videos-folletos/manuales-practicos/manual-iva-2025/capitulo-04-sujetos-pasivos-repercusion-impositivo/tipo-impositivo.html" TargetMode="External"/><Relationship Id="rId20" Type="http://schemas.openxmlformats.org/officeDocument/2006/relationships/hyperlink" Target="https://sede.agenciatributaria.gob.es/Sede/iva/iva-operaciones-comercio-exterior/ventas-particulares-otros-estados-miembros-u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maestro de configuración Shopify — LovLory</dc:title>
  <dc:subject>Lista de control operativa para configurar y lanzar Shopify</dc:subject>
  <dc:creator>LovLory</dc:creator>
  <cp:keywords>Shopify, LovLory, configuración, impuestos, pagos, transporte, lanzamiento</cp:keywords>
  <dc:description>Documento operativo generado a partir del plan de migración LovLory.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