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keepLines w:val="true"/>
      </w:pPr>
      <w:r>
        <w:rPr>
          <w:rFonts w:ascii="Arial" w:hAnsi="Arial" w:eastAsia="Arial"/>
          <w:b/>
          <w:color w:val="2E74B5"/>
          <w:sz w:val="20"/>
        </w:rPr>
        <w:t>TECHNICAL DECISION MEMO</w:t>
      </w:r>
    </w:p>
    <w:p>
      <w:pPr>
        <w:pStyle w:val="Title"/>
        <w:keepLines w:val="true"/>
      </w:pPr>
      <w:r>
        <w:t>TaxTrack Confidence-Scored Extraction and Focused Re-read Workflow</w:t>
      </w:r>
    </w:p>
    <w:p>
      <w:pPr>
        <w:pStyle w:val="Subtitle"/>
        <w:keepLines w:val="true"/>
      </w:pPr>
      <w:r>
        <w:t>Feasibility analysis, corrected decision logic, and implementation recommendation</w:t>
      </w:r>
    </w:p>
    <w:p>
      <w:pPr>
        <w:spacing w:after="40" w:line="240" w:lineRule="auto"/>
        <w:keepLines w:val="true"/>
      </w:pPr>
      <w:r>
        <w:rPr>
          <w:rFonts w:ascii="Arial" w:hAnsi="Arial" w:eastAsia="Arial"/>
          <w:b/>
          <w:color w:val="17365D"/>
          <w:sz w:val="21"/>
        </w:rPr>
        <w:t xml:space="preserve">Decision: </w:t>
      </w:r>
      <w:r>
        <w:rPr>
          <w:rFonts w:ascii="Arial" w:hAnsi="Arial" w:eastAsia="Arial"/>
          <w:color w:val="202124"/>
          <w:sz w:val="21"/>
        </w:rPr>
        <w:t>Proceed to a controlled pilot after redesigning the confidence gates</w:t>
      </w:r>
    </w:p>
    <w:p>
      <w:pPr>
        <w:spacing w:after="40" w:line="240" w:lineRule="auto"/>
        <w:keepLines w:val="true"/>
      </w:pPr>
      <w:r>
        <w:rPr>
          <w:rFonts w:ascii="Arial" w:hAnsi="Arial" w:eastAsia="Arial"/>
          <w:b/>
          <w:color w:val="17365D"/>
          <w:sz w:val="21"/>
        </w:rPr>
        <w:t xml:space="preserve">Scope: </w:t>
      </w:r>
      <w:r>
        <w:rPr>
          <w:rFonts w:ascii="Arial" w:hAnsi="Arial" w:eastAsia="Arial"/>
          <w:color w:val="202124"/>
          <w:sz w:val="21"/>
        </w:rPr>
        <w:t>Gemini field extraction, TIN/Name masterfile validation, rescue, and review</w:t>
      </w:r>
    </w:p>
    <w:p>
      <w:pPr>
        <w:spacing w:after="40" w:line="240" w:lineRule="auto"/>
        <w:keepLines w:val="true"/>
      </w:pPr>
      <w:r>
        <w:rPr>
          <w:rFonts w:ascii="Arial" w:hAnsi="Arial" w:eastAsia="Arial"/>
          <w:b/>
          <w:color w:val="17365D"/>
          <w:sz w:val="21"/>
        </w:rPr>
        <w:t xml:space="preserve">Date: </w:t>
      </w:r>
      <w:r>
        <w:rPr>
          <w:rFonts w:ascii="Arial" w:hAnsi="Arial" w:eastAsia="Arial"/>
          <w:color w:val="202124"/>
          <w:sz w:val="21"/>
        </w:rPr>
        <w:t>30 July 2026</w:t>
      </w:r>
    </w:p>
    <w:p>
      <w:pPr>
        <w:spacing w:after="40" w:line="240" w:lineRule="auto"/>
        <w:keepLines w:val="true"/>
      </w:pPr>
      <w:r>
        <w:rPr>
          <w:rFonts w:ascii="Arial" w:hAnsi="Arial" w:eastAsia="Arial"/>
          <w:b/>
          <w:color w:val="17365D"/>
          <w:sz w:val="21"/>
        </w:rPr>
        <w:t xml:space="preserve">Status: </w:t>
      </w:r>
      <w:r>
        <w:rPr>
          <w:rFonts w:ascii="Arial" w:hAnsi="Arial" w:eastAsia="Arial"/>
          <w:color w:val="202124"/>
          <w:sz w:val="21"/>
        </w:rPr>
        <w:t>GO for prototype and shadow mode; NO-GO for production automation as currently drawn</w:t>
      </w:r>
    </w:p>
    <w:p>
      <w:pPr>
        <w:pStyle w:val="Heading1"/>
        <w:keepNext w:val="true"/>
        <w:keepLines w:val="true"/>
      </w:pPr>
      <w:r>
        <w:t>Executive decision</w:t>
      </w:r>
    </w:p>
    <w:p>
      <w:pPr>
        <w:spacing w:before="100" w:after="200" w:line="264" w:lineRule="auto"/>
        <w:ind w:left="173" w:right="115"/>
        <w:shd w:fill="E8F5E9" w:val="clear"/>
        <w:pBdr>
          <w:left w:val="single" w:sz="18" w:space="10" w:color="1B5E20"/>
        </w:pBdr>
        <w:keepLines w:val="true"/>
      </w:pPr>
      <w:r>
        <w:rPr>
          <w:rFonts w:ascii="Arial" w:hAnsi="Arial" w:eastAsia="Arial"/>
          <w:b/>
          <w:color w:val="1B5E20"/>
          <w:sz w:val="22"/>
        </w:rPr>
        <w:t xml:space="preserve">VERDICT: </w:t>
      </w:r>
      <w:r>
        <w:rPr>
          <w:rFonts w:ascii="Arial" w:hAnsi="Arial" w:eastAsia="Arial"/>
          <w:color w:val="202124"/>
          <w:sz w:val="22"/>
        </w:rPr>
        <w:t>The workflow is technically feasible and fits the direction of the existing TaxTrack architecture. It is not safe to deploy exactly as shown. The 95% extraction threshold must be a hard gate, confidence must be calibrated against labeled forms, and masterfile outcomes must remain separate from extraction certainty.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narrative's core policy is sound: do not call a TIN or Name mismatch a legitimate form error until the system is sufficiently certain that it read the form correctly. The focused re-read and human-review branches are practical safeguards.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Use three independent layers:</w:t>
      </w:r>
      <w:r>
        <w:rPr>
          <w:rFonts w:ascii="Arial" w:hAnsi="Arial" w:eastAsia="Arial"/>
          <w:color w:val="202124"/>
          <w:sz w:val="22"/>
        </w:rPr>
        <w:t xml:space="preserve"> read confidence, reference comparison, and final business disposition.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Apply &gt;= 95 as a non-compensable gate.</w:t>
      </w:r>
      <w:r>
        <w:rPr>
          <w:rFonts w:ascii="Arial" w:hAnsi="Arial" w:eastAsia="Arial"/>
          <w:color w:val="202124"/>
          <w:sz w:val="22"/>
        </w:rPr>
        <w:t xml:space="preserve"> A strong masterfile signal must never offset an uncertain read.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Treat Gemini-provided confidence as a raw signal,</w:t>
      </w:r>
      <w:r>
        <w:rPr>
          <w:rFonts w:ascii="Arial" w:hAnsi="Arial" w:eastAsia="Arial"/>
          <w:color w:val="202124"/>
          <w:sz w:val="22"/>
        </w:rPr>
        <w:t xml:space="preserve"> not a verified probability, until it has been calibrated on TaxTrack's labeled BIR 2307 data.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Reuse the current structured-output, crop-based signer verification, masterlist lookup, audit, and override foundations; add field-level attempts, explicit review states, and masterfile ambiguity handling.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1. Intended business rule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requested behavior can be stated as a field-level decision policy. Every extracted field receives a read-confidence score and source evidence. Only TIN and Name fields are compared with the masterfile. A masterfile comparison may be calculated early for diagnostics, but it must remain provisional until the read-confidence gate is satisfied.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First read.</w:t>
      </w:r>
      <w:r>
        <w:rPr>
          <w:rFonts w:ascii="Arial" w:hAnsi="Arial" w:eastAsia="Arial"/>
          <w:color w:val="202124"/>
          <w:sz w:val="22"/>
        </w:rPr>
        <w:t xml:space="preserve"> Extract the field value, its location/evidence, and a raw confidence signal.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High confidence (C1 &gt;= 95).</w:t>
      </w:r>
      <w:r>
        <w:rPr>
          <w:rFonts w:ascii="Arial" w:hAnsi="Arial" w:eastAsia="Arial"/>
          <w:color w:val="202124"/>
          <w:sz w:val="22"/>
        </w:rPr>
        <w:t xml:space="preserve"> Accept the transcription as trusted, subject to deterministic format and cross-field validation.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Medium confidence (80 &lt;= C1 &lt; 95).</w:t>
      </w:r>
      <w:r>
        <w:rPr>
          <w:rFonts w:ascii="Arial" w:hAnsi="Arial" w:eastAsia="Arial"/>
          <w:color w:val="202124"/>
          <w:sz w:val="22"/>
        </w:rPr>
        <w:t xml:space="preserve"> Re-read only the uncertain field with a focused prompt and cropped source region.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Low confidence (C1 &lt; 80).</w:t>
      </w:r>
      <w:r>
        <w:rPr>
          <w:rFonts w:ascii="Arial" w:hAnsi="Arial" w:eastAsia="Arial"/>
          <w:color w:val="202124"/>
          <w:sz w:val="22"/>
        </w:rPr>
        <w:t xml:space="preserve"> Route immediately to review. Do not emit a final match or mismatch.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Second read.</w:t>
      </w:r>
      <w:r>
        <w:rPr>
          <w:rFonts w:ascii="Arial" w:hAnsi="Arial" w:eastAsia="Arial"/>
          <w:color w:val="202124"/>
          <w:sz w:val="22"/>
        </w:rPr>
        <w:t xml:space="preserve"> If C2 &gt;= 95, continue using the rescued value. If C2 &lt; 95, label the extraction unresolved (the business-facing label may be 'AI can't read') and route it to human review.</w:t>
      </w:r>
    </w:p>
    <w:p>
      <w:pPr>
        <w:numPr>
          <w:ilvl w:val="0"/>
          <w:numId w:val="11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Reference decision.</w:t>
      </w:r>
      <w:r>
        <w:rPr>
          <w:rFonts w:ascii="Arial" w:hAnsi="Arial" w:eastAsia="Arial"/>
          <w:color w:val="202124"/>
          <w:sz w:val="22"/>
        </w:rPr>
        <w:t xml:space="preserve"> For a trusted TIN or Name, compare the normalized value to an available, unambiguous masterfile result. Match becomes VERIFIED_MATCH; non-match becomes CONFIRMED_MISMATCH.</w:t>
      </w:r>
    </w:p>
    <w:p>
      <w:pPr>
        <w:pStyle w:val="Heading1"/>
        <w:keepNext w:val="true"/>
        <w:keepLines w:val="true"/>
      </w:pPr>
      <w:r>
        <w:t>2. Feasibility verdict by capability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700"/>
        <w:gridCol w:w="1200"/>
        <w:gridCol w:w="3050"/>
        <w:gridCol w:w="341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Capability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Verdict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Current fit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Required change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Schema-constrained extraction</w:t>
            </w:r>
          </w:p>
        </w:tc>
        <w:tc>
          <w:tcPr>
            <w:tcW w:type="dxa" w:w="1200"/>
            <w:shd w:fill="E8F5E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1B5E20"/>
                <w:sz w:val="17"/>
              </w:rPr>
              <w:t>Feasible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The Gemini client already requests strict JSON structured output.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Extend from group-level confidence to per-field attempts and evidence.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Field-level confidence</w:t>
            </w:r>
          </w:p>
        </w:tc>
        <w:tc>
          <w:tcPr>
            <w:tcW w:type="dxa" w:w="1200"/>
            <w:shd w:fill="FFF7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7A5A00"/>
                <w:sz w:val="17"/>
              </w:rPr>
              <w:t>Conditional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The contract stores confidence for period, payee, payor, tax rows, and signer groups.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Create a calibrated per-field score; do not rely on self-reported confidence alone.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Focused re-read</w:t>
            </w:r>
          </w:p>
        </w:tc>
        <w:tc>
          <w:tcPr>
            <w:tcW w:type="dxa" w:w="1200"/>
            <w:shd w:fill="E8F5E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1B5E20"/>
                <w:sz w:val="17"/>
              </w:rPr>
              <w:t>Feasible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 crop-based payor-signer verification flow already demonstrates the pattern.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Generalize cropping, prompts, attempt persistence, and one-rescue limits.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TIN/Name reference check</w:t>
            </w:r>
          </w:p>
        </w:tc>
        <w:tc>
          <w:tcPr>
            <w:tcW w:type="dxa" w:w="1200"/>
            <w:shd w:fill="E8F5E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1B5E20"/>
                <w:sz w:val="17"/>
              </w:rPr>
              <w:t>Feasible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Masterlist lookup and normalization already exist.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Add exact/ambiguous/unavailable states and stronger name-match rules.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Automated final labeling</w:t>
            </w:r>
          </w:p>
        </w:tc>
        <w:tc>
          <w:tcPr>
            <w:tcW w:type="dxa" w:w="120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Not safe as drawn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Current validation can turn masterlist misses directly into errors.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Insert a hard read-confidence gate and richer field dispositions.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Human review and learning</w:t>
            </w:r>
          </w:p>
        </w:tc>
        <w:tc>
          <w:tcPr>
            <w:tcW w:type="dxa" w:w="1200"/>
            <w:shd w:fill="FFF7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7A5A00"/>
                <w:sz w:val="17"/>
              </w:rPr>
              <w:t>Partial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Overrides and audit foundations exist, but the diagram's queue/case loop is not a complete field workflow.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Add review cases, evidence display, reviewer outcomes, and calibration feedback.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 w:val="true"/>
        <w:keepLines w:val="true"/>
      </w:pPr>
      <w:r>
        <w:t>3. Corrections required before implementation</w:t>
      </w:r>
    </w:p>
    <w:p>
      <w:pPr>
        <w:pStyle w:val="Heading2"/>
        <w:keepNext w:val="true"/>
        <w:keepLines w:val="true"/>
      </w:pPr>
      <w:r>
        <w:t>3.1 Make 95 a hard gate, not a weighted outcome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diagram calculates separate weighted Match Confidence and Mismatch Confidence scores. Those formulas can cross 95 even when the field read is below 95, directly contradicting the narrative.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300"/>
        <w:gridCol w:w="1950"/>
        <w:gridCol w:w="1300"/>
        <w:gridCol w:w="381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Diagram formula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Example inputs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Composite result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Why it fails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Match: 45% read + 35% comparison + 15% masterfile + 5% consistency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Read 90; all other inputs 100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95.5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It would auto-accept a masterfile match even though the read is below the required 95.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Mismatch: 55% read + 30% comparison + 10% masterfile + 5% contradiction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Read 91; all other inputs 100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95.05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It would auto-confirm a mismatch even though the read is below the required 95.</w:t>
            </w:r>
          </w:p>
        </w:tc>
      </w:tr>
    </w:tbl>
    <w:p>
      <w:pPr>
        <w:spacing w:after="20"/>
      </w:pPr>
    </w:p>
    <w:p>
      <w:pPr>
        <w:spacing w:before="100" w:after="200" w:line="264" w:lineRule="auto"/>
        <w:ind w:left="173" w:right="115"/>
        <w:shd w:fill="FCE8E6" w:val="clear"/>
        <w:pBdr>
          <w:left w:val="single" w:sz="18" w:space="10" w:color="9B1C1C"/>
        </w:pBdr>
        <w:keepLines w:val="true"/>
      </w:pPr>
      <w:r>
        <w:rPr>
          <w:rFonts w:ascii="Arial" w:hAnsi="Arial" w:eastAsia="Arial"/>
          <w:b/>
          <w:color w:val="9B1C1C"/>
          <w:sz w:val="22"/>
        </w:rPr>
        <w:t xml:space="preserve">RECOMMENDED RULE: </w:t>
      </w:r>
      <w:r>
        <w:rPr>
          <w:rFonts w:ascii="Arial" w:hAnsi="Arial" w:eastAsia="Arial"/>
          <w:color w:val="202124"/>
          <w:sz w:val="22"/>
        </w:rPr>
        <w:t>Final match or mismatch = trusted read gate AND deterministic reference result. Composite scores may be retained for ranking or review prioritization, but they cannot bypass either gate.</w:t>
      </w:r>
    </w:p>
    <w:p>
      <w:pPr>
        <w:pStyle w:val="Heading2"/>
        <w:keepNext w:val="true"/>
        <w:keepLines w:val="true"/>
      </w:pPr>
      <w:r>
        <w:t>3.2 Resolve score-definition conflicts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The first-read formula includes 15% 'second-pass agreement,' but no second pass exists yet. Remove this term from C1 or explicitly define an independent extraction within the first operation.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The narrative alternates between '95% pataas' and '&gt;95%.' Standardize the bands as C &gt;= 95, 80 &lt;= C &lt; 95, and C &lt; 80 so 95 and 80 have exactly one route.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A low-confidence read is not evidence that the form is wrong. Use UNRESOLVED_EXTRACTION or NEEDS_REVIEW internally; reserve UNREADABLE for a human-confirmed outcome.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Schema, range, and cross-field checks are guardrails, not proof that the image was transcribed correctly. A value may be plausible and still be read incorrectly.</w:t>
      </w:r>
    </w:p>
    <w:p>
      <w:pPr>
        <w:pStyle w:val="Heading2"/>
        <w:keepNext w:val="true"/>
        <w:keepLines w:val="true"/>
      </w:pPr>
      <w:r>
        <w:t>3.3 Separate reference problems from form problems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A trusted extracted value may fail reference comparison because the masterfile is unavailable, stale, duplicated, or missing a legitimate party. Those states must not be reported as a confirmed form mismatch. TIN and Name also require different rules: prefer exact normalized TIN matching; use Name matching as secondary evidence with explicit ambiguity handling.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4. Recommended decision flow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corrected flow makes the extraction-confidence gate explicit and keeps reference health independent. It also prevents the system from calling a business error when the AI is still uncertain about the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6121908"/>
            <wp:docPr id="1" name="Picture 1" descr="Corrected TaxTrack field-decision flow showing the 95 confidence hard gate, focused re-read, human review, and masterfile outcomes." title="Recommended field-decis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ed-decis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12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 w:val="true"/>
      </w:pPr>
      <w:r>
        <w:t>Figure 1. Corrected field-level decision flow. Mismatch is reachable only after a trusted read.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5. Authoritative decision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900"/>
        <w:gridCol w:w="2600"/>
        <w:gridCol w:w="2450"/>
        <w:gridCol w:w="241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Condition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Action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Reference step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Final disposition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C1 &lt; 80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Do not re-read automatically under the stated policy; create review item.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 final reference classification.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Needs review - low confidence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80 &lt;= C1 &lt; 95 and C2 &lt; 95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Stop automated classification after one focused re-read.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Any comparison remains provisional.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Unresolved extraction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80 &lt;= C1 &lt; 95 and C2 &gt;= 95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Use the rescued value as the trusted transcription.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TIN/Name only: compare with a healthy, unambiguous masterfile.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Accepted read / Verified match / Confirmed mismatch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C1 &gt;= 95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Use the first-read value as the trusted transcription.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TIN/Name only: compare with a healthy, unambiguous masterfile.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Accepted read / Verified match / Confirmed mismatch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Trusted TIN/Name; masterfile unavailable or ambiguous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Preserve trusted extraction, but block match/mismatch automation.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Create reference-review item.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Reference review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Trusted value; hard format or domain rule fails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Do not silently accept. Preserve the read and record the deterministic failure.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Reference check may be unnecessary.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Validation error / Needs review</w:t>
            </w:r>
          </w:p>
        </w:tc>
      </w:tr>
    </w:tbl>
    <w:p>
      <w:pPr>
        <w:spacing w:after="20"/>
      </w:pPr>
    </w:p>
    <w:p>
      <w:pPr>
        <w:pStyle w:val="Heading2"/>
        <w:keepNext w:val="true"/>
        <w:keepLines w:val="true"/>
      </w:pPr>
      <w:r>
        <w:t>5.1 What counts as a legitimate error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C1 &gt;= 95, the field is TIN or Name, the masterfile is available and unambiguous, and the normalized value does not match.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80 &lt;= C1 &lt; 95, C2 &gt;= 95 after a focused re-read, and the rescued normalized value still does not match a healthy, unambiguous masterfile result.</w:t>
      </w:r>
    </w:p>
    <w:p>
      <w:pPr>
        <w:pStyle w:val="Heading2"/>
        <w:keepNext w:val="true"/>
        <w:keepLines w:val="true"/>
      </w:pPr>
      <w:r>
        <w:t>5.2 What counts as 'AI can't read'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C1 &lt; 80: immediate review under the requested rule; internally label as low-confidence first read.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80 &lt;= C1 &lt; 95 and C2 &lt; 95: unresolved after focused re-read.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/>
          <w:color w:val="5F6368"/>
          <w:sz w:val="22"/>
        </w:rPr>
        <w:t>If a human reviewer can read and correct the value, the final state should be HUMAN_CORRECTED rather than UNREADABLE. Use HUMAN_UNREADABLE only when the source itself cannot be read.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6. Current repository fit and required changes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current repository already contains several building blocks. The implementation is therefore an extension of the existing worker and UI, not a greenfield system.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450"/>
        <w:gridCol w:w="2600"/>
        <w:gridCol w:w="2570"/>
        <w:gridCol w:w="274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Area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Observed current behavior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Gap against requested workflow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Recommended change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Extraction contract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Strict structured JSON; confidence is grouped into period, payee, payor, taxRows, and signer.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No authoritative confidence/evidence record for every individual field.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Return and persist one field record per value and per attempt.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Gemini client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Whole-document extraction with provider retry; dedicated crop extraction exists for payor signer verification.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No general field-level rescue operation or field-attempt audit trail.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Generalize the crop/prompt pattern into extractField(fieldKey, crop, context).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Masterlist lookup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Uses the first nine TIN digits, then normalized Name substring search; any result becomes matched.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No explicit exact, ambiguous, duplicate, stale, or unavailable result.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Return reference status, candidate count, match method, strength, and masterfile version.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Validation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A masterlist miss contributes directly to invalid/error status.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An uncertain AI read can be treated as a business error.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Gate masterfile error classification behind calibrated read confidence.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Persistence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Certificate confidence is stored as a summary JSON; primary statuses are accepted, error, and duplicate.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The state model cannot explain field attempts and review reasons cleanly.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Add field attempts/decisions and review-case persistence, or a versioned field-decision JSON contract.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UI and review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Field confidence display, extraction retry, audit, and certificate override foundations exist.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No complete review queue that shows C1/C2, evidence crop, reference result, and final rationale.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6"/>
              </w:rPr>
              <w:t>Add evidence-first review cards and capture reviewer confirmation, correction, and unreadable outcomes.</w:t>
            </w:r>
          </w:p>
        </w:tc>
      </w:tr>
    </w:tbl>
    <w:p>
      <w:pPr>
        <w:spacing w:after="20"/>
      </w:pPr>
    </w:p>
    <w:p>
      <w:pPr>
        <w:spacing w:before="100" w:after="200" w:line="264" w:lineRule="auto"/>
        <w:ind w:left="173" w:right="115"/>
        <w:shd w:fill="EAF2F8" w:val="clear"/>
        <w:pBdr>
          <w:left w:val="single" w:sz="18" w:space="10" w:color="2E74B5"/>
        </w:pBdr>
        <w:keepLines w:val="true"/>
      </w:pPr>
      <w:r>
        <w:rPr>
          <w:rFonts w:ascii="Arial" w:hAnsi="Arial" w:eastAsia="Arial"/>
          <w:b/>
          <w:color w:val="2E74B5"/>
          <w:sz w:val="22"/>
        </w:rPr>
        <w:t xml:space="preserve">KEY CODE IMPACT: </w:t>
      </w:r>
      <w:r>
        <w:rPr>
          <w:rFonts w:ascii="Arial" w:hAnsi="Arial" w:eastAsia="Arial"/>
          <w:color w:val="202124"/>
          <w:sz w:val="22"/>
        </w:rPr>
        <w:t>The most important behavioral change is in certificate validation: masterlist_not_found must stop being an unconditional error and become a reference outcome evaluated only after the field-read gate.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7. Recommended implementation design</w:t>
      </w:r>
    </w:p>
    <w:p>
      <w:pPr>
        <w:pStyle w:val="Heading2"/>
        <w:keepNext w:val="true"/>
        <w:keepLines w:val="true"/>
      </w:pPr>
      <w:r>
        <w:t>7.1 Field-attempt record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Persist enough information to reproduce every automated decision. A single overall confidence number is not sufficient for audit, rescue, or model-version monitoring.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Field group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Required attributes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Identity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documentId, certificateId, fieldKey, fieldType, attemptNo, sourcePage, sourceRegion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Extraction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rawValue, normalizedValue, rawConfidence, calibratedConfidence, evidenceExcerpt, evidenceSource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Provenance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provider, modelVersion, promptVersion, schemaVersion, createdAt, latency, token usage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Reference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referenceStatus, matchMethod, matchStrength, candidateCount, masterfileVersion, comparedAt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Decision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extractionState, finalDisposition, reasonCodes, reviewCaseId, resolvedBy, resolvedAt</w:t>
            </w:r>
          </w:p>
        </w:tc>
      </w:tr>
    </w:tbl>
    <w:p>
      <w:pPr>
        <w:spacing w:after="20"/>
      </w:pPr>
    </w:p>
    <w:p>
      <w:pPr>
        <w:pStyle w:val="Heading2"/>
        <w:keepNext w:val="true"/>
        <w:keepLines w:val="true"/>
      </w:pPr>
      <w:r>
        <w:t>7.2 Confidence is a calibrated estimate, not a prompt field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Gemini can return schema-constrained JSON and can expose output-token log probabilities on supported APIs. Those capabilities make instrumentation possible, but neither a model's self-assigned score nor token likelihood is automatically a calibrated probability that a visual field was transcribed correctly. That interpretation must be learned and tested on TaxTrack data.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Keep raw signals separate:</w:t>
      </w:r>
      <w:r>
        <w:rPr>
          <w:rFonts w:ascii="Arial" w:hAnsi="Arial" w:eastAsia="Arial"/>
          <w:color w:val="202124"/>
          <w:sz w:val="22"/>
        </w:rPr>
        <w:t xml:space="preserve"> model self-score, token log probability where usable, source-evidence localization, image quality, deterministic format checks, form-family detection, and independent re-read agreement.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Exclude masterfile match strength from read confidence.</w:t>
      </w:r>
      <w:r>
        <w:rPr>
          <w:rFonts w:ascii="Arial" w:hAnsi="Arial" w:eastAsia="Arial"/>
          <w:color w:val="202124"/>
          <w:sz w:val="22"/>
        </w:rPr>
        <w:t xml:space="preserve"> Reference evidence answers a different question.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Fit and validate a calibrator per field family or use conservative empirical bands. Track calibration error and precision at the &gt;= 95 gate.</w:t>
      </w:r>
    </w:p>
    <w:p>
      <w:pPr>
        <w:numPr>
          <w:ilvl w:val="0"/>
          <w:numId w:val="10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Make the re-read meaningfully different: isolate the field crop, include its label and expected format, use deterministic settings, and record whether C1 and C2 values agree. Repeating the same whole-document prompt produces correlated errors.</w:t>
      </w:r>
    </w:p>
    <w:p>
      <w:pPr>
        <w:pStyle w:val="Heading2"/>
        <w:keepNext w:val="true"/>
        <w:keepLines w:val="true"/>
      </w:pPr>
      <w:r>
        <w:t>7.3 Bounded rescue execution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Allow one semantic re-read per field. Batch keyed crops when needed to bound cost and latency. Keep provider retry counts separate from semantic attempts, and persist each result for audit.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8. Primary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550"/>
        <w:gridCol w:w="3070"/>
        <w:gridCol w:w="4740"/>
      </w:tblGrid>
      <w:tr>
        <w:trPr>
          <w:tblHeader w:val="true"/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Risk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Failure mode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Required mitigation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Uncalibrated confidence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 displayed 95 does not mean 95% field correctness.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Shadow evaluation on labeled forms; threshold calibration by field and image-quality band.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Correlated re-reads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The model confidently repeats the same mistake.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Use isolated crops, deterministic focused prompts, agreement checks, and human sampling.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Masterfile quality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Stale, duplicate, or missing records create false form errors.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Version the masterfile; expose ambiguous/unavailable states; measure reference coverage.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Name matching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Substring or alias logic causes false matches or misses.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Prefer exact TIN; use canonical Name rules and ambiguity thresholds; never take the first arbitrary hit.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Model drift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 model or prompt update shifts score behavior.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Persist model/prompt versions; rerun a frozen regression set before rollout.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Cost and latency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Many uncertain fields create an N-call rescue fan-out.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One rescue maximum, keyed crop batching, concurrency limits, and queue backpressure.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Audit and privacy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Sensitive TIN/Name data lacks decision traceability or leaks into logs.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Store bounded evidence with access control; mask logs; retain immutable attempts and reviewer actions.</w:t>
            </w:r>
          </w:p>
        </w:tc>
      </w:tr>
    </w:tbl>
    <w:p>
      <w:pPr>
        <w:spacing w:after="20"/>
      </w:pPr>
    </w:p>
    <w:p>
      <w:pPr>
        <w:pStyle w:val="Heading1"/>
        <w:keepNext w:val="true"/>
        <w:keepLines w:val="true"/>
      </w:pPr>
      <w:r>
        <w:t>9. Validation and rollout plan</w:t>
      </w:r>
    </w:p>
    <w:p>
      <w:pPr>
        <w:numPr>
          <w:ilvl w:val="0"/>
          <w:numId w:val="12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Define the truth set.</w:t>
      </w:r>
      <w:r>
        <w:rPr>
          <w:rFonts w:ascii="Arial" w:hAnsi="Arial" w:eastAsia="Arial"/>
          <w:color w:val="202124"/>
          <w:sz w:val="22"/>
        </w:rPr>
        <w:t xml:space="preserve"> Build a stratified labeled corpus across form variants, scan quality, handwriting/printing, TIN/Name formats, and genuine masterfile mismatches.</w:t>
      </w:r>
    </w:p>
    <w:p>
      <w:pPr>
        <w:numPr>
          <w:ilvl w:val="0"/>
          <w:numId w:val="12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Instrument in shadow mode.</w:t>
      </w:r>
      <w:r>
        <w:rPr>
          <w:rFonts w:ascii="Arial" w:hAnsi="Arial" w:eastAsia="Arial"/>
          <w:color w:val="202124"/>
          <w:sz w:val="22"/>
        </w:rPr>
        <w:t xml:space="preserve"> Record C1, rescue eligibility, C2, evidence, provisional reference result, and the outcome the new rules would have produced without changing production status.</w:t>
      </w:r>
    </w:p>
    <w:p>
      <w:pPr>
        <w:numPr>
          <w:ilvl w:val="0"/>
          <w:numId w:val="12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Calibrate and select thresholds.</w:t>
      </w:r>
      <w:r>
        <w:rPr>
          <w:rFonts w:ascii="Arial" w:hAnsi="Arial" w:eastAsia="Arial"/>
          <w:color w:val="202124"/>
          <w:sz w:val="22"/>
        </w:rPr>
        <w:t xml:space="preserve"> Validate the &gt;= 95 gate separately for TIN, Name, and other high-impact fields. Optimize mismatch precision first, then automation rate.</w:t>
      </w:r>
    </w:p>
    <w:p>
      <w:pPr>
        <w:numPr>
          <w:ilvl w:val="0"/>
          <w:numId w:val="12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Pilot with mandatory human confirmation.</w:t>
      </w:r>
      <w:r>
        <w:rPr>
          <w:rFonts w:ascii="Arial" w:hAnsi="Arial" w:eastAsia="Arial"/>
          <w:color w:val="202124"/>
          <w:sz w:val="22"/>
        </w:rPr>
        <w:t xml:space="preserve"> Allow automatic routing and prioritization, but require review for would-be mismatches until false-mismatch performance meets the business target.</w:t>
      </w:r>
    </w:p>
    <w:p>
      <w:pPr>
        <w:numPr>
          <w:ilvl w:val="0"/>
          <w:numId w:val="12"/>
        </w:numPr>
        <w:spacing w:after="160" w:line="280" w:lineRule="auto"/>
        <w:keepLines w:val="true"/>
      </w:pPr>
      <w:r>
        <w:rPr>
          <w:rFonts w:ascii="Arial" w:hAnsi="Arial" w:eastAsia="Arial"/>
          <w:b/>
          <w:color w:val="202124"/>
          <w:sz w:val="22"/>
        </w:rPr>
        <w:t>Enable limited automation.</w:t>
      </w:r>
      <w:r>
        <w:rPr>
          <w:rFonts w:ascii="Arial" w:hAnsi="Arial" w:eastAsia="Arial"/>
          <w:color w:val="202124"/>
          <w:sz w:val="22"/>
        </w:rPr>
        <w:t xml:space="preserve"> Release one field family and form-quality band at a time, with drift monitoring and immediate rollback to review.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/>
          <w:color w:val="5F6368"/>
          <w:sz w:val="22"/>
        </w:rPr>
        <w:t>Recommended operating metrics: false-mismatch rate, mismatch precision, verified-match precision, automation rate, manual-review rate, rescue rate, rescue precision, human correction rate, reference ambiguity rate, model/prompt drift, p95 latency, and cost per processed form.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10. Production go/no-go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800"/>
        <w:gridCol w:w="5200"/>
        <w:gridCol w:w="23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Gate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Pass condition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Decision if unmet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Hard gating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 code path can emit VERIFIED_MATCH or CONFIRMED_MISMATCH when the accepted read confidence is below 95.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Calibration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Threshold performance is measured on representative labeled forms with confidence intervals and approved business targets.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Reference integrity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Masterfile version, availability, uniqueness, match method, and ambiguity are recorded for every reference decision.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Auditability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C1/C2 attempts, source evidence, model/prompt versions, reason codes, and human actions are reproducible.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Review operations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Reviewers can see the source crop, extracted value, confidence, comparison evidence, and correct/confirm/unreadable actions.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Regression and drift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A frozen benchmark and ongoing monitoring detect material changes after model or prompt updates.</w:t>
            </w:r>
          </w:p>
        </w:tc>
        <w:tc>
          <w:tcPr>
            <w:tcW w:type="dxa" w:w="236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/>
                <w:color w:val="9B1C1C"/>
                <w:sz w:val="17"/>
              </w:rPr>
              <w:t>NO-GO</w:t>
            </w:r>
          </w:p>
        </w:tc>
      </w:tr>
    </w:tbl>
    <w:p>
      <w:pPr>
        <w:spacing w:after="20"/>
      </w:pPr>
    </w:p>
    <w:p>
      <w:pPr>
        <w:pStyle w:val="Heading1"/>
        <w:keepNext w:val="true"/>
        <w:keepLines w:val="true"/>
      </w:pPr>
      <w:r>
        <w:t>11. Final recommendation</w:t>
      </w:r>
    </w:p>
    <w:p>
      <w:pPr>
        <w:spacing w:before="100" w:after="200" w:line="264" w:lineRule="auto"/>
        <w:ind w:left="173" w:right="115"/>
        <w:shd w:fill="E8F5E9" w:val="clear"/>
        <w:pBdr>
          <w:left w:val="single" w:sz="18" w:space="10" w:color="1B5E20"/>
        </w:pBdr>
        <w:keepLines w:val="true"/>
      </w:pPr>
      <w:r>
        <w:rPr>
          <w:rFonts w:ascii="Arial" w:hAnsi="Arial" w:eastAsia="Arial"/>
          <w:b/>
          <w:color w:val="1B5E20"/>
          <w:sz w:val="22"/>
        </w:rPr>
        <w:t xml:space="preserve">DECISION: </w:t>
      </w:r>
      <w:r>
        <w:rPr>
          <w:rFonts w:ascii="Arial" w:hAnsi="Arial" w:eastAsia="Arial"/>
          <w:color w:val="202124"/>
          <w:sz w:val="22"/>
        </w:rPr>
        <w:t>Proceed with a prototype and shadow-mode implementation. Do not enable automatic legitimate-error labeling from the diagram's weighted Match/Mismatch Confidence formulas. Replace them with hard gates and calibrated field confidence, then introduce production automation only after the go/no-go conditions above pass.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In short: the flow is possible. Its business principle is correct, and the repository has reusable foundations. The current diagram is an excellent orchestration sketch but not yet a safe scoring specification. The redesign is contained and implementable, with confidence calibration and masterfile governance as the two non-negotiable prerequisites.</w:t>
      </w:r>
    </w:p>
    <w:p>
      <w:pPr>
        <w:pStyle w:val="Heading2"/>
        <w:keepNext w:val="true"/>
        <w:keepLines w:val="true"/>
      </w:pPr>
      <w:r>
        <w:t>Recommended implementation priority</w:t>
      </w:r>
    </w:p>
    <w:p>
      <w:pPr>
        <w:numPr>
          <w:ilvl w:val="0"/>
          <w:numId w:val="13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Correct the state model and hard-gate logic.</w:t>
      </w:r>
    </w:p>
    <w:p>
      <w:pPr>
        <w:numPr>
          <w:ilvl w:val="0"/>
          <w:numId w:val="13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Add field-level attempts, evidence, and a general focused re-read operation.</w:t>
      </w:r>
    </w:p>
    <w:p>
      <w:pPr>
        <w:numPr>
          <w:ilvl w:val="0"/>
          <w:numId w:val="13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Refactor masterfile lookup into match, mismatch, ambiguous, missing-reference, and unavailable outcomes.</w:t>
      </w:r>
    </w:p>
    <w:p>
      <w:pPr>
        <w:numPr>
          <w:ilvl w:val="0"/>
          <w:numId w:val="13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Run shadow-mode calibration and implement the evidence-first review queue.</w:t>
      </w:r>
    </w:p>
    <w:p>
      <w:pPr>
        <w:numPr>
          <w:ilvl w:val="0"/>
          <w:numId w:val="13"/>
        </w:numPr>
        <w:spacing w:after="160" w:line="280" w:lineRule="auto"/>
        <w:keepLines w:val="true"/>
      </w:pPr>
      <w:r>
        <w:rPr>
          <w:rFonts w:ascii="Arial" w:hAnsi="Arial" w:eastAsia="Arial"/>
          <w:color w:val="202124"/>
          <w:sz w:val="22"/>
        </w:rPr>
        <w:t>Enable limited automation only after measured precision targets are met.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Appendix A. Narrative-to-rule traceability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3550"/>
        <w:gridCol w:w="5810"/>
      </w:tblGrid>
      <w:tr>
        <w:trPr>
          <w:tblHeader w:val="true"/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Source statement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Authoritative interpretation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All extracted fields receive confidence.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Persist field-level read confidence and evidence for every attempt; group-level summaries are insufficient.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95% or higher is 'goods.'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Use C &gt;= 95 as the hard trusted-read boundary, subject to deterministic format/domain rules.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TIN or Name is compared to the masterfile.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Only trusted TIN/Name values receive a final reference disposition; other fields receive accepted/validation states.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80%-94% is re-read with a focused prompt.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Use 80 &lt;= C1 &lt; 95; run one field-level rescue and evaluate C2 independently.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Below 80% is for review.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Create a review item immediately and block final match/mismatch classification.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A high-confidence second mismatch is a legitimate error.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Require C2 &gt;= 95 plus a healthy, unambiguous masterfile non-match.</w:t>
            </w:r>
          </w:p>
        </w:tc>
      </w:tr>
      <w:tr>
        <w:trPr>
          <w:cantSplit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Still below 95 on the second read means AI can't read.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Use UNRESOLVED_EXTRACTION before review; human review determines corrected versus truly unreadable.</w:t>
            </w:r>
          </w:p>
        </w:tc>
      </w:tr>
    </w:tbl>
    <w:p>
      <w:pPr>
        <w:spacing w:after="20"/>
      </w:pPr>
    </w:p>
    <w:p>
      <w:pPr>
        <w:pStyle w:val="Heading1"/>
        <w:keepNext w:val="true"/>
        <w:keepLines w:val="true"/>
      </w:pPr>
      <w:r>
        <w:t>Appendix B. Source sequence diagram</w:t>
      </w:r>
    </w:p>
    <w:p>
      <w:pPr>
        <w:spacing w:before="0" w:after="120" w:line="264" w:lineRule="auto"/>
        <w:keepLines w:val="true"/>
      </w:pPr>
      <w:r>
        <w:rPr>
          <w:rFonts w:ascii="Arial" w:hAnsi="Arial" w:eastAsia="Arial"/>
          <w:i w:val="0"/>
          <w:color w:val="202124"/>
          <w:sz w:val="22"/>
        </w:rPr>
        <w:t>The diagram below is embedded for traceability. Figure 1 and the decision matrix in this memo are the recommended implementation authority where they differ from the original weighted-confidence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87083"/>
            <wp:docPr id="2" name="Picture 2" descr="Original TaxTrack confidence-score sequence diagram supplied by the requestor." title="Original TaxTrack confidence-score sequenc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Track_Confidence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Lines w:val="true"/>
      </w:pPr>
      <w:r>
        <w:t>Figure 2. Original TaxTrack confidence-score sequence diagram supplied for analysis.</w:t>
      </w:r>
    </w:p>
    <w:p>
      <w:r>
        <w:br w:type="page"/>
      </w:r>
    </w:p>
    <w:p>
      <w:pPr>
        <w:pStyle w:val="Heading1"/>
        <w:keepNext w:val="true"/>
        <w:keepLines w:val="true"/>
      </w:pPr>
      <w:r>
        <w:t>Appendix C. Sources reviewed</w:t>
      </w:r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1. </w:t>
      </w:r>
      <w:r>
        <w:rPr>
          <w:rFonts w:ascii="Arial" w:hAnsi="Arial" w:eastAsia="Arial"/>
          <w:color w:val="202124"/>
          <w:sz w:val="19"/>
        </w:rPr>
        <w:t>Requestor-provided Tagalog/English narrative defining the confidence bands, focused re-read, masterfile comparison, legitimate-error cases, and 'AI can't read' cases (30 July 2026).</w:t>
      </w:r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2. </w:t>
      </w:r>
      <w:r>
        <w:rPr>
          <w:rFonts w:ascii="Arial" w:hAnsi="Arial" w:eastAsia="Arial"/>
          <w:color w:val="202124"/>
          <w:sz w:val="19"/>
        </w:rPr>
        <w:t>TaxTrack_Confidence_score.png, requestor-provided sequence diagram.</w:t>
      </w:r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3. </w:t>
      </w:r>
      <w:r>
        <w:rPr>
          <w:rFonts w:ascii="Arial" w:hAnsi="Arial" w:eastAsia="Arial"/>
          <w:color w:val="202124"/>
          <w:sz w:val="19"/>
        </w:rPr>
        <w:t>Current TaxTrack repository: backend/worker/src/langgraph/services/extractionContract.ts; backend/worker/src/langgraph/services/geminiClient.ts; backend/worker/src/langgraph/nodes/processCertificates.ts; backend/worker/src/langgraph/utils/payorSignerVerification.ts; backend/worker/src/db/schema.ts.</w:t>
      </w:r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4. </w:t>
      </w:r>
      <w:r>
        <w:rPr>
          <w:rFonts w:ascii="Arial" w:hAnsi="Arial" w:eastAsia="Arial"/>
          <w:color w:val="202124"/>
          <w:sz w:val="19"/>
        </w:rPr>
        <w:t xml:space="preserve">Google AI for Developers, Structured outputs (accessed 30 July 2026). </w:t>
      </w:r>
      <w:r>
        <w:rPr>
          <w:rFonts w:ascii="Arial" w:hAnsi="Arial" w:eastAsia="Arial"/>
          <w:sz w:val="19"/>
        </w:rPr>
        <w:t xml:space="preserve"> </w:t>
      </w:r>
      <w:hyperlink r:id="rId13">
        <w:r>
          <w:rPr>
            <w:rFonts w:ascii="Arial" w:hAnsi="Arial"/>
            <w:color w:val="2E74B5"/>
            <w:u w:val="single"/>
            <w:sz w:val="20"/>
          </w:rPr>
          <w:t>Google structured outputs documentation</w:t>
        </w:r>
      </w:hyperlink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5. </w:t>
      </w:r>
      <w:r>
        <w:rPr>
          <w:rFonts w:ascii="Arial" w:hAnsi="Arial" w:eastAsia="Arial"/>
          <w:color w:val="202124"/>
          <w:sz w:val="19"/>
        </w:rPr>
        <w:t xml:space="preserve">Google AI for Developers, GenerateContent API reference: responseLogprobs and logprobs (accessed 30 July 2026). </w:t>
      </w:r>
      <w:r>
        <w:rPr>
          <w:rFonts w:ascii="Arial" w:hAnsi="Arial" w:eastAsia="Arial"/>
          <w:sz w:val="19"/>
        </w:rPr>
        <w:t xml:space="preserve"> </w:t>
      </w:r>
      <w:hyperlink r:id="rId14">
        <w:r>
          <w:rPr>
            <w:rFonts w:ascii="Arial" w:hAnsi="Arial"/>
            <w:color w:val="2E74B5"/>
            <w:u w:val="single"/>
            <w:sz w:val="20"/>
          </w:rPr>
          <w:t>Google GenerateContent API reference</w:t>
        </w:r>
      </w:hyperlink>
    </w:p>
    <w:p>
      <w:pPr>
        <w:spacing w:after="100" w:line="252" w:lineRule="auto"/>
        <w:ind w:left="360" w:hanging="360"/>
        <w:keepLines w:val="true"/>
      </w:pPr>
      <w:r>
        <w:rPr>
          <w:rFonts w:ascii="Arial" w:hAnsi="Arial" w:eastAsia="Arial"/>
          <w:b/>
          <w:color w:val="202124"/>
          <w:sz w:val="19"/>
        </w:rPr>
        <w:t xml:space="preserve">6. </w:t>
      </w:r>
      <w:r>
        <w:rPr>
          <w:rFonts w:ascii="Arial" w:hAnsi="Arial" w:eastAsia="Arial"/>
          <w:color w:val="202124"/>
          <w:sz w:val="19"/>
        </w:rPr>
        <w:t xml:space="preserve">Google Cloud, Document AI response structure: OCR/entity confidence and image-quality scores (accessed 30 July 2026). </w:t>
      </w:r>
      <w:r>
        <w:rPr>
          <w:rFonts w:ascii="Arial" w:hAnsi="Arial" w:eastAsia="Arial"/>
          <w:sz w:val="19"/>
        </w:rPr>
        <w:t xml:space="preserve"> </w:t>
      </w:r>
      <w:hyperlink r:id="rId15">
        <w:r>
          <w:rPr>
            <w:rFonts w:ascii="Arial" w:hAnsi="Arial"/>
            <w:color w:val="2E74B5"/>
            <w:u w:val="single"/>
            <w:sz w:val="20"/>
          </w:rPr>
          <w:t>Google Document AI response documentation</w:t>
        </w:r>
      </w:hyperlink>
    </w:p>
    <w:p>
      <w:pPr>
        <w:spacing w:before="0" w:after="0" w:line="264" w:lineRule="auto"/>
        <w:keepLines w:val="true"/>
      </w:pPr>
      <w:r>
        <w:rPr>
          <w:rFonts w:ascii="Arial" w:hAnsi="Arial" w:eastAsia="Arial"/>
          <w:i/>
          <w:color w:val="5F6368"/>
          <w:sz w:val="22"/>
        </w:rPr>
        <w:t>Analytical note: statements about confidence calibration are engineering inferences from the difference between token/model signals and observed field correctness. They should be validated empirically against TaxTrack's labeled form corpus.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Arial" w:hAnsi="Arial" w:eastAsia="Arial"/>
        <w:color w:val="5F6368"/>
        <w:sz w:val="18"/>
      </w:rPr>
      <w:t>TaxTrack | 30 July 2026</w:t>
    </w:r>
    <w:r>
      <w:tab/>
    </w:r>
    <w:r>
      <w:rPr>
        <w:rFonts w:ascii="Arial" w:hAnsi="Arial" w:eastAsia="Arial"/>
        <w:color w:val="5F6368"/>
        <w:sz w:val="18"/>
      </w:rPr>
      <w:t xml:space="preserve">Page </w:t>
    </w:r>
    <w:r>
      <w:rPr>
        <w:rFonts w:ascii="Arial" w:hAnsi="Arial" w:eastAsia="Arial"/>
        <w:color w:val="5F636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/>
        <w:b/>
        <w:color w:val="5F6368"/>
        <w:sz w:val="17"/>
      </w:rPr>
      <w:t>TAXTRACK | CONFIDENCE WORKFLOW FEASIBILITY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i/>
      <w:iCs/>
      <w:color w:val="5F636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/>
      <w:b/>
      <w:bCs/>
      <w:i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i.google.dev/gemini-api/docs/structured-output" TargetMode="External"/><Relationship Id="rId14" Type="http://schemas.openxmlformats.org/officeDocument/2006/relationships/hyperlink" Target="https://ai.google.dev/api/generate-content" TargetMode="External"/><Relationship Id="rId15" Type="http://schemas.openxmlformats.org/officeDocument/2006/relationships/hyperlink" Target="https://cloud.google.com/document-ai/docs/handle-respo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TaxTrack Confidence Workflow Feasibility Analysis</dc:title>
  <dc:subject>Technical decision memo for confidence-scored extraction and focused re-read</dc:subject>
  <dc:creator>TaxTrack Engineering Analysis</dc:creator>
  <cp:keywords>TaxTrack, Gemini, confidence, extraction, masterfile, human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