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i w:val="0"/>
          <w:color w:val="000000"/>
          <w:sz w:val="28"/>
        </w:rPr>
        <w:t>Chapter 2</w:t>
      </w:r>
    </w:p>
    <w:p>
      <w:pPr>
        <w:pStyle w:val="Heading1"/>
      </w:pPr>
      <w:r>
        <w:rPr>
          <w:rFonts w:ascii="Times New Roman" w:hAnsi="Times New Roman" w:eastAsia="Times New Roman"/>
          <w:b/>
          <w:i w:val="0"/>
          <w:color w:val="000000"/>
          <w:sz w:val="28"/>
        </w:rPr>
        <w:t>Literature Review</w:t>
      </w:r>
    </w:p>
    <w:p>
      <w:pPr>
        <w:pStyle w:val="Heading2"/>
      </w:pPr>
      <w:r>
        <w:rPr>
          <w:rFonts w:ascii="Times New Roman" w:hAnsi="Times New Roman" w:eastAsia="Times New Roman"/>
          <w:b/>
          <w:i w:val="0"/>
          <w:color w:val="000000"/>
          <w:sz w:val="26"/>
        </w:rPr>
        <w:t>2.1 Concepts used in QCampus Connect</w:t>
      </w:r>
    </w:p>
    <w:p>
      <w:pPr>
        <w:ind w:firstLine="720"/>
      </w:pPr>
      <w:r>
        <w:rPr>
          <w:rFonts w:ascii="Times New Roman" w:hAnsi="Times New Roman" w:eastAsia="Times New Roman"/>
          <w:b w:val="0"/>
          <w:i w:val="0"/>
          <w:color w:val="000000"/>
          <w:sz w:val="24"/>
        </w:rPr>
        <w:t>This review examines the foundational technologies integrated into the QCampus Connect platform: real-time web delivery, hybrid symmetric/asymmetric cryptography, permissioned ledgers, quantum key distribution principles, and role-based access control.</w:t>
      </w:r>
    </w:p>
    <w:p>
      <w:pPr>
        <w:pStyle w:val="Heading3"/>
      </w:pPr>
      <w:r>
        <w:rPr>
          <w:rFonts w:ascii="Times New Roman" w:hAnsi="Times New Roman" w:eastAsia="Times New Roman"/>
          <w:b/>
          <w:i w:val="0"/>
          <w:color w:val="000000"/>
          <w:sz w:val="26"/>
        </w:rPr>
        <w:t>2.1.1 Real-Time Web Delivery and Cloud Persistence</w:t>
      </w:r>
    </w:p>
    <w:p>
      <w:pPr>
        <w:ind w:firstLine="720"/>
      </w:pPr>
      <w:r>
        <w:rPr>
          <w:rFonts w:ascii="Times New Roman" w:hAnsi="Times New Roman" w:eastAsia="Times New Roman"/>
          <w:b w:val="0"/>
          <w:i w:val="0"/>
          <w:color w:val="000000"/>
          <w:sz w:val="24"/>
        </w:rPr>
        <w:t>Traditional HTTP polling introduces significant network overhead and latency for chat systems. Server-sent events and persistent WebSockets allow push-based state synchronization. Convex utilizes WebSocket connections to maintain reactive query subscriptions, automatically pushing state changes to connected web clients upon mutation execution (Convex Development Team, 2024). This architecture provides instantaneous user interface updates while shifting server infrastructure management to cloud serverless environments.</w:t>
      </w:r>
    </w:p>
    <w:p>
      <w:pPr>
        <w:pStyle w:val="Heading3"/>
      </w:pPr>
      <w:r>
        <w:rPr>
          <w:rFonts w:ascii="Times New Roman" w:hAnsi="Times New Roman" w:eastAsia="Times New Roman"/>
          <w:b/>
          <w:i w:val="0"/>
          <w:color w:val="000000"/>
          <w:sz w:val="26"/>
        </w:rPr>
        <w:t>2.1.2 Symmetric and Asymmetric Encryption Systems</w:t>
      </w:r>
    </w:p>
    <w:p>
      <w:pPr>
        <w:ind w:firstLine="720"/>
      </w:pPr>
      <w:r>
        <w:rPr>
          <w:rFonts w:ascii="Times New Roman" w:hAnsi="Times New Roman" w:eastAsia="Times New Roman"/>
          <w:b w:val="0"/>
          <w:i w:val="0"/>
          <w:color w:val="000000"/>
          <w:sz w:val="24"/>
        </w:rPr>
        <w:t>Symmetric encryption algorithms such as AES-GCM (Advanced Encryption Standard in Galois/Counter Mode) utilize a single secret key for encryption and decryption, offering high processing throughput and authenticated data integrity (National Institute of Standards and Technology, 2001). Asymmetric cryptosystems like RSA-OAEP utilize paired public and private keys, enabling secure key exchange without prior shared secrets (Rivest et al., 1978; Diffie &amp; Hellman, 1976). Modern messaging protocols, including Signal's Extended Triple Diffie-Hellman (X3DH), combine asymmetric key negotiation with symmetric bulk payload encryption (Marlinspike &amp; Perrin, 2016). QCampus Connect adopts this hybrid model: AES-GCM-256 encrypts payload text and file blobs, while RSA-OAEP 2048-bit keypairs manage identity key distribution via the browser Web Crypto API (Mozilla Developer Network, 2024).</w:t>
      </w:r>
    </w:p>
    <w:p>
      <w:pPr>
        <w:pStyle w:val="Heading3"/>
      </w:pPr>
      <w:r>
        <w:rPr>
          <w:rFonts w:ascii="Times New Roman" w:hAnsi="Times New Roman" w:eastAsia="Times New Roman"/>
          <w:b/>
          <w:i w:val="0"/>
          <w:color w:val="000000"/>
          <w:sz w:val="26"/>
        </w:rPr>
        <w:t>2.1.3 Permissioned Distributed Ledgers and Smart Contracts</w:t>
      </w:r>
    </w:p>
    <w:p>
      <w:pPr>
        <w:ind w:firstLine="720"/>
      </w:pPr>
      <w:r>
        <w:rPr>
          <w:rFonts w:ascii="Times New Roman" w:hAnsi="Times New Roman" w:eastAsia="Times New Roman"/>
          <w:b w:val="0"/>
          <w:i w:val="0"/>
          <w:color w:val="000000"/>
          <w:sz w:val="24"/>
        </w:rPr>
        <w:t>Public distributed ledgers maintain tamper-evident event histories across distrusted nodes using consensus algorithms (Nakamoto, 2008). Ethereum expanded this paradigm by introducing deterministic, stateful execution environments known as smart contracts (Wood, 2014). Because public chains impose transaction gas fees and public data exposure, enterprise environments utilize permissioned ledgers like Hyperledger Besu running Quorum Byzantine Fault Tolerance (QBFT) consensus (Hyperledger Foundation, 2024). Private networks allow zero-gas transactions while ensuring state immutability across participating nodes. Smart contracts written in Solidity 0.8.x enforce programmatic state validation rules (Ethereum Foundation, 2024).</w:t>
      </w:r>
    </w:p>
    <w:p>
      <w:pPr>
        <w:pStyle w:val="Heading3"/>
      </w:pPr>
      <w:r>
        <w:rPr>
          <w:rFonts w:ascii="Times New Roman" w:hAnsi="Times New Roman" w:eastAsia="Times New Roman"/>
          <w:b/>
          <w:i w:val="0"/>
          <w:color w:val="000000"/>
          <w:sz w:val="26"/>
        </w:rPr>
        <w:t>2.1.4 Quantum Key Distribution Principles and the 11% QBER Limit</w:t>
      </w:r>
    </w:p>
    <w:p>
      <w:pPr>
        <w:ind w:firstLine="720"/>
      </w:pPr>
      <w:r>
        <w:rPr>
          <w:rFonts w:ascii="Times New Roman" w:hAnsi="Times New Roman" w:eastAsia="Times New Roman"/>
          <w:b w:val="0"/>
          <w:i w:val="0"/>
          <w:color w:val="000000"/>
          <w:sz w:val="24"/>
        </w:rPr>
        <w:t>The BB84 protocol (Bennett &amp; Brassard, 2014/1984) establishes secret session keys between two parties using polarized photon states. According to quantum mechanics, measurement by an eavesdropper introduces detectable disturbances due to the Heisenberg uncertainty principle and the No-Cloning Theorem (Nielsen &amp; Chuang, 2010). Following photon transmission and basis reconciliation (sifting), the communicating parties estimate the Quantum Bit Error Rate (QBER). Rigorous security proofs by Shor and Preskill (2000), Gisin et al. (2002), and Scarani et al. (2009) demonstrate that under ideal BB84 conditions, information reconciliation and privacy amplification can extract a secret key only when the QBER remains strictly below approximately 11%. If the QBER exceeds 0.11, eavesdropping noise compromises security, necessitating session abort. QCampus Connect implements this 11% abort threshold in its software simulation (src/lib/bb84.ts) to model quantum channel evaluation.</w:t>
      </w:r>
    </w:p>
    <w:p>
      <w:pPr>
        <w:pStyle w:val="Heading3"/>
      </w:pPr>
      <w:r>
        <w:rPr>
          <w:rFonts w:ascii="Times New Roman" w:hAnsi="Times New Roman" w:eastAsia="Times New Roman"/>
          <w:b/>
          <w:i w:val="0"/>
          <w:color w:val="000000"/>
          <w:sz w:val="26"/>
        </w:rPr>
        <w:t>2.1.5 Dual-Layer Role-Based Access Control</w:t>
      </w:r>
    </w:p>
    <w:p>
      <w:pPr>
        <w:ind w:firstLine="720"/>
      </w:pPr>
      <w:r>
        <w:rPr>
          <w:rFonts w:ascii="Times New Roman" w:hAnsi="Times New Roman" w:eastAsia="Times New Roman"/>
          <w:b w:val="0"/>
          <w:i w:val="0"/>
          <w:color w:val="000000"/>
          <w:sz w:val="24"/>
        </w:rPr>
        <w:t>Access control in web systems typically relies on database role attributes. However, database records can be modified by database administrators. Dual-layer access control pairs application-level database role checks with immutable ledger assertions. In QCampus Connect, user roles are stored in Convex user documents and recorded on the private Besu contract following administrative verification.</w:t>
      </w:r>
    </w:p>
    <w:p>
      <w:pPr>
        <w:pStyle w:val="Heading2"/>
      </w:pPr>
      <w:r>
        <w:rPr>
          <w:rFonts w:ascii="Times New Roman" w:hAnsi="Times New Roman" w:eastAsia="Times New Roman"/>
          <w:b/>
          <w:i w:val="0"/>
          <w:color w:val="000000"/>
          <w:sz w:val="26"/>
        </w:rPr>
        <w:t>2.2 Practical Application in QCampus Connect Architecture</w:t>
      </w:r>
    </w:p>
    <w:p>
      <w:pPr>
        <w:ind w:firstLine="720"/>
      </w:pPr>
      <w:r>
        <w:rPr>
          <w:rFonts w:ascii="Times New Roman" w:hAnsi="Times New Roman" w:eastAsia="Times New Roman"/>
          <w:b w:val="0"/>
          <w:i w:val="0"/>
          <w:color w:val="000000"/>
          <w:sz w:val="24"/>
        </w:rPr>
        <w:t>The technical design combines established standards into an institutional platform:</w:t>
      </w:r>
    </w:p>
    <w:p>
      <w:pPr>
        <w:pStyle w:val="ListBullet"/>
      </w:pPr>
      <w:r>
        <w:rPr>
          <w:rFonts w:ascii="Times New Roman" w:hAnsi="Times New Roman" w:eastAsia="Times New Roman"/>
          <w:b w:val="0"/>
          <w:i w:val="0"/>
          <w:color w:val="000000"/>
          <w:sz w:val="24"/>
        </w:rPr>
        <w:t>Ciphertext persistence on Convex while storing private RSA keys locally in IndexedDB (Mozilla Developer Network, 2024).</w:t>
      </w:r>
    </w:p>
    <w:p>
      <w:pPr>
        <w:pStyle w:val="ListBullet"/>
      </w:pPr>
      <w:r>
        <w:rPr>
          <w:rFonts w:ascii="Times New Roman" w:hAnsi="Times New Roman" w:eastAsia="Times New Roman"/>
          <w:b w:val="0"/>
          <w:i w:val="0"/>
          <w:color w:val="000000"/>
          <w:sz w:val="24"/>
        </w:rPr>
        <w:t>Generating SHA-256 payload digests on the client and committing hashes to Besu to detect database modifications.</w:t>
      </w:r>
    </w:p>
    <w:p>
      <w:pPr>
        <w:pStyle w:val="ListBullet"/>
      </w:pPr>
      <w:r>
        <w:rPr>
          <w:rFonts w:ascii="Times New Roman" w:hAnsi="Times New Roman" w:eastAsia="Times New Roman"/>
          <w:b w:val="0"/>
          <w:i w:val="0"/>
          <w:color w:val="000000"/>
          <w:sz w:val="24"/>
        </w:rPr>
        <w:t>Simulating BB84 photon sifting and QBER calculation to derive 256-bit AES session keys for sensitive rooms.</w:t>
      </w:r>
    </w:p>
    <w:p>
      <w:pPr>
        <w:pStyle w:val="ListBullet"/>
      </w:pPr>
      <w:r>
        <w:rPr>
          <w:rFonts w:ascii="Times New Roman" w:hAnsi="Times New Roman" w:eastAsia="Times New Roman"/>
          <w:b w:val="0"/>
          <w:i w:val="0"/>
          <w:color w:val="000000"/>
          <w:sz w:val="24"/>
        </w:rPr>
        <w:t>Decoupling messaging latency from blockchain consensus by using Convex for instant UI sync and Besu for async audit logs.</w:t>
      </w:r>
    </w:p>
    <w:p>
      <w:pPr>
        <w:pStyle w:val="Heading2"/>
      </w:pPr>
      <w:r>
        <w:rPr>
          <w:rFonts w:ascii="Times New Roman" w:hAnsi="Times New Roman" w:eastAsia="Times New Roman"/>
          <w:b/>
          <w:i w:val="0"/>
          <w:color w:val="000000"/>
          <w:sz w:val="26"/>
        </w:rPr>
        <w:t>2.3 Comparative Review of Related Systems</w:t>
      </w:r>
    </w:p>
    <w:p>
      <w:pPr>
        <w:ind w:firstLine="720"/>
      </w:pPr>
      <w:r>
        <w:rPr>
          <w:rFonts w:ascii="Times New Roman" w:hAnsi="Times New Roman" w:eastAsia="Times New Roman"/>
          <w:b w:val="0"/>
          <w:i w:val="0"/>
          <w:color w:val="000000"/>
          <w:sz w:val="24"/>
        </w:rPr>
        <w:t>Table 2.1 compares QCampus Connect's architectural features against existing commercial and academic messaging platforms.</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r/>
            <w:r>
              <w:rPr>
                <w:rFonts w:ascii="Times New Roman" w:hAnsi="Times New Roman" w:eastAsia="Times New Roman"/>
                <w:b/>
                <w:i w:val="0"/>
                <w:color w:val="000000"/>
                <w:sz w:val="20"/>
              </w:rPr>
              <w:t>System</w:t>
            </w:r>
          </w:p>
        </w:tc>
        <w:tc>
          <w:tcPr>
            <w:tcW w:type="dxa" w:w="1500"/>
          </w:tcPr>
          <w:p>
            <w:r/>
            <w:r>
              <w:rPr>
                <w:rFonts w:ascii="Times New Roman" w:hAnsi="Times New Roman" w:eastAsia="Times New Roman"/>
                <w:b/>
                <w:i w:val="0"/>
                <w:color w:val="000000"/>
                <w:sz w:val="20"/>
              </w:rPr>
              <w:t>Real-Time Sync</w:t>
            </w:r>
          </w:p>
        </w:tc>
        <w:tc>
          <w:tcPr>
            <w:tcW w:type="dxa" w:w="1500"/>
          </w:tcPr>
          <w:p>
            <w:r/>
            <w:r>
              <w:rPr>
                <w:rFonts w:ascii="Times New Roman" w:hAnsi="Times New Roman" w:eastAsia="Times New Roman"/>
                <w:b/>
                <w:i w:val="0"/>
                <w:color w:val="000000"/>
                <w:sz w:val="20"/>
              </w:rPr>
              <w:t>Client Cryptography</w:t>
            </w:r>
          </w:p>
        </w:tc>
        <w:tc>
          <w:tcPr>
            <w:tcW w:type="dxa" w:w="1500"/>
          </w:tcPr>
          <w:p>
            <w:r/>
            <w:r>
              <w:rPr>
                <w:rFonts w:ascii="Times New Roman" w:hAnsi="Times New Roman" w:eastAsia="Times New Roman"/>
                <w:b/>
                <w:i w:val="0"/>
                <w:color w:val="000000"/>
                <w:sz w:val="20"/>
              </w:rPr>
              <w:t>Ledger Audit Log</w:t>
            </w:r>
          </w:p>
        </w:tc>
        <w:tc>
          <w:tcPr>
            <w:tcW w:type="dxa" w:w="1500"/>
          </w:tcPr>
          <w:p>
            <w:r/>
            <w:r>
              <w:rPr>
                <w:rFonts w:ascii="Times New Roman" w:hAnsi="Times New Roman" w:eastAsia="Times New Roman"/>
                <w:b/>
                <w:i w:val="0"/>
                <w:color w:val="000000"/>
                <w:sz w:val="20"/>
              </w:rPr>
              <w:t>QKD Simulation</w:t>
            </w:r>
          </w:p>
        </w:tc>
        <w:tc>
          <w:tcPr>
            <w:tcW w:type="dxa" w:w="1500"/>
          </w:tcPr>
          <w:p>
            <w:r/>
            <w:r>
              <w:rPr>
                <w:rFonts w:ascii="Times New Roman" w:hAnsi="Times New Roman" w:eastAsia="Times New Roman"/>
                <w:b/>
                <w:i w:val="0"/>
                <w:color w:val="000000"/>
                <w:sz w:val="20"/>
              </w:rPr>
              <w:t>Deployment Context</w:t>
            </w:r>
          </w:p>
        </w:tc>
      </w:tr>
      <w:tr>
        <w:tc>
          <w:tcPr>
            <w:tcW w:type="dxa" w:w="1500"/>
          </w:tcPr>
          <w:p>
            <w:r/>
            <w:r>
              <w:rPr>
                <w:rFonts w:ascii="Times New Roman" w:hAnsi="Times New Roman" w:eastAsia="Times New Roman"/>
                <w:b w:val="0"/>
                <w:i w:val="0"/>
                <w:color w:val="000000"/>
                <w:sz w:val="20"/>
              </w:rPr>
              <w:t>WhatsApp / Signal</w:t>
            </w:r>
          </w:p>
        </w:tc>
        <w:tc>
          <w:tcPr>
            <w:tcW w:type="dxa" w:w="1500"/>
          </w:tcPr>
          <w:p>
            <w:r/>
            <w:r>
              <w:rPr>
                <w:rFonts w:ascii="Times New Roman" w:hAnsi="Times New Roman" w:eastAsia="Times New Roman"/>
                <w:b w:val="0"/>
                <w:i w:val="0"/>
                <w:color w:val="000000"/>
                <w:sz w:val="20"/>
              </w:rPr>
              <w:t>High (WebSockets)</w:t>
            </w:r>
          </w:p>
        </w:tc>
        <w:tc>
          <w:tcPr>
            <w:tcW w:type="dxa" w:w="1500"/>
          </w:tcPr>
          <w:p>
            <w:r/>
            <w:r>
              <w:rPr>
                <w:rFonts w:ascii="Times New Roman" w:hAnsi="Times New Roman" w:eastAsia="Times New Roman"/>
                <w:b w:val="0"/>
                <w:i w:val="0"/>
                <w:color w:val="000000"/>
                <w:sz w:val="20"/>
              </w:rPr>
              <w:t>End-to-End (Signal Protocol)</w:t>
            </w:r>
          </w:p>
        </w:tc>
        <w:tc>
          <w:tcPr>
            <w:tcW w:type="dxa" w:w="1500"/>
          </w:tcPr>
          <w:p>
            <w:r/>
            <w:r>
              <w:rPr>
                <w:rFonts w:ascii="Times New Roman" w:hAnsi="Times New Roman" w:eastAsia="Times New Roman"/>
                <w:b w:val="0"/>
                <w:i w:val="0"/>
                <w:color w:val="000000"/>
                <w:sz w:val="20"/>
              </w:rPr>
              <w:t>None</w:t>
            </w:r>
          </w:p>
        </w:tc>
        <w:tc>
          <w:tcPr>
            <w:tcW w:type="dxa" w:w="1500"/>
          </w:tcPr>
          <w:p>
            <w:r/>
            <w:r>
              <w:rPr>
                <w:rFonts w:ascii="Times New Roman" w:hAnsi="Times New Roman" w:eastAsia="Times New Roman"/>
                <w:b w:val="0"/>
                <w:i w:val="0"/>
                <w:color w:val="000000"/>
                <w:sz w:val="20"/>
              </w:rPr>
              <w:t>None</w:t>
            </w:r>
          </w:p>
        </w:tc>
        <w:tc>
          <w:tcPr>
            <w:tcW w:type="dxa" w:w="1500"/>
          </w:tcPr>
          <w:p>
            <w:r/>
            <w:r>
              <w:rPr>
                <w:rFonts w:ascii="Times New Roman" w:hAnsi="Times New Roman" w:eastAsia="Times New Roman"/>
                <w:b w:val="0"/>
                <w:i w:val="0"/>
                <w:color w:val="000000"/>
                <w:sz w:val="20"/>
              </w:rPr>
              <w:t>Consumer Mobile / Desktop</w:t>
            </w:r>
          </w:p>
        </w:tc>
      </w:tr>
      <w:tr>
        <w:tc>
          <w:tcPr>
            <w:tcW w:type="dxa" w:w="1500"/>
          </w:tcPr>
          <w:p>
            <w:r/>
            <w:r>
              <w:rPr>
                <w:rFonts w:ascii="Times New Roman" w:hAnsi="Times New Roman" w:eastAsia="Times New Roman"/>
                <w:b w:val="0"/>
                <w:i w:val="0"/>
                <w:color w:val="000000"/>
                <w:sz w:val="20"/>
              </w:rPr>
              <w:t>Microsoft Teams / Slack</w:t>
            </w:r>
          </w:p>
        </w:tc>
        <w:tc>
          <w:tcPr>
            <w:tcW w:type="dxa" w:w="1500"/>
          </w:tcPr>
          <w:p>
            <w:r/>
            <w:r>
              <w:rPr>
                <w:rFonts w:ascii="Times New Roman" w:hAnsi="Times New Roman" w:eastAsia="Times New Roman"/>
                <w:b w:val="0"/>
                <w:i w:val="0"/>
                <w:color w:val="000000"/>
                <w:sz w:val="20"/>
              </w:rPr>
              <w:t>High (WebSockets)</w:t>
            </w:r>
          </w:p>
        </w:tc>
        <w:tc>
          <w:tcPr>
            <w:tcW w:type="dxa" w:w="1500"/>
          </w:tcPr>
          <w:p>
            <w:r/>
            <w:r>
              <w:rPr>
                <w:rFonts w:ascii="Times New Roman" w:hAnsi="Times New Roman" w:eastAsia="Times New Roman"/>
                <w:b w:val="0"/>
                <w:i w:val="0"/>
                <w:color w:val="000000"/>
                <w:sz w:val="20"/>
              </w:rPr>
              <w:t>TLS + Server Encryption</w:t>
            </w:r>
          </w:p>
        </w:tc>
        <w:tc>
          <w:tcPr>
            <w:tcW w:type="dxa" w:w="1500"/>
          </w:tcPr>
          <w:p>
            <w:r/>
            <w:r>
              <w:rPr>
                <w:rFonts w:ascii="Times New Roman" w:hAnsi="Times New Roman" w:eastAsia="Times New Roman"/>
                <w:b w:val="0"/>
                <w:i w:val="0"/>
                <w:color w:val="000000"/>
                <w:sz w:val="20"/>
              </w:rPr>
              <w:t>None (Cloud Database)</w:t>
            </w:r>
          </w:p>
        </w:tc>
        <w:tc>
          <w:tcPr>
            <w:tcW w:type="dxa" w:w="1500"/>
          </w:tcPr>
          <w:p>
            <w:r/>
            <w:r>
              <w:rPr>
                <w:rFonts w:ascii="Times New Roman" w:hAnsi="Times New Roman" w:eastAsia="Times New Roman"/>
                <w:b w:val="0"/>
                <w:i w:val="0"/>
                <w:color w:val="000000"/>
                <w:sz w:val="20"/>
              </w:rPr>
              <w:t>None</w:t>
            </w:r>
          </w:p>
        </w:tc>
        <w:tc>
          <w:tcPr>
            <w:tcW w:type="dxa" w:w="1500"/>
          </w:tcPr>
          <w:p>
            <w:r/>
            <w:r>
              <w:rPr>
                <w:rFonts w:ascii="Times New Roman" w:hAnsi="Times New Roman" w:eastAsia="Times New Roman"/>
                <w:b w:val="0"/>
                <w:i w:val="0"/>
                <w:color w:val="000000"/>
                <w:sz w:val="20"/>
              </w:rPr>
              <w:t>Enterprise / Office</w:t>
            </w:r>
          </w:p>
        </w:tc>
      </w:tr>
      <w:tr>
        <w:tc>
          <w:tcPr>
            <w:tcW w:type="dxa" w:w="1500"/>
          </w:tcPr>
          <w:p>
            <w:r/>
            <w:r>
              <w:rPr>
                <w:rFonts w:ascii="Times New Roman" w:hAnsi="Times New Roman" w:eastAsia="Times New Roman"/>
                <w:b w:val="0"/>
                <w:i w:val="0"/>
                <w:color w:val="000000"/>
                <w:sz w:val="20"/>
              </w:rPr>
              <w:t>Rocket.Chat</w:t>
            </w:r>
          </w:p>
        </w:tc>
        <w:tc>
          <w:tcPr>
            <w:tcW w:type="dxa" w:w="1500"/>
          </w:tcPr>
          <w:p>
            <w:r/>
            <w:r>
              <w:rPr>
                <w:rFonts w:ascii="Times New Roman" w:hAnsi="Times New Roman" w:eastAsia="Times New Roman"/>
                <w:b w:val="0"/>
                <w:i w:val="0"/>
                <w:color w:val="000000"/>
                <w:sz w:val="20"/>
              </w:rPr>
              <w:t>High (WebSockets)</w:t>
            </w:r>
          </w:p>
        </w:tc>
        <w:tc>
          <w:tcPr>
            <w:tcW w:type="dxa" w:w="1500"/>
          </w:tcPr>
          <w:p>
            <w:r/>
            <w:r>
              <w:rPr>
                <w:rFonts w:ascii="Times New Roman" w:hAnsi="Times New Roman" w:eastAsia="Times New Roman"/>
                <w:b w:val="0"/>
                <w:i w:val="0"/>
                <w:color w:val="000000"/>
                <w:sz w:val="20"/>
              </w:rPr>
              <w:t>Optional E2EE</w:t>
            </w:r>
          </w:p>
        </w:tc>
        <w:tc>
          <w:tcPr>
            <w:tcW w:type="dxa" w:w="1500"/>
          </w:tcPr>
          <w:p>
            <w:r/>
            <w:r>
              <w:rPr>
                <w:rFonts w:ascii="Times New Roman" w:hAnsi="Times New Roman" w:eastAsia="Times New Roman"/>
                <w:b w:val="0"/>
                <w:i w:val="0"/>
                <w:color w:val="000000"/>
                <w:sz w:val="20"/>
              </w:rPr>
              <w:t>None (MongoDB)</w:t>
            </w:r>
          </w:p>
        </w:tc>
        <w:tc>
          <w:tcPr>
            <w:tcW w:type="dxa" w:w="1500"/>
          </w:tcPr>
          <w:p>
            <w:r/>
            <w:r>
              <w:rPr>
                <w:rFonts w:ascii="Times New Roman" w:hAnsi="Times New Roman" w:eastAsia="Times New Roman"/>
                <w:b w:val="0"/>
                <w:i w:val="0"/>
                <w:color w:val="000000"/>
                <w:sz w:val="20"/>
              </w:rPr>
              <w:t>None</w:t>
            </w:r>
          </w:p>
        </w:tc>
        <w:tc>
          <w:tcPr>
            <w:tcW w:type="dxa" w:w="1500"/>
          </w:tcPr>
          <w:p>
            <w:r/>
            <w:r>
              <w:rPr>
                <w:rFonts w:ascii="Times New Roman" w:hAnsi="Times New Roman" w:eastAsia="Times New Roman"/>
                <w:b w:val="0"/>
                <w:i w:val="0"/>
                <w:color w:val="000000"/>
                <w:sz w:val="20"/>
              </w:rPr>
              <w:t>Self-Hosted Organizations</w:t>
            </w:r>
          </w:p>
        </w:tc>
      </w:tr>
      <w:tr>
        <w:tc>
          <w:tcPr>
            <w:tcW w:type="dxa" w:w="1500"/>
          </w:tcPr>
          <w:p>
            <w:r/>
            <w:r>
              <w:rPr>
                <w:rFonts w:ascii="Times New Roman" w:hAnsi="Times New Roman" w:eastAsia="Times New Roman"/>
                <w:b w:val="0"/>
                <w:i w:val="0"/>
                <w:color w:val="000000"/>
                <w:sz w:val="20"/>
              </w:rPr>
              <w:t>Public Web3 dApps</w:t>
            </w:r>
          </w:p>
        </w:tc>
        <w:tc>
          <w:tcPr>
            <w:tcW w:type="dxa" w:w="1500"/>
          </w:tcPr>
          <w:p>
            <w:r/>
            <w:r>
              <w:rPr>
                <w:rFonts w:ascii="Times New Roman" w:hAnsi="Times New Roman" w:eastAsia="Times New Roman"/>
                <w:b w:val="0"/>
                <w:i w:val="0"/>
                <w:color w:val="000000"/>
                <w:sz w:val="20"/>
              </w:rPr>
              <w:t>Low (Block Polling)</w:t>
            </w:r>
          </w:p>
        </w:tc>
        <w:tc>
          <w:tcPr>
            <w:tcW w:type="dxa" w:w="1500"/>
          </w:tcPr>
          <w:p>
            <w:r/>
            <w:r>
              <w:rPr>
                <w:rFonts w:ascii="Times New Roman" w:hAnsi="Times New Roman" w:eastAsia="Times New Roman"/>
                <w:b w:val="0"/>
                <w:i w:val="0"/>
                <w:color w:val="000000"/>
                <w:sz w:val="20"/>
              </w:rPr>
              <w:t>Wallet Signatures</w:t>
            </w:r>
          </w:p>
        </w:tc>
        <w:tc>
          <w:tcPr>
            <w:tcW w:type="dxa" w:w="1500"/>
          </w:tcPr>
          <w:p>
            <w:r/>
            <w:r>
              <w:rPr>
                <w:rFonts w:ascii="Times New Roman" w:hAnsi="Times New Roman" w:eastAsia="Times New Roman"/>
                <w:b w:val="0"/>
                <w:i w:val="0"/>
                <w:color w:val="000000"/>
                <w:sz w:val="20"/>
              </w:rPr>
              <w:t>Full On-Chain (High Gas)</w:t>
            </w:r>
          </w:p>
        </w:tc>
        <w:tc>
          <w:tcPr>
            <w:tcW w:type="dxa" w:w="1500"/>
          </w:tcPr>
          <w:p>
            <w:r/>
            <w:r>
              <w:rPr>
                <w:rFonts w:ascii="Times New Roman" w:hAnsi="Times New Roman" w:eastAsia="Times New Roman"/>
                <w:b w:val="0"/>
                <w:i w:val="0"/>
                <w:color w:val="000000"/>
                <w:sz w:val="20"/>
              </w:rPr>
              <w:t>None</w:t>
            </w:r>
          </w:p>
        </w:tc>
        <w:tc>
          <w:tcPr>
            <w:tcW w:type="dxa" w:w="1500"/>
          </w:tcPr>
          <w:p>
            <w:r/>
            <w:r>
              <w:rPr>
                <w:rFonts w:ascii="Times New Roman" w:hAnsi="Times New Roman" w:eastAsia="Times New Roman"/>
                <w:b w:val="0"/>
                <w:i w:val="0"/>
                <w:color w:val="000000"/>
                <w:sz w:val="20"/>
              </w:rPr>
              <w:t>Public Blockchain Demos</w:t>
            </w:r>
          </w:p>
        </w:tc>
      </w:tr>
      <w:tr>
        <w:tc>
          <w:tcPr>
            <w:tcW w:type="dxa" w:w="1500"/>
          </w:tcPr>
          <w:p>
            <w:r/>
            <w:r>
              <w:rPr>
                <w:rFonts w:ascii="Times New Roman" w:hAnsi="Times New Roman" w:eastAsia="Times New Roman"/>
                <w:b w:val="0"/>
                <w:i w:val="0"/>
                <w:color w:val="000000"/>
                <w:sz w:val="20"/>
              </w:rPr>
              <w:t>Canvas / Moodle LMS</w:t>
            </w:r>
          </w:p>
        </w:tc>
        <w:tc>
          <w:tcPr>
            <w:tcW w:type="dxa" w:w="1500"/>
          </w:tcPr>
          <w:p>
            <w:r/>
            <w:r>
              <w:rPr>
                <w:rFonts w:ascii="Times New Roman" w:hAnsi="Times New Roman" w:eastAsia="Times New Roman"/>
                <w:b w:val="0"/>
                <w:i w:val="0"/>
                <w:color w:val="000000"/>
                <w:sz w:val="20"/>
              </w:rPr>
              <w:t>Low (HTTP Requests)</w:t>
            </w:r>
          </w:p>
        </w:tc>
        <w:tc>
          <w:tcPr>
            <w:tcW w:type="dxa" w:w="1500"/>
          </w:tcPr>
          <w:p>
            <w:r/>
            <w:r>
              <w:rPr>
                <w:rFonts w:ascii="Times New Roman" w:hAnsi="Times New Roman" w:eastAsia="Times New Roman"/>
                <w:b w:val="0"/>
                <w:i w:val="0"/>
                <w:color w:val="000000"/>
                <w:sz w:val="20"/>
              </w:rPr>
              <w:t>TLS Only</w:t>
            </w:r>
          </w:p>
        </w:tc>
        <w:tc>
          <w:tcPr>
            <w:tcW w:type="dxa" w:w="1500"/>
          </w:tcPr>
          <w:p>
            <w:r/>
            <w:r>
              <w:rPr>
                <w:rFonts w:ascii="Times New Roman" w:hAnsi="Times New Roman" w:eastAsia="Times New Roman"/>
                <w:b w:val="0"/>
                <w:i w:val="0"/>
                <w:color w:val="000000"/>
                <w:sz w:val="20"/>
              </w:rPr>
              <w:t>None (SQL Database)</w:t>
            </w:r>
          </w:p>
        </w:tc>
        <w:tc>
          <w:tcPr>
            <w:tcW w:type="dxa" w:w="1500"/>
          </w:tcPr>
          <w:p>
            <w:r/>
            <w:r>
              <w:rPr>
                <w:rFonts w:ascii="Times New Roman" w:hAnsi="Times New Roman" w:eastAsia="Times New Roman"/>
                <w:b w:val="0"/>
                <w:i w:val="0"/>
                <w:color w:val="000000"/>
                <w:sz w:val="20"/>
              </w:rPr>
              <w:t>None</w:t>
            </w:r>
          </w:p>
        </w:tc>
        <w:tc>
          <w:tcPr>
            <w:tcW w:type="dxa" w:w="1500"/>
          </w:tcPr>
          <w:p>
            <w:r/>
            <w:r>
              <w:rPr>
                <w:rFonts w:ascii="Times New Roman" w:hAnsi="Times New Roman" w:eastAsia="Times New Roman"/>
                <w:b w:val="0"/>
                <w:i w:val="0"/>
                <w:color w:val="000000"/>
                <w:sz w:val="20"/>
              </w:rPr>
              <w:t>Institutional Coursework</w:t>
            </w:r>
          </w:p>
        </w:tc>
      </w:tr>
      <w:tr>
        <w:tc>
          <w:tcPr>
            <w:tcW w:type="dxa" w:w="1500"/>
          </w:tcPr>
          <w:p>
            <w:r/>
            <w:r>
              <w:rPr>
                <w:rFonts w:ascii="Times New Roman" w:hAnsi="Times New Roman" w:eastAsia="Times New Roman"/>
                <w:b w:val="0"/>
                <w:i w:val="0"/>
                <w:color w:val="000000"/>
                <w:sz w:val="20"/>
              </w:rPr>
              <w:t>QCampus Connect (This Project)</w:t>
            </w:r>
          </w:p>
        </w:tc>
        <w:tc>
          <w:tcPr>
            <w:tcW w:type="dxa" w:w="1500"/>
          </w:tcPr>
          <w:p>
            <w:r/>
            <w:r>
              <w:rPr>
                <w:rFonts w:ascii="Times New Roman" w:hAnsi="Times New Roman" w:eastAsia="Times New Roman"/>
                <w:b w:val="0"/>
                <w:i w:val="0"/>
                <w:color w:val="000000"/>
                <w:sz w:val="20"/>
              </w:rPr>
              <w:t>High (Convex WS)</w:t>
            </w:r>
          </w:p>
        </w:tc>
        <w:tc>
          <w:tcPr>
            <w:tcW w:type="dxa" w:w="1500"/>
          </w:tcPr>
          <w:p>
            <w:r/>
            <w:r>
              <w:rPr>
                <w:rFonts w:ascii="Times New Roman" w:hAnsi="Times New Roman" w:eastAsia="Times New Roman"/>
                <w:b w:val="0"/>
                <w:i w:val="0"/>
                <w:color w:val="000000"/>
                <w:sz w:val="20"/>
              </w:rPr>
              <w:t>Web Crypto (RSA/AES)</w:t>
            </w:r>
          </w:p>
        </w:tc>
        <w:tc>
          <w:tcPr>
            <w:tcW w:type="dxa" w:w="1500"/>
          </w:tcPr>
          <w:p>
            <w:r/>
            <w:r>
              <w:rPr>
                <w:rFonts w:ascii="Times New Roman" w:hAnsi="Times New Roman" w:eastAsia="Times New Roman"/>
                <w:b w:val="0"/>
                <w:i w:val="0"/>
                <w:color w:val="000000"/>
                <w:sz w:val="20"/>
              </w:rPr>
              <w:t>Private Besu (QBFT)</w:t>
            </w:r>
          </w:p>
        </w:tc>
        <w:tc>
          <w:tcPr>
            <w:tcW w:type="dxa" w:w="1500"/>
          </w:tcPr>
          <w:p>
            <w:r/>
            <w:r>
              <w:rPr>
                <w:rFonts w:ascii="Times New Roman" w:hAnsi="Times New Roman" w:eastAsia="Times New Roman"/>
                <w:b w:val="0"/>
                <w:i w:val="0"/>
                <w:color w:val="000000"/>
                <w:sz w:val="20"/>
              </w:rPr>
              <w:t>BB84 TypeScript Module</w:t>
            </w:r>
          </w:p>
        </w:tc>
        <w:tc>
          <w:tcPr>
            <w:tcW w:type="dxa" w:w="1500"/>
          </w:tcPr>
          <w:p>
            <w:r/>
            <w:r>
              <w:rPr>
                <w:rFonts w:ascii="Times New Roman" w:hAnsi="Times New Roman" w:eastAsia="Times New Roman"/>
                <w:b w:val="0"/>
                <w:i w:val="0"/>
                <w:color w:val="000000"/>
                <w:sz w:val="20"/>
              </w:rPr>
              <w:t>Institutional Campus Prototype</w:t>
            </w:r>
          </w:p>
        </w:tc>
      </w:tr>
    </w:tbl>
    <w:p/>
    <w:p>
      <w:pPr>
        <w:ind w:firstLine="720"/>
      </w:pPr>
      <w:r>
        <w:rPr>
          <w:rFonts w:ascii="Times New Roman" w:hAnsi="Times New Roman" w:eastAsia="Times New Roman"/>
          <w:b w:val="0"/>
          <w:i w:val="0"/>
          <w:color w:val="000000"/>
          <w:sz w:val="24"/>
        </w:rPr>
        <w:t>Commercial messengers like WhatsApp employ robust end-to-end encryption (Meta, 2023; Marlinspike &amp; Perrin, 2016), but lack mechanisms for independent institutional audit trails. Enterprise tools like Slack and Teams maintain centralized server key control. Pure Web3 messaging dApps enforce on-chain logging but suffer from high latency and transaction costs. Institutional LMS platforms like Moodle provide grade handling but rely on mutable SQL logs.</w:t>
      </w:r>
    </w:p>
    <w:p>
      <w:pPr>
        <w:pStyle w:val="Heading2"/>
      </w:pPr>
      <w:r>
        <w:rPr>
          <w:rFonts w:ascii="Times New Roman" w:hAnsi="Times New Roman" w:eastAsia="Times New Roman"/>
          <w:b/>
          <w:i w:val="0"/>
          <w:color w:val="000000"/>
          <w:sz w:val="26"/>
        </w:rPr>
        <w:t>2.4 Identified Domain Gaps</w:t>
      </w:r>
    </w:p>
    <w:p>
      <w:pPr>
        <w:ind w:firstLine="720"/>
      </w:pPr>
      <w:r>
        <w:rPr>
          <w:rFonts w:ascii="Times New Roman" w:hAnsi="Times New Roman" w:eastAsia="Times New Roman"/>
          <w:b w:val="0"/>
          <w:i w:val="0"/>
          <w:color w:val="000000"/>
          <w:sz w:val="24"/>
        </w:rPr>
        <w:t>Literature and current software platforms reveal three major gaps:</w:t>
      </w:r>
    </w:p>
    <w:p>
      <w:pPr>
        <w:pStyle w:val="ListNumber"/>
      </w:pPr>
      <w:r>
        <w:rPr>
          <w:rFonts w:ascii="Times New Roman" w:hAnsi="Times New Roman" w:eastAsia="Times New Roman"/>
          <w:b w:val="0"/>
          <w:i w:val="0"/>
          <w:color w:val="000000"/>
          <w:sz w:val="24"/>
        </w:rPr>
        <w:t>Binary separation of Web2 and Web3 architectures: Existing platforms treat cloud databases and blockchain ledgers as mutually exclusive rather than combining cloud speed with blockchain auditability.</w:t>
      </w:r>
    </w:p>
    <w:p>
      <w:pPr>
        <w:pStyle w:val="ListNumber"/>
      </w:pPr>
      <w:r>
        <w:rPr>
          <w:rFonts w:ascii="Times New Roman" w:hAnsi="Times New Roman" w:eastAsia="Times New Roman"/>
          <w:b w:val="0"/>
          <w:i w:val="0"/>
          <w:color w:val="000000"/>
          <w:sz w:val="24"/>
        </w:rPr>
        <w:t>Mutable institutional activity logs: Learning management systems lack cryptographic mechanisms to prove file state integrity during academic submission disputes.</w:t>
      </w:r>
    </w:p>
    <w:p>
      <w:pPr>
        <w:pStyle w:val="ListNumber"/>
      </w:pPr>
      <w:r>
        <w:rPr>
          <w:rFonts w:ascii="Times New Roman" w:hAnsi="Times New Roman" w:eastAsia="Times New Roman"/>
          <w:b w:val="0"/>
          <w:i w:val="0"/>
          <w:color w:val="000000"/>
          <w:sz w:val="24"/>
        </w:rPr>
        <w:t>Theoretical abstraction of post-quantum education: Academic discussion of quantum threat (Bernstein &amp; Lange, 2017) rarely translates into accessible software implementations for undergraduate instruction.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