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followed an iterative Agile development lifecycle structured into five two-week development sprints. This iterative approach allowed the team to implement incremental software components, validate cryptographic flows, and address integration issues between cloud services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Key Engineering Deliverables</w:t>
            </w:r>
          </w:p>
        </w:tc>
      </w:tr>
      <w:tr>
        <w:tc>
          <w:tcPr>
            <w:tcW w:type="dxa" w:w="3000"/>
          </w:tcPr>
          <w:p>
            <w:r/>
            <w:r>
              <w:rPr>
                <w:rFonts w:ascii="Times New Roman" w:hAnsi="Times New Roman" w:eastAsia="Times New Roman"/>
                <w:b w:val="0"/>
                <w:i w:val="0"/>
                <w:color w:val="000000"/>
                <w:sz w:val="20"/>
              </w:rPr>
              <w:t>Sprint 1: 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UI routes, and layout components</w:t>
            </w:r>
          </w:p>
        </w:tc>
      </w:tr>
      <w:tr>
        <w:tc>
          <w:tcPr>
            <w:tcW w:type="dxa" w:w="3000"/>
          </w:tcPr>
          <w:p>
            <w:r/>
            <w:r>
              <w:rPr>
                <w:rFonts w:ascii="Times New Roman" w:hAnsi="Times New Roman" w:eastAsia="Times New Roman"/>
                <w:b w:val="0"/>
                <w:i w:val="0"/>
                <w:color w:val="000000"/>
                <w:sz w:val="20"/>
              </w:rPr>
              <w:t>Sprint 2: Convex Backend</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schema definition, real-time mutations, reactive queries,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Web Crypto API integration (RSA/AES), IndexedDB keyring, BB84 simulation module</w:t>
            </w:r>
          </w:p>
        </w:tc>
      </w:tr>
      <w:tr>
        <w:tc>
          <w:tcPr>
            <w:tcW w:type="dxa" w:w="3000"/>
          </w:tcPr>
          <w:p>
            <w:r/>
            <w:r>
              <w:rPr>
                <w:rFonts w:ascii="Times New Roman" w:hAnsi="Times New Roman" w:eastAsia="Times New Roman"/>
                <w:b w:val="0"/>
                <w:i w:val="0"/>
                <w:color w:val="000000"/>
                <w:sz w:val="20"/>
              </w:rPr>
              <w:t>Sprint 4: Ledger Integration</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Testing</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End-to-end system testing, user walk-throughs, performance benchmarking,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QCampus Connect employs a three-tier hybrid architecture comprising Presentation, Application, and Verification layers. High-frequency operations (messaging, notifications, Q&amp;A) interact with the cloud Application layer, while audit hashes and identity approvals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Layer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Environment</w:t>
            </w:r>
          </w:p>
        </w:tc>
        <w:tc>
          <w:tcPr>
            <w:tcW w:type="dxa" w:w="2250"/>
          </w:tcPr>
          <w:p>
            <w:r/>
            <w:r>
              <w:rPr>
                <w:rFonts w:ascii="Times New Roman" w:hAnsi="Times New Roman" w:eastAsia="Times New Roman"/>
                <w:b/>
                <w:i w:val="0"/>
                <w:color w:val="000000"/>
                <w:sz w:val="20"/>
              </w:rPr>
              <w:t>Primary Responsibility</w:t>
            </w:r>
          </w:p>
        </w:tc>
      </w:tr>
      <w:tr>
        <w:tc>
          <w:tcPr>
            <w:tcW w:type="dxa" w:w="2250"/>
          </w:tcPr>
          <w:p>
            <w:r/>
            <w:r>
              <w:rPr>
                <w:rFonts w:ascii="Times New Roman" w:hAnsi="Times New Roman" w:eastAsia="Times New Roman"/>
                <w:b w:val="0"/>
                <w:i w:val="0"/>
                <w:color w:val="000000"/>
                <w:sz w:val="20"/>
              </w:rPr>
              <w:t>Presentation</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Browser (localhost:5173)</w:t>
            </w:r>
          </w:p>
        </w:tc>
        <w:tc>
          <w:tcPr>
            <w:tcW w:type="dxa" w:w="2250"/>
          </w:tcPr>
          <w:p>
            <w:r/>
            <w:r>
              <w:rPr>
                <w:rFonts w:ascii="Times New Roman" w:hAnsi="Times New Roman" w:eastAsia="Times New Roman"/>
                <w:b w:val="0"/>
                <w:i w:val="0"/>
                <w:color w:val="000000"/>
                <w:sz w:val="20"/>
              </w:rPr>
              <w:t>User interface, client-side encryption/decryption, BB84 simulation</w:t>
            </w:r>
          </w:p>
        </w:tc>
      </w:tr>
      <w:tr>
        <w:tc>
          <w:tcPr>
            <w:tcW w:type="dxa" w:w="2250"/>
          </w:tcPr>
          <w:p>
            <w:r/>
            <w:r>
              <w:rPr>
                <w:rFonts w:ascii="Times New Roman" w:hAnsi="Times New Roman" w:eastAsia="Times New Roman"/>
                <w:b w:val="0"/>
                <w:i w:val="0"/>
                <w:color w:val="000000"/>
                <w:sz w:val="20"/>
              </w:rPr>
              <w:t>Application</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Dev Server</w:t>
            </w:r>
          </w:p>
        </w:tc>
        <w:tc>
          <w:tcPr>
            <w:tcW w:type="dxa" w:w="2250"/>
          </w:tcPr>
          <w:p>
            <w:r/>
            <w:r>
              <w:rPr>
                <w:rFonts w:ascii="Times New Roman" w:hAnsi="Times New Roman" w:eastAsia="Times New Roman"/>
                <w:b w:val="0"/>
                <w:i w:val="0"/>
                <w:color w:val="000000"/>
                <w:sz w:val="20"/>
              </w:rPr>
              <w:t>Real-time state synchronization, document database, encrypted file storage</w:t>
            </w:r>
          </w:p>
        </w:tc>
      </w:tr>
      <w:tr>
        <w:tc>
          <w:tcPr>
            <w:tcW w:type="dxa" w:w="2250"/>
          </w:tcPr>
          <w:p>
            <w:r/>
            <w:r>
              <w:rPr>
                <w:rFonts w:ascii="Times New Roman" w:hAnsi="Times New Roman" w:eastAsia="Times New Roman"/>
                <w:b w:val="0"/>
                <w:i w:val="0"/>
                <w:color w:val="000000"/>
                <w:sz w:val="20"/>
              </w:rPr>
              <w:t>Verification</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digest logging (recordHash), on-chain role verification</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lists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Core Schema Fields</w:t>
            </w:r>
          </w:p>
        </w:tc>
        <w:tc>
          <w:tcPr>
            <w:tcW w:type="dxa" w:w="2250"/>
          </w:tcPr>
          <w:p>
            <w:r/>
            <w:r>
              <w:rPr>
                <w:rFonts w:ascii="Times New Roman" w:hAnsi="Times New Roman" w:eastAsia="Times New Roman"/>
                <w:b/>
                <w:i w:val="0"/>
                <w:color w:val="000000"/>
                <w:sz w:val="20"/>
              </w:rPr>
              <w:t>Secondary Indexing</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authentication records</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firstName, lastName, email, role, indexNumber, staffId (PS***), idNumber, walletAddress, verificationStatus</w:t>
            </w:r>
          </w:p>
        </w:tc>
        <w:tc>
          <w:tcPr>
            <w:tcW w:type="dxa" w:w="2250"/>
          </w:tcPr>
          <w:p>
            <w:r/>
            <w:r>
              <w:rPr>
                <w:rFonts w:ascii="Times New Roman" w:hAnsi="Times New Roman" w:eastAsia="Times New Roman"/>
                <w:b w:val="0"/>
                <w:i w:val="0"/>
                <w:color w:val="000000"/>
                <w:sz w:val="20"/>
              </w:rPr>
              <w:t>by_email, by_indexNumber, by_staffId, by_idNumber, by_sessionToken, by_school, by_verificationStatus, by_walletAddress</w:t>
            </w:r>
          </w:p>
        </w:tc>
        <w:tc>
          <w:tcPr>
            <w:tcW w:type="dxa" w:w="2250"/>
          </w:tcPr>
          <w:p>
            <w:r/>
            <w:r>
              <w:rPr>
                <w:rFonts w:ascii="Times New Roman" w:hAnsi="Times New Roman" w:eastAsia="Times New Roman"/>
                <w:b w:val="0"/>
                <w:i w:val="0"/>
                <w:color w:val="000000"/>
                <w:sz w:val="20"/>
              </w:rPr>
              <w:t>Student and lecturer profiles indexed by real-world identifiers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One-to-one conversation room metadata</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Unread badges and member room state</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message payloads and audit tx hashes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w:t>
            </w:r>
          </w:p>
        </w:tc>
        <w:tc>
          <w:tcPr>
            <w:tcW w:type="dxa" w:w="2250"/>
          </w:tcPr>
          <w:p>
            <w:r/>
            <w:r>
              <w:rPr>
                <w:rFonts w:ascii="Times New Roman" w:hAnsi="Times New Roman" w:eastAsia="Times New Roman"/>
                <w:b w:val="0"/>
                <w:i w:val="0"/>
                <w:color w:val="000000"/>
                <w:sz w:val="20"/>
              </w:rPr>
              <w:t>by_createdAt</w:t>
            </w:r>
          </w:p>
        </w:tc>
        <w:tc>
          <w:tcPr>
            <w:tcW w:type="dxa" w:w="2250"/>
          </w:tcPr>
          <w:p>
            <w:r/>
            <w:r>
              <w:rPr>
                <w:rFonts w:ascii="Times New Roman" w:hAnsi="Times New Roman" w:eastAsia="Times New Roman"/>
                <w:b w:val="0"/>
                <w:i w:val="0"/>
                <w:color w:val="000000"/>
                <w:sz w:val="20"/>
              </w:rPr>
              <w:t>Hashtag-indexed community Q&amp;A posts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body</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Community answers linked to questions</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type,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User alert and system event notifications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evidence, status,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Institutional identity review queue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Persistence</w:t>
      </w:r>
    </w:p>
    <w:p>
      <w:pPr>
        <w:ind w:firstLine="720"/>
      </w:pPr>
      <w:r>
        <w:rPr>
          <w:rFonts w:ascii="Times New Roman" w:hAnsi="Times New Roman" w:eastAsia="Times New Roman"/>
          <w:b w:val="0"/>
          <w:i w:val="0"/>
          <w:color w:val="000000"/>
          <w:sz w:val="24"/>
        </w:rPr>
        <w:t>Upon initial account registration, the CryptographicLoginGatekeeper component (src/App.tsx) triggers generateClientIdentityKeys() in src/services/web3Service.ts. The W3C Web Crypto API generates an RSA-OAEP 2048-bit keypair. The public key is exported as a SubjectPublicKeyInfo (SPKI) Base64 string and stored on the user's Convex document. The private CryptoKey object is stored locally in the browser's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Message payloads and file attachments are encrypted client-side using 256-bit AES-GCM (src/services/keyExchange.ts). For each message, the client generates a cryptographic 12-byte Initialization Vector (IV). Plaintext text or binary file ArrayBuffers are encrypted, and the resulting ciphertext and IV are transmitted to Convex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sensitive mode is active, the browser computes the SHA-256 digest of the message payload. The client invokes logHashToBlockchain() in src/services/web3Service.ts, connecting via JsonRpcProvider to the local Besu node at 127.0.0.1:8545. The contract method recordHash(messageId, messageHash, sender, receiver) executes on MessageVerifier.sol, storing the immutable hash on the ledger (Ethers.js Contributors, 2024). The returned transaction hash is saved to the Convex message record.</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BB84 module (src/lib/bb84.ts) simulates quantum key exchange mechanics using cryptographically secure random numbers (window.crypto.getRandomValues). The process executes through four stages:</w:t>
      </w:r>
    </w:p>
    <w:p>
      <w:pPr>
        <w:pStyle w:val="ListNumber"/>
      </w:pPr>
      <w:r>
        <w:rPr>
          <w:rFonts w:ascii="Times New Roman" w:hAnsi="Times New Roman" w:eastAsia="Times New Roman"/>
          <w:b w:val="0"/>
          <w:i w:val="0"/>
          <w:color w:val="000000"/>
          <w:sz w:val="24"/>
        </w:rPr>
        <w:t>State Preparation: Alice generates a random bit sequence and selects random preparation bases (Rectilinear + or Diagonal ×).</w:t>
      </w:r>
    </w:p>
    <w:p>
      <w:pPr>
        <w:pStyle w:val="ListNumber"/>
      </w:pPr>
      <w:r>
        <w:rPr>
          <w:rFonts w:ascii="Times New Roman" w:hAnsi="Times New Roman" w:eastAsia="Times New Roman"/>
          <w:b w:val="0"/>
          <w:i w:val="0"/>
          <w:color w:val="000000"/>
          <w:sz w:val="24"/>
        </w:rPr>
        <w:t>Measurement &amp; Sifting: Bob selects random measurement bases. Alice and Bob compare bases over a public channel, retaining bits where bases matched (sifted key).</w:t>
      </w:r>
    </w:p>
    <w:p>
      <w:pPr>
        <w:pStyle w:val="ListNumber"/>
      </w:pPr>
      <w:r>
        <w:rPr>
          <w:rFonts w:ascii="Times New Roman" w:hAnsi="Times New Roman" w:eastAsia="Times New Roman"/>
          <w:b w:val="0"/>
          <w:i w:val="0"/>
          <w:color w:val="000000"/>
          <w:sz w:val="24"/>
        </w:rPr>
        <w:t>Error Estimation: Quantum Bit Error Rate (QBER) is calculated by checking bit mismatches across sample bits.</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session key is derived and formatted as a hex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message records and user role state on the private Besu network. Core contract functions include:</w:t>
      </w:r>
    </w:p>
    <w:p>
      <w:pPr>
        <w:pStyle w:val="ListBullet"/>
      </w:pPr>
      <w:r>
        <w:rPr>
          <w:rFonts w:ascii="Times New Roman" w:hAnsi="Times New Roman" w:eastAsia="Times New Roman"/>
          <w:b w:val="0"/>
          <w:i w:val="0"/>
          <w:color w:val="000000"/>
          <w:sz w:val="24"/>
        </w:rPr>
        <w:t>recordHash(string messageId, bytes32 messageHash, address sender, address receiver): Stores payload digest; reverts on duplicate message ID.</w:t>
      </w:r>
    </w:p>
    <w:p>
      <w:pPr>
        <w:pStyle w:val="ListBullet"/>
      </w:pPr>
      <w:r>
        <w:rPr>
          <w:rFonts w:ascii="Times New Roman" w:hAnsi="Times New Roman" w:eastAsia="Times New Roman"/>
          <w:b w:val="0"/>
          <w:i w:val="0"/>
          <w:color w:val="000000"/>
          <w:sz w:val="24"/>
        </w:rPr>
        <w:t>verifyHash(string messageId): Read-only view function returning stored bytes32 hash for integrity verification.</w:t>
      </w:r>
    </w:p>
    <w:p>
      <w:pPr>
        <w:pStyle w:val="ListBullet"/>
      </w:pPr>
      <w:r>
        <w:rPr>
          <w:rFonts w:ascii="Times New Roman" w:hAnsi="Times New Roman" w:eastAsia="Times New Roman"/>
          <w:b w:val="0"/>
          <w:i w:val="0"/>
          <w:color w:val="000000"/>
          <w:sz w:val="24"/>
        </w:rPr>
        <w:t>verifyUser(address user, string role): Admin-only function registering verified user identity and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role and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in PS*** format (e.g., PS001, PS123) to role and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bindings.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Message Flow: Input message/file → Client AES-GCM encryption → Compute SHA-256 payload hash → Send ciphertext to Convex → Execute Besu recordHash() via Ethers.js → Attach txHash to Convex message → Recipient decrypts payload and verifies hash.</w:t>
      </w:r>
    </w:p>
    <w:p>
      <w:pPr>
        <w:ind w:firstLine="720"/>
      </w:pPr>
      <w:r>
        <w:rPr>
          <w:rFonts w:ascii="Times New Roman" w:hAnsi="Times New Roman" w:eastAsia="Times New Roman"/>
          <w:b w:val="0"/>
          <w:i w:val="0"/>
          <w:color w:val="000000"/>
          <w:sz w:val="24"/>
        </w:rPr>
        <w:t>Verification Flow: Admin enters search identifier (Email, Student Index Number UEB3509022, or Lecturer Staff ID PS***) → Query Convex database for user profile and 30-day message history → Inspect Cryptographic Audit Trail comparing Convex mutable DB timestamp against Besu immutable block timestamp → Validate content SHA-256 hash match → Generate and print formal verification audit report.</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routes: LandingPage, Register, Login, ForgotPassword, MessagesList, QAPage, Explore,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Security Impact</w:t>
            </w:r>
          </w:p>
        </w:tc>
        <w:tc>
          <w:tcPr>
            <w:tcW w:type="dxa" w:w="3000"/>
          </w:tcPr>
          <w:p>
            <w:r/>
            <w:r>
              <w:rPr>
                <w:rFonts w:ascii="Times New Roman" w:hAnsi="Times New Roman" w:eastAsia="Times New Roman"/>
                <w:b/>
                <w:i w:val="0"/>
                <w:color w:val="000000"/>
                <w:sz w:val="20"/>
              </w:rPr>
              <w:t>Mitigation Mechanism</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DB admin</w:t>
            </w:r>
          </w:p>
        </w:tc>
        <w:tc>
          <w:tcPr>
            <w:tcW w:type="dxa" w:w="3000"/>
          </w:tcPr>
          <w:p>
            <w:r/>
            <w:r>
              <w:rPr>
                <w:rFonts w:ascii="Times New Roman" w:hAnsi="Times New Roman" w:eastAsia="Times New Roman"/>
                <w:b w:val="0"/>
                <w:i w:val="0"/>
                <w:color w:val="000000"/>
                <w:sz w:val="20"/>
              </w:rPr>
              <w:t>SHA-256 hash on Besu fails verifyHash() comparison</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 inspecting chat content</w:t>
            </w:r>
          </w:p>
        </w:tc>
        <w:tc>
          <w:tcPr>
            <w:tcW w:type="dxa" w:w="3000"/>
          </w:tcPr>
          <w:p>
            <w:r/>
            <w:r>
              <w:rPr>
                <w:rFonts w:ascii="Times New Roman" w:hAnsi="Times New Roman" w:eastAsia="Times New Roman"/>
                <w:b w:val="0"/>
                <w:i w:val="0"/>
                <w:color w:val="000000"/>
                <w:sz w:val="20"/>
              </w:rPr>
              <w:t>Payloads stored as AES-GCM ciphertext; private keys stay local</w:t>
            </w:r>
          </w:p>
        </w:tc>
      </w:tr>
      <w:tr>
        <w:tc>
          <w:tcPr>
            <w:tcW w:type="dxa" w:w="3000"/>
          </w:tcPr>
          <w:p>
            <w:r/>
            <w:r>
              <w:rPr>
                <w:rFonts w:ascii="Times New Roman" w:hAnsi="Times New Roman" w:eastAsia="Times New Roman"/>
                <w:b w:val="0"/>
                <w:i w:val="0"/>
                <w:color w:val="000000"/>
                <w:sz w:val="20"/>
              </w:rPr>
              <w:t>Role Impersonation</w:t>
            </w:r>
          </w:p>
        </w:tc>
        <w:tc>
          <w:tcPr>
            <w:tcW w:type="dxa" w:w="3000"/>
          </w:tcPr>
          <w:p>
            <w:r/>
            <w:r>
              <w:rPr>
                <w:rFonts w:ascii="Times New Roman" w:hAnsi="Times New Roman" w:eastAsia="Times New Roman"/>
                <w:b w:val="0"/>
                <w:i w:val="0"/>
                <w:color w:val="000000"/>
                <w:sz w:val="20"/>
              </w:rPr>
              <w:t>Unauthorized user claiming lecturer status</w:t>
            </w:r>
          </w:p>
        </w:tc>
        <w:tc>
          <w:tcPr>
            <w:tcW w:type="dxa" w:w="3000"/>
          </w:tcPr>
          <w:p>
            <w:r/>
            <w:r>
              <w:rPr>
                <w:rFonts w:ascii="Times New Roman" w:hAnsi="Times New Roman" w:eastAsia="Times New Roman"/>
                <w:b w:val="0"/>
                <w:i w:val="0"/>
                <w:color w:val="000000"/>
                <w:sz w:val="20"/>
              </w:rPr>
              <w:t>Admin evidence workflow + immutable Besu verifyUser() role</w:t>
            </w:r>
          </w:p>
        </w:tc>
      </w:tr>
      <w:tr>
        <w:tc>
          <w:tcPr>
            <w:tcW w:type="dxa" w:w="3000"/>
          </w:tcPr>
          <w:p>
            <w:r/>
            <w:r>
              <w:rPr>
                <w:rFonts w:ascii="Times New Roman" w:hAnsi="Times New Roman" w:eastAsia="Times New Roman"/>
                <w:b w:val="0"/>
                <w:i w:val="0"/>
                <w:color w:val="000000"/>
                <w:sz w:val="20"/>
              </w:rPr>
              <w:t>Eavesdropping on Key Sim</w:t>
            </w:r>
          </w:p>
        </w:tc>
        <w:tc>
          <w:tcPr>
            <w:tcW w:type="dxa" w:w="3000"/>
          </w:tcPr>
          <w:p>
            <w:r/>
            <w:r>
              <w:rPr>
                <w:rFonts w:ascii="Times New Roman" w:hAnsi="Times New Roman" w:eastAsia="Times New Roman"/>
                <w:b w:val="0"/>
                <w:i w:val="0"/>
                <w:color w:val="000000"/>
                <w:sz w:val="20"/>
              </w:rPr>
              <w:t>Simulated noise on quantum channel</w:t>
            </w:r>
          </w:p>
        </w:tc>
        <w:tc>
          <w:tcPr>
            <w:tcW w:type="dxa" w:w="3000"/>
          </w:tcPr>
          <w:p>
            <w:r/>
            <w:r>
              <w:rPr>
                <w:rFonts w:ascii="Times New Roman" w:hAnsi="Times New Roman" w:eastAsia="Times New Roman"/>
                <w:b w:val="0"/>
                <w:i w:val="0"/>
                <w:color w:val="000000"/>
                <w:sz w:val="20"/>
              </w:rPr>
              <w:t>Session abort enforced when QBER &gt; 11%</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