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Chapter 4</w:t>
      </w:r>
    </w:p>
    <w:p>
      <w:pPr>
        <w:pStyle w:val="Heading1"/>
      </w:pPr>
      <w:r>
        <w:rPr>
          <w:rFonts w:ascii="Times New Roman" w:hAnsi="Times New Roman" w:eastAsia="Times New Roman"/>
          <w:b/>
          <w:i w:val="0"/>
          <w:color w:val="000000"/>
          <w:sz w:val="28"/>
        </w:rPr>
        <w:t>Implementation, Testing, and Results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4.1 Implementation Environment and Tooling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QCampus Connect was constructed and evaluated across two primary developer workstations running Fedora 41 Workstation and Windows 11 Enterprise (via Podman containers). Node.js LTS, pnpm, and Vite 8 served the frontend application. Serverless functions were synchronized using Convex 1.40.0. The private blockchain environment ran Hyperledger Besu on Docker/Podman, and smart contracts were compiled using Hardhat and Solidity 0.8.20.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System Component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Technology / Library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Version / Configuration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Frontend Framework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React 19 + TypeScript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Vite 8 HMR (:5173)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Application Serverless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Convex Platform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v1.40.0 Cloud Sync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Private Ledger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Hyperledger Besu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QBFT Consensus, ChainId 1337, GasPrice 0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Smart Contracts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Hardhat + Solidity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v0.8.20 Compiler Target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Client Cryptography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W3C Web Crypto API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Native Browser Engine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4.2 Frontend Architecture and Gatekeeper Component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Application routes sit in src/route/, while cryptographic helpers reside in src/services/ and src/lib/. Identity key generation is managed by CryptographicLoginGatekeeper in src/App.tsx, which automatically provisions missing RSA keypairs upon login.</w:t>
      </w:r>
    </w:p>
    <w:p>
      <w:r>
        <w:rPr>
          <w:rFonts w:ascii="Times New Roman" w:hAnsi="Times New Roman" w:eastAsia="Times New Roman"/>
          <w:b w:val="0"/>
          <w:i/>
          <w:color w:val="000000"/>
          <w:sz w:val="24"/>
        </w:rPr>
        <w:t>Listing 4.1 — Identity Key Initialization (src/App.tsx, shortened)</w:t>
      </w:r>
    </w:p>
    <w:p>
      <w:pPr>
        <w:spacing w:before="120" w:after="120"/>
        <w:ind w:left="360"/>
      </w:pPr>
      <w:r>
        <w:rPr>
          <w:rFonts w:ascii="Courier New" w:hAnsi="Courier New" w:eastAsia="Courier New"/>
          <w:b w:val="0"/>
          <w:i w:val="0"/>
          <w:color w:val="000000"/>
          <w:sz w:val="18"/>
        </w:rPr>
        <w:t>export function CryptographicLoginGatekeeper({ currentUserId }) {</w:t>
        <w:br/>
        <w:t xml:space="preserve">  const userProfile = useQuery(api.users.getById, { id: currentUserId });</w:t>
        <w:br/>
        <w:t xml:space="preserve">  const updateProfileKeys = useMutation(api.users.updateProfileKeys);</w:t>
        <w:br/>
        <w:t xml:space="preserve">  useEffect(() =&gt; {</w:t>
        <w:br/>
        <w:t xml:space="preserve">    async function enforceIdentityKeys() {</w:t>
        <w:br/>
        <w:t xml:space="preserve">      if (userProfile &amp;&amp; !userProfile.hasKeypair) {</w:t>
        <w:br/>
        <w:t xml:space="preserve">        const pub = await generateClientIdentityKeys(currentUserId);</w:t>
        <w:br/>
        <w:t xml:space="preserve">        await updateProfileKeys({ id: currentUserId, publicKey: pub, hasKeypair: true });</w:t>
        <w:br/>
        <w:t xml:space="preserve">      }</w:t>
        <w:br/>
        <w:t xml:space="preserve">    }</w:t>
        <w:br/>
        <w:t xml:space="preserve">    enforceIdentityKeys();</w:t>
        <w:br/>
        <w:t xml:space="preserve">  }, [userProfile, currentUserId, updateProfileKeys]);</w:t>
        <w:br/>
        <w:t xml:space="preserve">  return null;</w:t>
        <w:br/>
        <w:t>}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4.3 Backend State Management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Convex backend functions in convex/ manage reactive queries and mutations. Document schemas enforce validation rules defined in convex/schema.ts.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4.4 Smart Contract Interoperability via Ethers.js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frontend communicates with MessageVerifier.sol using Ethers.js v6. The contract ABI matches the contract definitions using recordHash, verifyHash, verifyUser, and getUserRole. Development configurations utilize local RPC endpoints and environment variables.</w:t>
      </w:r>
    </w:p>
    <w:p>
      <w:r>
        <w:rPr>
          <w:rFonts w:ascii="Times New Roman" w:hAnsi="Times New Roman" w:eastAsia="Times New Roman"/>
          <w:b w:val="0"/>
          <w:i/>
          <w:color w:val="000000"/>
          <w:sz w:val="24"/>
        </w:rPr>
        <w:t>Listing 4.2 — Ledger Hash Commit (src/services/web3Service.ts, shortened)</w:t>
      </w:r>
    </w:p>
    <w:p>
      <w:pPr>
        <w:spacing w:before="120" w:after="120"/>
        <w:ind w:left="360"/>
      </w:pPr>
      <w:r>
        <w:rPr>
          <w:rFonts w:ascii="Courier New" w:hAnsi="Courier New" w:eastAsia="Courier New"/>
          <w:b w:val="0"/>
          <w:i w:val="0"/>
          <w:color w:val="000000"/>
          <w:sz w:val="18"/>
        </w:rPr>
        <w:t>const CONTRACT_ABI = [</w:t>
        <w:br/>
        <w:t xml:space="preserve">  "function recordHash(string messageId, bytes32 messageHash, address sender, address receiver) external",</w:t>
        <w:br/>
        <w:t xml:space="preserve">  "function verifyHash(string messageId) external view returns (bytes32)",</w:t>
        <w:br/>
        <w:t>];</w:t>
        <w:br/>
        <w:t>// Connected via JsonRpcProvider to http://127.0.0.1:8545</w:t>
        <w:br/>
        <w:t>const tx = await contract.recordHash(msgId, cleanHash, systemWallet.address, ethers.ZeroAddress, {</w:t>
        <w:br/>
        <w:t xml:space="preserve">  gasLimit: 500000,</w:t>
        <w:br/>
        <w:t xml:space="preserve">  gasPrice: 0,</w:t>
        <w:br/>
        <w:t>});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4.5 Cryptographic and BB84 Engine Verification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The BB84 module (runBB84Simulation) generates 256 sifted key bits, computes QBER, and formats fingerprint hashes. Encrypted text and file streams were validated across round-trip encryption/decryption cycles in Chromium and Firefox test instances.</w:t>
      </w:r>
    </w:p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4.6 Verification and Empirical Results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4.6.1 Reproducible Production Build Verification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 production build was run from the project root during the final documentation update using the command `pnpm build`. Vite 8.1.0 transformed 244 modules and completed successfully in 3.53 seconds. The generated output consisted of dist/index.html (0.73 kB), a gzipped CSS bundle of 15.69 kB, and a gzipped JavaScript bundle of 256.38 kB. This confirms that the React application, including the Q&amp;A, registration, department, and administration screens, compiles as one deployable build. Vite reported a non-blocking warning that the JavaScript bundle is larger than 500 kB before gzip compression; code splitting is a future optimisation rather than a build failure.</w:t>
      </w:r>
    </w:p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4.6.2 Functional Verification Suite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Table 4.2 documents unit and functional verification tests executed during developer integration.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Functional Subsystem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Test Scenario Executed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Observed Outcome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Verification Status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Web Crypto Engine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RSA-OAEP 2048 keygen on account register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Public key committed to Convex; private key saved to IndexedDB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AES-GCM Cipher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Encrypt and decrypt text payload with valid IV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Plaintext recovered successfully; invalid key throws error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BB84 Protocol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Execute 256-bit sifted key generation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Sifted key derived; fingerprint formatted correctly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QBER Abort Mechanism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Inject quantum noise into measurement bases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Session abort triggered when QBER &gt; 11%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Besu Contract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Execute recordHash and attempt duplicate ID write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First hash recorded; duplicate message ID tx reverts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Role Governance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Execute verifyUser as admin vs non-admin wallet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Admin call succeeds; non-admin call reverts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PASS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4.6.3 Internal User Acceptance Walk-Throughs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System evaluation was conducted via structured walk-through scenarios involving four project team members operating under student, lecturer, and administrator personas.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0"/>
        <w:gridCol w:w="2250"/>
        <w:gridCol w:w="2250"/>
        <w:gridCol w:w="2250"/>
      </w:tblGrid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Scenario ID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Assigned Persona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Walk-Through Task Description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Execution Result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UAT-01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Student/Lecturer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Register account and submit verification ID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Completed successfully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UAT-02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Administrator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Review verification queue and approve with Department and Specializations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Status updated; Department assigned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UAT-03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Student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Post question with Department classification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Question created; badges visible on feed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UAT-04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Student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Initiate Direct Message from Lecturer Q&amp;A Answer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Navigates to secure encrypted chat</w:t>
            </w:r>
          </w:p>
        </w:tc>
      </w:tr>
      <w:tr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UAT-05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Administrator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Search Audit Desk and Verify Message Hash</w:t>
            </w:r>
          </w:p>
        </w:tc>
        <w:tc>
          <w:tcPr>
            <w:tcW w:type="dxa" w:w="225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Authentic payload verified via Besu hash</w:t>
            </w:r>
          </w:p>
        </w:tc>
      </w:tr>
    </w:tbl>
    <w:p/>
    <w:p>
      <w:pPr>
        <w:pStyle w:val="Heading3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4.6.4 Empirical Localhost Benchmarking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Latency performance was measured on developer testbed hardware (Intel Core i7, 16GB RAM, Fedora 41 / Besu local node) using performance.now() and transaction receipt timestamps.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00"/>
        <w:gridCol w:w="3000"/>
        <w:gridCol w:w="3000"/>
      </w:tblGrid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Execution Phase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Mean Local Duration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/>
                <w:i w:val="0"/>
                <w:color w:val="000000"/>
                <w:sz w:val="20"/>
              </w:rPr>
              <w:t>Operational Notes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RSA-OAEP 2048 Keygen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~140 ms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One-time execution upon registration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BB84 256-bit Simulation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~10–15 ms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In-memory basis generation and sifting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AES-GCM Payload Encrypt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~2 ms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Short message payload encryption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Convex WebSocket Sync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~50 ms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Cloud mutation round-trip time</w:t>
            </w:r>
          </w:p>
        </w:tc>
      </w:tr>
      <w:tr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Besu recordHash Commit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~0.3–0.5 s</w:t>
            </w:r>
          </w:p>
        </w:tc>
        <w:tc>
          <w:tcPr>
            <w:tcW w:type="dxa" w:w="3000"/>
          </w:tcPr>
          <w:p>
            <w:r/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20"/>
              </w:rPr>
              <w:t>Local QBFT consensus transaction confirmation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Times New Roman"/>
          <w:b/>
          <w:i w:val="0"/>
          <w:color w:val="000000"/>
          <w:sz w:val="26"/>
        </w:rPr>
        <w:t>4.7 Evaluation Against Project Objectives</w:t>
      </w:r>
    </w:p>
    <w:p>
      <w:pPr>
        <w:ind w:firstLine="720"/>
      </w:pPr>
      <w:r>
        <w:rPr>
          <w:rFonts w:ascii="Times New Roman" w:hAnsi="Times New Roman" w:eastAsia="Times New Roman"/>
          <w:b w:val="0"/>
          <w:i w:val="0"/>
          <w:color w:val="000000"/>
          <w:sz w:val="24"/>
        </w:rPr>
        <w:t>All five project objectives were fulfilled at prototype level: (1) Q&amp;A forum with cryptographic roles operational; (2) Lecturer specialization badges implemented; (3) Besu blockchain audit trail integrated; (4) Encrypted DM from Q&amp;A functional; (5) Admin department management working properly.</w:t>
      </w:r>
    </w:p>
    <w:sectPr w:rsidR="00FC693F" w:rsidRPr="0006063C" w:rsidSect="00034616">
      <w:pgSz w:w="12240" w:h="15840"/>
      <w:pgMar w:top="1440" w:right="144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6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