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003366"/>
          <w:sz w:val="36"/>
        </w:rPr>
        <w:t>CHAPTER 2</w:t>
      </w:r>
    </w:p>
    <w:p>
      <w:pPr>
        <w:spacing w:before="0" w:after="240"/>
        <w:jc w:val="center"/>
      </w:pPr>
      <w:r>
        <w:rPr>
          <w:rFonts w:ascii="Times New Roman" w:hAnsi="Times New Roman"/>
          <w:b/>
          <w:i w:val="0"/>
          <w:color w:val="1F497D"/>
          <w:sz w:val="32"/>
        </w:rPr>
        <w:t>LITERATURE REVIEW</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2.1  Conceptual Review</w:t>
      </w:r>
    </w:p>
    <w:p>
      <w:pPr>
        <w:spacing w:before="0" w:after="160"/>
        <w:jc w:val="both"/>
      </w:pPr>
      <w:r>
        <w:t>To build a firm theoretical baseline for QChat, this section analyzes five core concepts: real-time web socket protocols, asymmetric/symmetric cryptography, permissioned blockchain auditing, quantum key distribution (QKD), and role-based access control (RBAC).</w:t>
      </w:r>
    </w:p>
    <w:p>
      <w:pPr>
        <w:spacing w:before="240" w:after="80"/>
        <w:jc w:val="left"/>
      </w:pPr>
      <w:r>
        <w:rPr>
          <w:rFonts w:ascii="Times New Roman" w:hAnsi="Times New Roman"/>
          <w:b/>
          <w:i w:val="0"/>
          <w:color w:val="1F497D"/>
          <w:sz w:val="28"/>
        </w:rPr>
        <w:t>2.1.1  Real-Time Communication Architectures</w:t>
      </w:r>
    </w:p>
    <w:p>
      <w:pPr>
        <w:spacing w:before="0" w:after="160"/>
        <w:jc w:val="both"/>
      </w:pPr>
      <w:r>
        <w:t>Modern web applications require low-latency transport protocols to maintain bi-directional data flow between browser clients and server nodes. Traditional HTTP polling models introduce significant header overhead and polling latency, rendering them unsuited for instant messaging.</w:t>
      </w:r>
    </w:p>
    <w:p>
      <w:pPr>
        <w:spacing w:before="0" w:after="160"/>
        <w:jc w:val="both"/>
      </w:pPr>
      <w:r>
        <w:t>Contemporary real-time platforms rely on persistent WebSocket channels or event-driven serverless engines (such as Convex). These architectures push state updates instantly to connected clients over a single TCP connection, achieving sub-200ms message delivery.</w:t>
      </w:r>
    </w:p>
    <w:p>
      <w:pPr>
        <w:spacing w:before="240" w:after="80"/>
        <w:jc w:val="left"/>
      </w:pPr>
      <w:r>
        <w:rPr>
          <w:rFonts w:ascii="Times New Roman" w:hAnsi="Times New Roman"/>
          <w:b/>
          <w:i w:val="0"/>
          <w:color w:val="1F497D"/>
          <w:sz w:val="28"/>
        </w:rPr>
        <w:t>2.1.2  Symmetric vs. Asymmetric Data Protection Mechanisms</w:t>
      </w:r>
    </w:p>
    <w:p>
      <w:pPr>
        <w:spacing w:before="0" w:after="160"/>
        <w:jc w:val="both"/>
      </w:pPr>
      <w:r>
        <w:t>Cryptographic data protection splits into two fundamental categories: symmetric key ciphers and asymmetric public-key systems.</w:t>
      </w:r>
    </w:p>
    <w:p>
      <w:pPr>
        <w:spacing w:before="0" w:after="160"/>
        <w:jc w:val="both"/>
      </w:pPr>
      <w:r>
        <w:t>Symmetric algorithms (e.g., AES-GCM-256) employ a single shared key for both encryption and decryption. They deliver exceptional computational efficiency and high throughput, making them ideal for bulk message and binary file encryption, provided the secret key is securely distributed.</w:t>
      </w:r>
    </w:p>
    <w:p>
      <w:pPr>
        <w:spacing w:before="0" w:after="160"/>
        <w:jc w:val="both"/>
      </w:pPr>
      <w:r>
        <w:t>Asymmetric algorithms (such as RSA-OAEP and ECDH) eliminate shared-secret transmission vulnerabilities by generating mathematically linked key pairs: a public key for encryption/signature verification and a private key kept strictly confidential for decryption/signing.</w:t>
      </w:r>
    </w:p>
    <w:p>
      <w:pPr>
        <w:spacing w:before="240" w:after="80"/>
        <w:jc w:val="left"/>
      </w:pPr>
      <w:r>
        <w:rPr>
          <w:rFonts w:ascii="Times New Roman" w:hAnsi="Times New Roman"/>
          <w:b/>
          <w:i w:val="0"/>
          <w:color w:val="1F497D"/>
          <w:sz w:val="28"/>
        </w:rPr>
        <w:t>2.1.3  Distributed Ledgers and Smart Contracts in Institutional Auditability</w:t>
      </w:r>
    </w:p>
    <w:p>
      <w:pPr>
        <w:spacing w:before="0" w:after="160"/>
        <w:jc w:val="both"/>
      </w:pPr>
      <w:r>
        <w:t>A permissioned distributed ledger acts as an append-only, tamper-evident database distributed across verified network nodes. Unlike public blockchains, access is restricted to authenticated institutional participants, eliminating transaction fees and mining delays.</w:t>
      </w:r>
    </w:p>
    <w:p>
      <w:pPr>
        <w:spacing w:before="0" w:after="160"/>
        <w:jc w:val="both"/>
      </w:pPr>
      <w:r>
        <w:t>Smart contracts represent immutable program logic compiled to byte-code and executed deterministically across ledger nodes. In QChat, smart contracts record SHA-256 message digests and enforce user role authorizations.</w:t>
      </w:r>
    </w:p>
    <w:p>
      <w:pPr>
        <w:spacing w:before="240" w:after="80"/>
        <w:jc w:val="left"/>
      </w:pPr>
      <w:r>
        <w:rPr>
          <w:rFonts w:ascii="Times New Roman" w:hAnsi="Times New Roman"/>
          <w:b/>
          <w:i w:val="0"/>
          <w:color w:val="1F497D"/>
          <w:sz w:val="28"/>
        </w:rPr>
        <w:t>2.1.4  Quantum Key Distribution and the BB84 Protocol</w:t>
      </w:r>
    </w:p>
    <w:p>
      <w:pPr>
        <w:spacing w:before="0" w:after="160"/>
        <w:jc w:val="both"/>
      </w:pPr>
      <w:r>
        <w:t>Quantum Key Distribution (QKD) shifts cryptographic security from mathematical complexity to the laws of quantum mechanics. Rather than relying on unproven computational hardness assumptions, QKD offers unconditional information-theoretic secrecy.</w:t>
      </w:r>
    </w:p>
    <w:p>
      <w:pPr>
        <w:spacing w:before="0" w:after="160"/>
        <w:jc w:val="both"/>
      </w:pPr>
      <w:r>
        <w:t>The BB84 protocol (Bennett &amp; Brassard, 1984) transmits random bit sequences encoded in orthogonal photon polarization states. Any unauthorized measurement alters the polarization states, introducing detectable error rates during basis sifting.</w:t>
      </w:r>
    </w:p>
    <w:p>
      <w:pPr>
        <w:spacing w:before="240" w:after="80"/>
        <w:jc w:val="left"/>
      </w:pPr>
      <w:r>
        <w:rPr>
          <w:rFonts w:ascii="Times New Roman" w:hAnsi="Times New Roman"/>
          <w:b/>
          <w:i w:val="0"/>
          <w:color w:val="1F497D"/>
          <w:sz w:val="28"/>
        </w:rPr>
        <w:t>2.1.5  Role-Based Access Control and Identity Verification</w:t>
      </w:r>
    </w:p>
    <w:p>
      <w:pPr>
        <w:spacing w:before="0" w:after="160"/>
        <w:jc w:val="both"/>
      </w:pPr>
      <w:r>
        <w:t>Role-Based Access Control (RBAC) restricts system operations according to validated institutional identities (e.g., student, lecturer, administrator), preventing privilege escalation and unauthorized administrative access.</w:t>
      </w:r>
    </w:p>
    <w:p>
      <w:pPr>
        <w:spacing w:before="360" w:after="120"/>
        <w:jc w:val="left"/>
      </w:pPr>
      <w:r>
        <w:rPr>
          <w:rFonts w:ascii="Times New Roman" w:hAnsi="Times New Roman"/>
          <w:b/>
          <w:i w:val="0"/>
          <w:color w:val="003366"/>
          <w:sz w:val="32"/>
        </w:rPr>
        <w:t>2.2  Theoretical Framework</w:t>
      </w:r>
    </w:p>
    <w:p>
      <w:pPr>
        <w:spacing w:before="0" w:after="160"/>
        <w:jc w:val="both"/>
      </w:pPr>
      <w:r>
        <w:t>QChat's engineering relies on five key theoretical frameworks: client-side confidentiality, public-key infrastructure (PKI), hash fingerprinting, quantum mechanics laws, and hybrid Web2/Web3 balance.</w:t>
      </w:r>
    </w:p>
    <w:p>
      <w:pPr>
        <w:spacing w:before="240" w:after="80"/>
        <w:jc w:val="left"/>
      </w:pPr>
      <w:r>
        <w:rPr>
          <w:rFonts w:ascii="Times New Roman" w:hAnsi="Times New Roman"/>
          <w:b/>
          <w:i w:val="0"/>
          <w:color w:val="1F497D"/>
          <w:sz w:val="28"/>
        </w:rPr>
        <w:t>2.2.1  Client-Side Data Protection Theory (Signal Protocol Inspiration)</w:t>
      </w:r>
    </w:p>
    <w:p>
      <w:pPr>
        <w:spacing w:before="0" w:after="160"/>
        <w:jc w:val="both"/>
      </w:pPr>
      <w:r>
        <w:t>Client-Side Zero-Trust Protection Theory: Conventional web applications transmit unencrypted text to server endpoints, exposing data to insider threats or database breaches. Client-side protection demands that encryption occurs on the sender's device prior to network transit, keeping intermediate servers unable to inspect plaintext payloads.</w:t>
      </w:r>
    </w:p>
    <w:p>
      <w:pPr>
        <w:spacing w:before="240" w:after="80"/>
        <w:jc w:val="left"/>
      </w:pPr>
      <w:r>
        <w:rPr>
          <w:rFonts w:ascii="Times New Roman" w:hAnsi="Times New Roman"/>
          <w:b/>
          <w:i w:val="0"/>
          <w:color w:val="1F497D"/>
          <w:sz w:val="28"/>
        </w:rPr>
        <w:t>2.2.2  Public-Key Infrastructure (PKI) Theory</w:t>
      </w:r>
    </w:p>
    <w:p>
      <w:pPr>
        <w:spacing w:before="0" w:after="160"/>
        <w:jc w:val="both"/>
      </w:pPr>
      <w:r>
        <w:t>Public-Key Infrastructure (PKI) Principles: QChat adapts PKI to browser runtime environments. Upon account creation, the browser generates an RSA-OAEP 2048-bit key pair. The public key uploads to the server key registry for peer retrieval, while the private key remains locked in non-extractable client memory.</w:t>
      </w:r>
    </w:p>
    <w:p>
      <w:pPr>
        <w:spacing w:before="240" w:after="80"/>
        <w:jc w:val="left"/>
      </w:pPr>
      <w:r>
        <w:rPr>
          <w:rFonts w:ascii="Times New Roman" w:hAnsi="Times New Roman"/>
          <w:b/>
          <w:i w:val="0"/>
          <w:color w:val="1F497D"/>
          <w:sz w:val="28"/>
        </w:rPr>
        <w:t>2.2.3  Blockchain Immutability and Hash Fingerprinting Theory</w:t>
      </w:r>
    </w:p>
    <w:p>
      <w:pPr>
        <w:spacing w:before="0" w:after="160"/>
        <w:jc w:val="both"/>
      </w:pPr>
      <w:r>
        <w:t>Blockchain Immutability and Fingerprint Hashing Theory: Cryptographic hash functions map arbitrary input data into fixed 256-bit hexadecimal digests possessing pre-image and collision resistance. Storing SHA-256 digests on Hyperledger Besu creates an indisputable ledger record; any downstream database modification alters the re-computed hash, immediately revealing tampering.</w:t>
      </w:r>
    </w:p>
    <w:p>
      <w:pPr>
        <w:spacing w:before="240" w:after="80"/>
        <w:jc w:val="left"/>
      </w:pPr>
      <w:r>
        <w:rPr>
          <w:rFonts w:ascii="Times New Roman" w:hAnsi="Times New Roman"/>
          <w:b/>
          <w:i w:val="0"/>
          <w:color w:val="1F497D"/>
          <w:sz w:val="28"/>
        </w:rPr>
        <w:t>2.2.4  Quantum Physics Principles in Cryptography</w:t>
      </w:r>
    </w:p>
    <w:p>
      <w:pPr>
        <w:spacing w:before="0" w:after="160"/>
        <w:jc w:val="both"/>
      </w:pPr>
      <w:r>
        <w:t>Quantum Physics Foundation: The BB84 simulation models two fundamental quantum mechanical principles:</w:t>
      </w:r>
    </w:p>
    <w:p>
      <w:pPr>
        <w:pStyle w:val="ListBullet"/>
        <w:spacing w:after="80"/>
        <w:ind w:left="360"/>
      </w:pPr>
      <w:r>
        <w:t>1. Heisenberg Uncertainty Principle — Observing a quantum system irreversibly alters its quantum state. An eavesdropper measuring photon polarization with an incorrect basis introduces measurable state errors.</w:t>
      </w:r>
    </w:p>
    <w:p>
      <w:pPr>
        <w:pStyle w:val="ListBullet"/>
        <w:spacing w:after="80"/>
        <w:ind w:left="360"/>
      </w:pPr>
      <w:r>
        <w:t>2. No-Cloning Theorem — Unknown quantum states cannot be duplicated. Consequently, an adversary cannot intercept, clone, and forward photons undetected.</w:t>
      </w:r>
    </w:p>
    <w:p>
      <w:pPr>
        <w:spacing w:before="0" w:after="160"/>
        <w:jc w:val="both"/>
      </w:pPr>
      <w:r>
        <w:t>These physical laws ensure that eavesdropping elevates the Quantum Bit Error Rate (QBER). In QChat's BB84 module, a QBER exceeding 11% triggers an immediate key exchange abort, guaranteeing quantum-resilient session agreement.</w:t>
      </w:r>
    </w:p>
    <w:p>
      <w:pPr>
        <w:spacing w:before="240" w:after="80"/>
        <w:jc w:val="left"/>
      </w:pPr>
      <w:r>
        <w:rPr>
          <w:rFonts w:ascii="Times New Roman" w:hAnsi="Times New Roman"/>
          <w:b/>
          <w:i w:val="0"/>
          <w:color w:val="1F497D"/>
          <w:sz w:val="28"/>
        </w:rPr>
        <w:t>2.2.5  Hybrid Web2/Web3 Architectural Balance Theory</w:t>
      </w:r>
    </w:p>
    <w:p>
      <w:pPr>
        <w:spacing w:before="0" w:after="160"/>
        <w:jc w:val="both"/>
      </w:pPr>
      <w:r>
        <w:t>Hybrid Web2/Web3 Architectural Balance Theory: Performance theory highlights the necessity of matching technological capabilities to workload demands. Pure Web3 systems suffer from block confirmation latency, while pure Web2 databases lack tamper resistance. Hybrid balance assigns high-throughput messaging to serverless Web2 engines and isolates high-security verification to permissioned Web3 ledgers.</w:t>
      </w:r>
    </w:p>
    <w:p>
      <w:pPr>
        <w:spacing w:before="360" w:after="120"/>
        <w:jc w:val="left"/>
      </w:pPr>
      <w:r>
        <w:rPr>
          <w:rFonts w:ascii="Times New Roman" w:hAnsi="Times New Roman"/>
          <w:b/>
          <w:i w:val="0"/>
          <w:color w:val="003366"/>
          <w:sz w:val="32"/>
        </w:rPr>
        <w:t>2.3  Review of Related Work</w:t>
      </w:r>
    </w:p>
    <w:p>
      <w:pPr>
        <w:spacing w:before="0" w:after="160"/>
        <w:jc w:val="both"/>
      </w:pPr>
      <w:r>
        <w:t>To contextualize QChat's system design, we conducted a comparative review of existing messaging tools and academic software platforms across five architectural dimensions.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728"/>
            <w:vAlign w:val="center"/>
            <w:shd w:val="clear" w:color="auto" w:fill="1F497D"/>
          </w:tcPr>
          <w:p>
            <w:pPr>
              <w:jc w:val="center"/>
            </w:pPr>
            <w:r>
              <w:rPr>
                <w:rFonts w:ascii="Times New Roman" w:hAnsi="Times New Roman"/>
                <w:b/>
                <w:i w:val="0"/>
                <w:color w:val="FFFFFF"/>
                <w:sz w:val="20"/>
              </w:rPr>
              <w:t>Platform / System</w:t>
            </w:r>
          </w:p>
        </w:tc>
        <w:tc>
          <w:tcPr>
            <w:tcW w:type="dxa" w:w="1584"/>
            <w:vAlign w:val="center"/>
            <w:shd w:val="clear" w:color="auto" w:fill="1F497D"/>
          </w:tcPr>
          <w:p>
            <w:pPr>
              <w:jc w:val="center"/>
            </w:pPr>
            <w:r>
              <w:rPr>
                <w:rFonts w:ascii="Times New Roman" w:hAnsi="Times New Roman"/>
                <w:b/>
                <w:i w:val="0"/>
                <w:color w:val="FFFFFF"/>
                <w:sz w:val="20"/>
              </w:rPr>
              <w:t>Real-Time Chat &amp; File Sharing</w:t>
            </w:r>
          </w:p>
        </w:tc>
        <w:tc>
          <w:tcPr>
            <w:tcW w:type="dxa" w:w="1584"/>
            <w:vAlign w:val="center"/>
            <w:shd w:val="clear" w:color="auto" w:fill="1F497D"/>
          </w:tcPr>
          <w:p>
            <w:pPr>
              <w:jc w:val="center"/>
            </w:pPr>
            <w:r>
              <w:rPr>
                <w:rFonts w:ascii="Times New Roman" w:hAnsi="Times New Roman"/>
                <w:b/>
                <w:i w:val="0"/>
                <w:color w:val="FFFFFF"/>
                <w:sz w:val="20"/>
              </w:rPr>
              <w:t>Client-Side Data Protection</w:t>
            </w:r>
          </w:p>
        </w:tc>
        <w:tc>
          <w:tcPr>
            <w:tcW w:type="dxa" w:w="1584"/>
            <w:vAlign w:val="center"/>
            <w:shd w:val="clear" w:color="auto" w:fill="1F497D"/>
          </w:tcPr>
          <w:p>
            <w:pPr>
              <w:jc w:val="center"/>
            </w:pPr>
            <w:r>
              <w:rPr>
                <w:rFonts w:ascii="Times New Roman" w:hAnsi="Times New Roman"/>
                <w:b/>
                <w:i w:val="0"/>
                <w:color w:val="FFFFFF"/>
                <w:sz w:val="20"/>
              </w:rPr>
              <w:t>Blockchain Audit Log</w:t>
            </w:r>
          </w:p>
        </w:tc>
        <w:tc>
          <w:tcPr>
            <w:tcW w:type="dxa" w:w="1440"/>
            <w:vAlign w:val="center"/>
            <w:shd w:val="clear" w:color="auto" w:fill="1F497D"/>
          </w:tcPr>
          <w:p>
            <w:pPr>
              <w:jc w:val="center"/>
            </w:pPr>
            <w:r>
              <w:rPr>
                <w:rFonts w:ascii="Times New Roman" w:hAnsi="Times New Roman"/>
                <w:b/>
                <w:i w:val="0"/>
                <w:color w:val="FFFFFF"/>
                <w:sz w:val="20"/>
              </w:rPr>
              <w:t>Quantum Key Simulation</w:t>
            </w:r>
          </w:p>
        </w:tc>
        <w:tc>
          <w:tcPr>
            <w:tcW w:type="dxa" w:w="1440"/>
            <w:vAlign w:val="center"/>
            <w:shd w:val="clear" w:color="auto" w:fill="1F497D"/>
          </w:tcPr>
          <w:p>
            <w:pPr>
              <w:jc w:val="center"/>
            </w:pPr>
            <w:r>
              <w:rPr>
                <w:rFonts w:ascii="Times New Roman" w:hAnsi="Times New Roman"/>
                <w:b/>
                <w:i w:val="0"/>
                <w:color w:val="FFFFFF"/>
                <w:sz w:val="20"/>
              </w:rPr>
              <w:t>Target Environment</w:t>
            </w:r>
          </w:p>
        </w:tc>
      </w:tr>
      <w:tr>
        <w:tc>
          <w:tcPr>
            <w:tcW w:type="dxa" w:w="1728"/>
            <w:vAlign w:val="center"/>
            <w:shd w:val="clear" w:color="auto" w:fill="F2F6FC"/>
          </w:tcPr>
          <w:p>
            <w:r>
              <w:t>WhatsApp / Signal</w:t>
            </w:r>
          </w:p>
        </w:tc>
        <w:tc>
          <w:tcPr>
            <w:tcW w:type="dxa" w:w="1584"/>
            <w:vAlign w:val="center"/>
            <w:shd w:val="clear" w:color="auto" w:fill="F2F6FC"/>
          </w:tcPr>
          <w:p>
            <w:r>
              <w:t>Yes (Global cloud messaging)</w:t>
            </w:r>
          </w:p>
        </w:tc>
        <w:tc>
          <w:tcPr>
            <w:tcW w:type="dxa" w:w="1584"/>
            <w:vAlign w:val="center"/>
            <w:shd w:val="clear" w:color="auto" w:fill="F2F6FC"/>
          </w:tcPr>
          <w:p>
            <w:r>
              <w:t>Yes (Signal protocol E2EE)</w:t>
            </w:r>
          </w:p>
        </w:tc>
        <w:tc>
          <w:tcPr>
            <w:tcW w:type="dxa" w:w="1584"/>
            <w:vAlign w:val="center"/>
            <w:shd w:val="clear" w:color="auto" w:fill="F2F6FC"/>
          </w:tcPr>
          <w:p>
            <w:r>
              <w:t>No (Centralized log databases)</w:t>
            </w:r>
          </w:p>
        </w:tc>
        <w:tc>
          <w:tcPr>
            <w:tcW w:type="dxa" w:w="1440"/>
            <w:vAlign w:val="center"/>
            <w:shd w:val="clear" w:color="auto" w:fill="F2F6FC"/>
          </w:tcPr>
          <w:p>
            <w:r>
              <w:t>No (Classical key exchanges)</w:t>
            </w:r>
          </w:p>
        </w:tc>
        <w:tc>
          <w:tcPr>
            <w:tcW w:type="dxa" w:w="1440"/>
            <w:vAlign w:val="center"/>
            <w:shd w:val="clear" w:color="auto" w:fill="F2F6FC"/>
          </w:tcPr>
          <w:p>
            <w:r>
              <w:t>Consumer mobile messaging</w:t>
            </w:r>
          </w:p>
        </w:tc>
      </w:tr>
      <w:tr>
        <w:tc>
          <w:tcPr>
            <w:tcW w:type="dxa" w:w="1728"/>
            <w:vAlign w:val="center"/>
            <w:shd w:val="clear" w:color="auto" w:fill="FFFFFF"/>
          </w:tcPr>
          <w:p>
            <w:r>
              <w:t>Microsoft Teams / Slack</w:t>
            </w:r>
          </w:p>
        </w:tc>
        <w:tc>
          <w:tcPr>
            <w:tcW w:type="dxa" w:w="1584"/>
            <w:vAlign w:val="center"/>
            <w:shd w:val="clear" w:color="auto" w:fill="FFFFFF"/>
          </w:tcPr>
          <w:p>
            <w:r>
              <w:t>Yes (Enterprise cloud platform)</w:t>
            </w:r>
          </w:p>
        </w:tc>
        <w:tc>
          <w:tcPr>
            <w:tcW w:type="dxa" w:w="1584"/>
            <w:vAlign w:val="center"/>
            <w:shd w:val="clear" w:color="auto" w:fill="FFFFFF"/>
          </w:tcPr>
          <w:p>
            <w:r>
              <w:t>No (Server-side managed keys)</w:t>
            </w:r>
          </w:p>
        </w:tc>
        <w:tc>
          <w:tcPr>
            <w:tcW w:type="dxa" w:w="1584"/>
            <w:vAlign w:val="center"/>
            <w:shd w:val="clear" w:color="auto" w:fill="FFFFFF"/>
          </w:tcPr>
          <w:p>
            <w:r>
              <w:t>No (Centralized organizational logs)</w:t>
            </w:r>
          </w:p>
        </w:tc>
        <w:tc>
          <w:tcPr>
            <w:tcW w:type="dxa" w:w="1440"/>
            <w:vAlign w:val="center"/>
            <w:shd w:val="clear" w:color="auto" w:fill="FFFFFF"/>
          </w:tcPr>
          <w:p>
            <w:r>
              <w:t>No (Classical key exchanges)</w:t>
            </w:r>
          </w:p>
        </w:tc>
        <w:tc>
          <w:tcPr>
            <w:tcW w:type="dxa" w:w="1440"/>
            <w:vAlign w:val="center"/>
            <w:shd w:val="clear" w:color="auto" w:fill="FFFFFF"/>
          </w:tcPr>
          <w:p>
            <w:r>
              <w:t>Commercial enterprise workspace</w:t>
            </w:r>
          </w:p>
        </w:tc>
      </w:tr>
      <w:tr>
        <w:tc>
          <w:tcPr>
            <w:tcW w:type="dxa" w:w="1728"/>
            <w:vAlign w:val="center"/>
            <w:shd w:val="clear" w:color="auto" w:fill="F2F6FC"/>
          </w:tcPr>
          <w:p>
            <w:r>
              <w:t>Rocket.Chat (Open Source)</w:t>
            </w:r>
          </w:p>
        </w:tc>
        <w:tc>
          <w:tcPr>
            <w:tcW w:type="dxa" w:w="1584"/>
            <w:vAlign w:val="center"/>
            <w:shd w:val="clear" w:color="auto" w:fill="F2F6FC"/>
          </w:tcPr>
          <w:p>
            <w:r>
              <w:t>Yes (Self-hosted WebSockets)</w:t>
            </w:r>
          </w:p>
        </w:tc>
        <w:tc>
          <w:tcPr>
            <w:tcW w:type="dxa" w:w="1584"/>
            <w:vAlign w:val="center"/>
            <w:shd w:val="clear" w:color="auto" w:fill="F2F6FC"/>
          </w:tcPr>
          <w:p>
            <w:r>
              <w:t>Optional (Plugin client protection)</w:t>
            </w:r>
          </w:p>
        </w:tc>
        <w:tc>
          <w:tcPr>
            <w:tcW w:type="dxa" w:w="1584"/>
            <w:vAlign w:val="center"/>
            <w:shd w:val="clear" w:color="auto" w:fill="F2F6FC"/>
          </w:tcPr>
          <w:p>
            <w:r>
              <w:t>No (Relational SQL/NoSQL logs)</w:t>
            </w:r>
          </w:p>
        </w:tc>
        <w:tc>
          <w:tcPr>
            <w:tcW w:type="dxa" w:w="1440"/>
            <w:vAlign w:val="center"/>
            <w:shd w:val="clear" w:color="auto" w:fill="F2F6FC"/>
          </w:tcPr>
          <w:p>
            <w:r>
              <w:t>No (Classical key exchanges)</w:t>
            </w:r>
          </w:p>
        </w:tc>
        <w:tc>
          <w:tcPr>
            <w:tcW w:type="dxa" w:w="1440"/>
            <w:vAlign w:val="center"/>
            <w:shd w:val="clear" w:color="auto" w:fill="F2F6FC"/>
          </w:tcPr>
          <w:p>
            <w:r>
              <w:t>Self-hosted organizational servers</w:t>
            </w:r>
          </w:p>
        </w:tc>
      </w:tr>
      <w:tr>
        <w:tc>
          <w:tcPr>
            <w:tcW w:type="dxa" w:w="1728"/>
            <w:vAlign w:val="center"/>
            <w:shd w:val="clear" w:color="auto" w:fill="FFFFFF"/>
          </w:tcPr>
          <w:p>
            <w:r>
              <w:t>Ethereum Messaging dApps</w:t>
            </w:r>
          </w:p>
        </w:tc>
        <w:tc>
          <w:tcPr>
            <w:tcW w:type="dxa" w:w="1584"/>
            <w:vAlign w:val="center"/>
            <w:shd w:val="clear" w:color="auto" w:fill="FFFFFF"/>
          </w:tcPr>
          <w:p>
            <w:r>
              <w:t>No (High latency &amp; gas fees)</w:t>
            </w:r>
          </w:p>
        </w:tc>
        <w:tc>
          <w:tcPr>
            <w:tcW w:type="dxa" w:w="1584"/>
            <w:vAlign w:val="center"/>
            <w:shd w:val="clear" w:color="auto" w:fill="FFFFFF"/>
          </w:tcPr>
          <w:p>
            <w:r>
              <w:t>Yes (Wallet key pairs)</w:t>
            </w:r>
          </w:p>
        </w:tc>
        <w:tc>
          <w:tcPr>
            <w:tcW w:type="dxa" w:w="1584"/>
            <w:vAlign w:val="center"/>
            <w:shd w:val="clear" w:color="auto" w:fill="FFFFFF"/>
          </w:tcPr>
          <w:p>
            <w:r>
              <w:t>Yes (Public mainnet state)</w:t>
            </w:r>
          </w:p>
        </w:tc>
        <w:tc>
          <w:tcPr>
            <w:tcW w:type="dxa" w:w="1440"/>
            <w:vAlign w:val="center"/>
            <w:shd w:val="clear" w:color="auto" w:fill="FFFFFF"/>
          </w:tcPr>
          <w:p>
            <w:r>
              <w:t>No (Standard wallet cryptography)</w:t>
            </w:r>
          </w:p>
        </w:tc>
        <w:tc>
          <w:tcPr>
            <w:tcW w:type="dxa" w:w="1440"/>
            <w:vAlign w:val="center"/>
            <w:shd w:val="clear" w:color="auto" w:fill="FFFFFF"/>
          </w:tcPr>
          <w:p>
            <w:r>
              <w:t>Web3 decentralized finance dApps</w:t>
            </w:r>
          </w:p>
        </w:tc>
      </w:tr>
      <w:tr>
        <w:tc>
          <w:tcPr>
            <w:tcW w:type="dxa" w:w="1728"/>
            <w:vAlign w:val="center"/>
            <w:shd w:val="clear" w:color="auto" w:fill="F2F6FC"/>
          </w:tcPr>
          <w:p>
            <w:r>
              <w:t>Google Classroom / LMS</w:t>
            </w:r>
          </w:p>
        </w:tc>
        <w:tc>
          <w:tcPr>
            <w:tcW w:type="dxa" w:w="1584"/>
            <w:vAlign w:val="center"/>
            <w:shd w:val="clear" w:color="auto" w:fill="F2F6FC"/>
          </w:tcPr>
          <w:p>
            <w:r>
              <w:t>No (Asynchronous forum posts)</w:t>
            </w:r>
          </w:p>
        </w:tc>
        <w:tc>
          <w:tcPr>
            <w:tcW w:type="dxa" w:w="1584"/>
            <w:vAlign w:val="center"/>
            <w:shd w:val="clear" w:color="auto" w:fill="F2F6FC"/>
          </w:tcPr>
          <w:p>
            <w:r>
              <w:t>No (Server TLS transport)</w:t>
            </w:r>
          </w:p>
        </w:tc>
        <w:tc>
          <w:tcPr>
            <w:tcW w:type="dxa" w:w="1584"/>
            <w:vAlign w:val="center"/>
            <w:shd w:val="clear" w:color="auto" w:fill="F2F6FC"/>
          </w:tcPr>
          <w:p>
            <w:r>
              <w:t>No (Centralized SQL records)</w:t>
            </w:r>
          </w:p>
        </w:tc>
        <w:tc>
          <w:tcPr>
            <w:tcW w:type="dxa" w:w="1440"/>
            <w:vAlign w:val="center"/>
            <w:shd w:val="clear" w:color="auto" w:fill="F2F6FC"/>
          </w:tcPr>
          <w:p>
            <w:r>
              <w:t>No (Standard web security)</w:t>
            </w:r>
          </w:p>
        </w:tc>
        <w:tc>
          <w:tcPr>
            <w:tcW w:type="dxa" w:w="1440"/>
            <w:vAlign w:val="center"/>
            <w:shd w:val="clear" w:color="auto" w:fill="F2F6FC"/>
          </w:tcPr>
          <w:p>
            <w:r>
              <w:t>Academic course portals</w:t>
            </w:r>
          </w:p>
        </w:tc>
      </w:tr>
      <w:tr>
        <w:tc>
          <w:tcPr>
            <w:tcW w:type="dxa" w:w="1728"/>
            <w:vAlign w:val="center"/>
            <w:shd w:val="clear" w:color="auto" w:fill="FFFFFF"/>
          </w:tcPr>
          <w:p>
            <w:r>
              <w:t>QChat (Proposed System)</w:t>
            </w:r>
          </w:p>
        </w:tc>
        <w:tc>
          <w:tcPr>
            <w:tcW w:type="dxa" w:w="1584"/>
            <w:vAlign w:val="center"/>
            <w:shd w:val="clear" w:color="auto" w:fill="FFFFFF"/>
          </w:tcPr>
          <w:p>
            <w:r>
              <w:t>Yes (Convex serverless reactive sockets)</w:t>
            </w:r>
          </w:p>
        </w:tc>
        <w:tc>
          <w:tcPr>
            <w:tcW w:type="dxa" w:w="1584"/>
            <w:vAlign w:val="center"/>
            <w:shd w:val="clear" w:color="auto" w:fill="FFFFFF"/>
          </w:tcPr>
          <w:p>
            <w:r>
              <w:t>Yes (Browser-native WebCrypto keys)</w:t>
            </w:r>
          </w:p>
        </w:tc>
        <w:tc>
          <w:tcPr>
            <w:tcW w:type="dxa" w:w="1584"/>
            <w:vAlign w:val="center"/>
            <w:shd w:val="clear" w:color="auto" w:fill="FFFFFF"/>
          </w:tcPr>
          <w:p>
            <w:r>
              <w:t>Yes (Hyperledger Besu private ledger)</w:t>
            </w:r>
          </w:p>
        </w:tc>
        <w:tc>
          <w:tcPr>
            <w:tcW w:type="dxa" w:w="1440"/>
            <w:vAlign w:val="center"/>
            <w:shd w:val="clear" w:color="auto" w:fill="FFFFFF"/>
          </w:tcPr>
          <w:p>
            <w:r>
              <w:t>Yes (TypeScript BB84 QKD simulation)</w:t>
            </w:r>
          </w:p>
        </w:tc>
        <w:tc>
          <w:tcPr>
            <w:tcW w:type="dxa" w:w="1440"/>
            <w:vAlign w:val="center"/>
            <w:shd w:val="clear" w:color="auto" w:fill="FFFFFF"/>
          </w:tcPr>
          <w:p>
            <w:r>
              <w:t>Higher education institutional portal</w:t>
            </w:r>
          </w:p>
        </w:tc>
      </w:tr>
    </w:tbl>
    <w:p>
      <w:pPr>
        <w:spacing w:before="0" w:after="160"/>
        <w:jc w:val="left"/>
      </w:pPr>
    </w:p>
    <w:p>
      <w:pPr>
        <w:spacing w:before="240" w:after="80"/>
        <w:jc w:val="left"/>
      </w:pPr>
      <w:r>
        <w:rPr>
          <w:rFonts w:ascii="Times New Roman" w:hAnsi="Times New Roman"/>
          <w:b/>
          <w:i w:val="0"/>
          <w:color w:val="1F497D"/>
          <w:sz w:val="28"/>
        </w:rPr>
        <w:t>2.3.1  Detailed Evaluation of Existing Solutions</w:t>
      </w:r>
    </w:p>
    <w:p>
      <w:pPr>
        <w:spacing w:before="0" w:after="120"/>
        <w:jc w:val="both"/>
      </w:pPr>
      <w:r>
        <w:t>Commercial Chat Platforms (WhatsApp, Signal): While commercial apps provide fast messaging and client encryption (via the Signal protocol), they are designed for consumer use and lack institutional role verification, academic forum structures, and verifiable dispute audit logs.</w:t>
      </w:r>
    </w:p>
    <w:p>
      <w:pPr>
        <w:spacing w:before="0" w:after="120"/>
        <w:jc w:val="both"/>
      </w:pPr>
      <w:r>
        <w:t>Enterprise Collaboration Tools (MS Teams, Slack): Enterprise platforms provide channel management and role structures, but rely on centralized server-side data control. Database administrators retain full access to inspect or delete communication logs without generating tamper-evident evidence.</w:t>
      </w:r>
    </w:p>
    <w:p>
      <w:pPr>
        <w:spacing w:before="0" w:after="120"/>
        <w:jc w:val="both"/>
      </w:pPr>
      <w:r>
        <w:t>Self-Hosted Open-Source Messaging (Rocket.Chat): Self-hosted suites offer operational control over infrastructure, but rely on standard relational databases. Database updates performed under root privileges leave zero tamper-proof traces.</w:t>
      </w:r>
    </w:p>
    <w:p>
      <w:pPr>
        <w:spacing w:before="0" w:after="120"/>
        <w:jc w:val="both"/>
      </w:pPr>
      <w:r>
        <w:t>Pure Decentralized Blockchain Messaging dApps: Fully decentralized dApps attempt to store all chat content directly on public blockchains (e.g., Ethereum). This introduces severe latency (15s to several minutes per message), prohibitive gas costs, and poor scalability for file payloads.</w:t>
      </w:r>
    </w:p>
    <w:p>
      <w:pPr>
        <w:spacing w:before="0" w:after="120"/>
        <w:jc w:val="both"/>
      </w:pPr>
      <w:r>
        <w:t>Learning Management Systems (Moodle, Google Classroom): Academic LMS portals effectively manage coursework and announcements, but depend entirely on standard centralized web security. They lack real-time instant chat, client-side payload encryption, and blockchain verification logs.</w:t>
      </w:r>
    </w:p>
    <w:p>
      <w:pPr>
        <w:spacing w:before="360" w:after="120"/>
        <w:jc w:val="left"/>
      </w:pPr>
      <w:r>
        <w:rPr>
          <w:rFonts w:ascii="Times New Roman" w:hAnsi="Times New Roman"/>
          <w:b/>
          <w:i w:val="0"/>
          <w:color w:val="003366"/>
          <w:sz w:val="32"/>
        </w:rPr>
        <w:t>2.4  Gap in Literature and Existing Systems</w:t>
      </w:r>
    </w:p>
    <w:p>
      <w:pPr>
        <w:spacing w:before="0" w:after="160"/>
        <w:jc w:val="both"/>
      </w:pPr>
      <w:r>
        <w:t>This literature review reveals a clear technological gap: no existing application unifies real-time Web2 messaging, browser-native client encryption, permissioned blockchain auditing, and post-quantum key simulation in a single institutional platform.</w:t>
      </w:r>
    </w:p>
    <w:p>
      <w:pPr>
        <w:spacing w:before="0" w:after="160"/>
        <w:jc w:val="both"/>
      </w:pPr>
      <w:r>
        <w:t>Specifically, current software implementations exhibit three main unaddressed gaps:</w:t>
      </w:r>
    </w:p>
    <w:p>
      <w:pPr>
        <w:pStyle w:val="ListNumber"/>
        <w:spacing w:after="80"/>
      </w:pPr>
      <w:r>
        <w:t>1. Absence of Selective Hybrid Web2/Web3 Patterns for Academic Software — Existing literature treats Web2 and Web3 as mutually exclusive paradigms. There is a lack of documented reference implementations demonstrating how local permissioned ledgers (Hyperledger Besu) can be paired with reactive serverless backends (Convex) to achieve sub-200ms latency alongside zero-gas immutability.</w:t>
      </w:r>
    </w:p>
    <w:p>
      <w:pPr>
        <w:pStyle w:val="ListNumber"/>
        <w:spacing w:after="80"/>
      </w:pPr>
      <w:r>
        <w:t>2. Lack of Tamper-Evident Audit Trails for Academic Dispute Resolution — Current educational tools rely on centralized database management, offering no lightweight mechanism to anchor message fingerprints to an unalterable ledger. Institutions remain vulnerable when resolving submission timestamp or document tampering disputes.</w:t>
      </w:r>
    </w:p>
    <w:p>
      <w:pPr>
        <w:pStyle w:val="ListNumber"/>
        <w:spacing w:after="80"/>
      </w:pPr>
      <w:r>
        <w:t>3. Absence of Practical Educational Demonstrations of Post-Quantum Key Exchange — Although post-quantum cryptography is widely discussed in theoretical literature, practical web software lacks accessible in-browser models demonstrating basis sifting, photon polarization measurement, and QBER estimation.</w:t>
      </w:r>
    </w:p>
    <w:p>
      <w:pPr>
        <w:spacing w:before="0" w:after="160"/>
        <w:jc w:val="both"/>
      </w:pPr>
      <w:r>
        <w:t>QChat bridges this gap by unifying reactive serverless messaging, client-side Web Crypto API protection, Hyperledger Besu smart contract logging, and a TypeScript BB84 QKD simulation into a practical, open-source reference architecture built for higher education institutions.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