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003366"/>
          <w:sz w:val="36"/>
        </w:rPr>
        <w:t>CHAPTER 3</w:t>
      </w:r>
    </w:p>
    <w:p>
      <w:pPr>
        <w:spacing w:before="0" w:after="240"/>
        <w:jc w:val="center"/>
      </w:pPr>
      <w:r>
        <w:rPr>
          <w:rFonts w:ascii="Times New Roman" w:hAnsi="Times New Roman"/>
          <w:b/>
          <w:i w:val="0"/>
          <w:color w:val="1F497D"/>
          <w:sz w:val="32"/>
        </w:rPr>
        <w:t>METHODOLOGY AND SYSTEM DESIGN</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3.1  Software Engineering Methodology</w:t>
      </w:r>
    </w:p>
    <w:p>
      <w:pPr>
        <w:spacing w:before="0" w:after="160"/>
        <w:jc w:val="both"/>
      </w:pPr>
      <w:r>
        <w:t>QChat was engineered following an Agile software development model structured into five iterative phases. Each development iteration produced a testable increment evaluated through automated unit tests and user scenarios.</w:t>
      </w:r>
    </w:p>
    <w:p>
      <w:pPr>
        <w:spacing w:before="0" w:after="160"/>
        <w:jc w:val="both"/>
      </w:pPr>
      <w:r>
        <w:rPr>
          <w:rFonts w:ascii="Times New Roman" w:hAnsi="Times New Roman"/>
          <w:b w:val="0"/>
          <w:i w:val="0"/>
          <w:sz w:val="24"/>
        </w:rPr>
        <w:t>Each phase produced a functional system increment that underwent immediate local testing before advancing to subsequent modules. The five execution phases are defined below:</w:t>
      </w:r>
    </w:p>
    <w:p>
      <w:pPr>
        <w:spacing w:before="0" w:after="120"/>
        <w:jc w:val="both"/>
      </w:pPr>
      <w:r>
        <w:t>Phase 1 — Architectural Requirements &amp; Scaffolding (Weeks 1–2): Specified system personas, established React 19 UI component templates, and configured client routing.</w:t>
      </w:r>
    </w:p>
    <w:p>
      <w:pPr>
        <w:spacing w:before="0" w:after="120"/>
        <w:jc w:val="both"/>
      </w:pPr>
      <w:r>
        <w:t>Phase 2 — Reactive Data Engine Integration (Weeks 3–4): Built Convex schema definitions, implemented WebSocket subscription queries, and developed binary file storage handlers.</w:t>
      </w:r>
    </w:p>
    <w:p>
      <w:pPr>
        <w:spacing w:before="0" w:after="120"/>
        <w:jc w:val="both"/>
      </w:pPr>
      <w:r>
        <w:t>Phase 3 — WebCrypto Pipeline &amp; QKD Simulation (Weeks 5–6): Implemented browser-native RSA-OAEP 2048 key generation, AES-GCM 256 ciphering, and the TypeScript BB84 simulation engine.</w:t>
      </w:r>
    </w:p>
    <w:p>
      <w:pPr>
        <w:spacing w:before="0" w:after="120"/>
        <w:jc w:val="both"/>
      </w:pPr>
      <w:r>
        <w:t>Phase 4 — Permissioned Ledger Deployment (Weeks 7–8): Authored and compiled the MessageVerifier.sol smart contract, deployed to a local Hyperledger Besu node, and integrated Ethers.js v6 JSON-RPC calls.</w:t>
      </w:r>
    </w:p>
    <w:p>
      <w:pPr>
        <w:spacing w:before="0" w:after="120"/>
        <w:jc w:val="both"/>
      </w:pPr>
      <w:r>
        <w:t>Phase 5 — System Integration, Benchmarking, &amp; UAT (Weeks 9–10): Ran cryptographic unit tests, measured Convex delivery latency, and conducted User Acceptance Testing (UAT) across student and faculty cohorts.</w:t>
      </w:r>
    </w:p>
    <w:p>
      <w:pPr>
        <w:spacing w:before="360" w:after="120"/>
        <w:jc w:val="left"/>
      </w:pPr>
      <w:r>
        <w:rPr>
          <w:rFonts w:ascii="Times New Roman" w:hAnsi="Times New Roman"/>
          <w:b/>
          <w:i w:val="0"/>
          <w:color w:val="003366"/>
          <w:sz w:val="32"/>
        </w:rPr>
        <w:t>3.2  High-Level System Architecture</w:t>
      </w:r>
    </w:p>
    <w:p>
      <w:pPr>
        <w:spacing w:before="0" w:after="160"/>
        <w:jc w:val="both"/>
      </w:pPr>
      <w:r>
        <w:t>QChat uses a three-tier hybrid design to balance real-time user experience with decentralized verification: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vAlign w:val="center"/>
            <w:shd w:val="clear" w:color="auto" w:fill="1F497D"/>
          </w:tcPr>
          <w:p>
            <w:pPr>
              <w:jc w:val="center"/>
            </w:pPr>
            <w:r>
              <w:rPr>
                <w:rFonts w:ascii="Times New Roman" w:hAnsi="Times New Roman"/>
                <w:b/>
                <w:i w:val="0"/>
                <w:color w:val="FFFFFF"/>
                <w:sz w:val="20"/>
              </w:rPr>
              <w:t>Layer</w:t>
            </w:r>
          </w:p>
        </w:tc>
        <w:tc>
          <w:tcPr>
            <w:tcW w:type="dxa" w:w="2016"/>
            <w:vAlign w:val="center"/>
            <w:shd w:val="clear" w:color="auto" w:fill="1F497D"/>
          </w:tcPr>
          <w:p>
            <w:pPr>
              <w:jc w:val="center"/>
            </w:pPr>
            <w:r>
              <w:rPr>
                <w:rFonts w:ascii="Times New Roman" w:hAnsi="Times New Roman"/>
                <w:b/>
                <w:i w:val="0"/>
                <w:color w:val="FFFFFF"/>
                <w:sz w:val="20"/>
              </w:rPr>
              <w:t>Technology Stack</w:t>
            </w:r>
          </w:p>
        </w:tc>
        <w:tc>
          <w:tcPr>
            <w:tcW w:type="dxa" w:w="2160"/>
            <w:vAlign w:val="center"/>
            <w:shd w:val="clear" w:color="auto" w:fill="1F497D"/>
          </w:tcPr>
          <w:p>
            <w:pPr>
              <w:jc w:val="center"/>
            </w:pPr>
            <w:r>
              <w:rPr>
                <w:rFonts w:ascii="Times New Roman" w:hAnsi="Times New Roman"/>
                <w:b/>
                <w:i w:val="0"/>
                <w:color w:val="FFFFFF"/>
                <w:sz w:val="20"/>
              </w:rPr>
              <w:t>Deployment Context</w:t>
            </w:r>
          </w:p>
        </w:tc>
        <w:tc>
          <w:tcPr>
            <w:tcW w:type="dxa" w:w="3600"/>
            <w:vAlign w:val="center"/>
            <w:shd w:val="clear" w:color="auto" w:fill="1F497D"/>
          </w:tcPr>
          <w:p>
            <w:pPr>
              <w:jc w:val="center"/>
            </w:pPr>
            <w:r>
              <w:rPr>
                <w:rFonts w:ascii="Times New Roman" w:hAnsi="Times New Roman"/>
                <w:b/>
                <w:i w:val="0"/>
                <w:color w:val="FFFFFF"/>
                <w:sz w:val="20"/>
              </w:rPr>
              <w:t>Primary Functional Responsibilities</w:t>
            </w:r>
          </w:p>
        </w:tc>
      </w:tr>
      <w:tr>
        <w:tc>
          <w:tcPr>
            <w:tcW w:type="dxa" w:w="1584"/>
            <w:vAlign w:val="center"/>
            <w:shd w:val="clear" w:color="auto" w:fill="F2F6FC"/>
          </w:tcPr>
          <w:p>
            <w:r>
              <w:t>Presentation Layer</w:t>
            </w:r>
          </w:p>
        </w:tc>
        <w:tc>
          <w:tcPr>
            <w:tcW w:type="dxa" w:w="2016"/>
            <w:vAlign w:val="center"/>
            <w:shd w:val="clear" w:color="auto" w:fill="F2F6FC"/>
          </w:tcPr>
          <w:p>
            <w:r>
              <w:t>React 19, TypeScript, Vite, Tailwind CSS</w:t>
            </w:r>
          </w:p>
        </w:tc>
        <w:tc>
          <w:tcPr>
            <w:tcW w:type="dxa" w:w="2160"/>
            <w:vAlign w:val="center"/>
            <w:shd w:val="clear" w:color="auto" w:fill="F2F6FC"/>
          </w:tcPr>
          <w:p>
            <w:r>
              <w:t>Local Browser Host (http://localhost:5173)</w:t>
            </w:r>
          </w:p>
        </w:tc>
        <w:tc>
          <w:tcPr>
            <w:tcW w:type="dxa" w:w="3600"/>
            <w:vAlign w:val="center"/>
            <w:shd w:val="clear" w:color="auto" w:fill="F2F6FC"/>
          </w:tcPr>
          <w:p>
            <w:r>
              <w:t>Renders interactive UI screens, handles client routing, manages WebCrypto key pairs, and runs the BB84 QKD simulation.</w:t>
            </w:r>
          </w:p>
        </w:tc>
      </w:tr>
      <w:tr>
        <w:tc>
          <w:tcPr>
            <w:tcW w:type="dxa" w:w="1584"/>
            <w:vAlign w:val="center"/>
            <w:shd w:val="clear" w:color="auto" w:fill="FFFFFF"/>
          </w:tcPr>
          <w:p>
            <w:r>
              <w:t>Application Layer</w:t>
            </w:r>
          </w:p>
        </w:tc>
        <w:tc>
          <w:tcPr>
            <w:tcW w:type="dxa" w:w="2016"/>
            <w:vAlign w:val="center"/>
            <w:shd w:val="clear" w:color="auto" w:fill="FFFFFF"/>
          </w:tcPr>
          <w:p>
            <w:r>
              <w:t>Convex Serverless Backend Engine</w:t>
            </w:r>
          </w:p>
        </w:tc>
        <w:tc>
          <w:tcPr>
            <w:tcW w:type="dxa" w:w="2160"/>
            <w:vAlign w:val="center"/>
            <w:shd w:val="clear" w:color="auto" w:fill="FFFFFF"/>
          </w:tcPr>
          <w:p>
            <w:r>
              <w:t>Cloud WebSocket Sockets</w:t>
            </w:r>
          </w:p>
        </w:tc>
        <w:tc>
          <w:tcPr>
            <w:tcW w:type="dxa" w:w="3600"/>
            <w:vAlign w:val="center"/>
            <w:shd w:val="clear" w:color="auto" w:fill="FFFFFF"/>
          </w:tcPr>
          <w:p>
            <w:r>
              <w:t>Orchestrates real-time data sync, user authentication sessions, binary file storage buckets, and Q&amp;A notification dispatches.</w:t>
            </w:r>
          </w:p>
        </w:tc>
      </w:tr>
      <w:tr>
        <w:tc>
          <w:tcPr>
            <w:tcW w:type="dxa" w:w="1584"/>
            <w:vAlign w:val="center"/>
            <w:shd w:val="clear" w:color="auto" w:fill="F2F6FC"/>
          </w:tcPr>
          <w:p>
            <w:r>
              <w:t>Verification Layer</w:t>
            </w:r>
          </w:p>
        </w:tc>
        <w:tc>
          <w:tcPr>
            <w:tcW w:type="dxa" w:w="2016"/>
            <w:vAlign w:val="center"/>
            <w:shd w:val="clear" w:color="auto" w:fill="F2F6FC"/>
          </w:tcPr>
          <w:p>
            <w:r>
              <w:t>Hyperledger Besu, Solidity (MessageVerifier.sol), Ethers.js v6</w:t>
            </w:r>
          </w:p>
        </w:tc>
        <w:tc>
          <w:tcPr>
            <w:tcW w:type="dxa" w:w="2160"/>
            <w:vAlign w:val="center"/>
            <w:shd w:val="clear" w:color="auto" w:fill="F2F6FC"/>
          </w:tcPr>
          <w:p>
            <w:r>
              <w:t>Local Private Ledger (http://127.0.0.1:8545)</w:t>
            </w:r>
          </w:p>
        </w:tc>
        <w:tc>
          <w:tcPr>
            <w:tcW w:type="dxa" w:w="3600"/>
            <w:vAlign w:val="center"/>
            <w:shd w:val="clear" w:color="auto" w:fill="F2F6FC"/>
          </w:tcPr>
          <w:p>
            <w:r>
              <w:t>Logs SHA-256 message digests and records admin-verified user roles under zero-gas QBFT consensus.</w:t>
            </w:r>
          </w:p>
        </w:tc>
      </w:tr>
    </w:tbl>
    <w:p>
      <w:pPr>
        <w:spacing w:before="0" w:after="160"/>
        <w:jc w:val="left"/>
      </w:pPr>
    </w:p>
    <w:p>
      <w:pPr>
        <w:spacing w:before="0" w:after="160"/>
        <w:jc w:val="both"/>
      </w:pPr>
      <w:r>
        <w:t>Hybrid Architectural Rule: High-frequency operational requests—such as real-time messaging, forum posting, and file previews—run through the Convex serverless backend. Low-frequency, security-critical events—such as logging SHA-256 message fingerprints and registering administrative role approvals—are committed to the permissioned Hyperledger Besu blockchain.</w:t>
      </w:r>
    </w:p>
    <w:p>
      <w:pPr>
        <w:spacing w:before="360" w:after="120"/>
        <w:jc w:val="left"/>
      </w:pPr>
      <w:r>
        <w:rPr>
          <w:rFonts w:ascii="Times New Roman" w:hAnsi="Times New Roman"/>
          <w:b/>
          <w:i w:val="0"/>
          <w:color w:val="003366"/>
          <w:sz w:val="32"/>
        </w:rPr>
        <w:t>3.3  Database Schema and Data Modeling</w:t>
      </w:r>
    </w:p>
    <w:p>
      <w:pPr>
        <w:spacing w:before="0" w:after="160"/>
        <w:jc w:val="both"/>
      </w:pPr>
      <w:r>
        <w:t>The database is structured in Convex using strongly typed TypeScript schemas defining nine relational collections: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vAlign w:val="center"/>
            <w:shd w:val="clear" w:color="auto" w:fill="1F497D"/>
          </w:tcPr>
          <w:p>
            <w:pPr>
              <w:jc w:val="center"/>
            </w:pPr>
            <w:r>
              <w:rPr>
                <w:rFonts w:ascii="Times New Roman" w:hAnsi="Times New Roman"/>
                <w:b/>
                <w:i w:val="0"/>
                <w:color w:val="FFFFFF"/>
                <w:sz w:val="20"/>
              </w:rPr>
              <w:t>Table Name</w:t>
            </w:r>
          </w:p>
        </w:tc>
        <w:tc>
          <w:tcPr>
            <w:tcW w:type="dxa" w:w="3168"/>
            <w:vAlign w:val="center"/>
            <w:shd w:val="clear" w:color="auto" w:fill="1F497D"/>
          </w:tcPr>
          <w:p>
            <w:pPr>
              <w:jc w:val="center"/>
            </w:pPr>
            <w:r>
              <w:rPr>
                <w:rFonts w:ascii="Times New Roman" w:hAnsi="Times New Roman"/>
                <w:b/>
                <w:i w:val="0"/>
                <w:color w:val="FFFFFF"/>
                <w:sz w:val="20"/>
              </w:rPr>
              <w:t>Core Fields</w:t>
            </w:r>
          </w:p>
        </w:tc>
        <w:tc>
          <w:tcPr>
            <w:tcW w:type="dxa" w:w="2016"/>
            <w:vAlign w:val="center"/>
            <w:shd w:val="clear" w:color="auto" w:fill="1F497D"/>
          </w:tcPr>
          <w:p>
            <w:pPr>
              <w:jc w:val="center"/>
            </w:pPr>
            <w:r>
              <w:rPr>
                <w:rFonts w:ascii="Times New Roman" w:hAnsi="Times New Roman"/>
                <w:b/>
                <w:i w:val="0"/>
                <w:color w:val="FFFFFF"/>
                <w:sz w:val="20"/>
              </w:rPr>
              <w:t>Indexes</w:t>
            </w:r>
          </w:p>
        </w:tc>
        <w:tc>
          <w:tcPr>
            <w:tcW w:type="dxa" w:w="2448"/>
            <w:vAlign w:val="center"/>
            <w:shd w:val="clear" w:color="auto" w:fill="1F497D"/>
          </w:tcPr>
          <w:p>
            <w:pPr>
              <w:jc w:val="center"/>
            </w:pPr>
            <w:r>
              <w:rPr>
                <w:rFonts w:ascii="Times New Roman" w:hAnsi="Times New Roman"/>
                <w:b/>
                <w:i w:val="0"/>
                <w:color w:val="FFFFFF"/>
                <w:sz w:val="20"/>
              </w:rPr>
              <w:t>Functional Purpose</w:t>
            </w:r>
          </w:p>
        </w:tc>
      </w:tr>
      <w:tr>
        <w:tc>
          <w:tcPr>
            <w:tcW w:type="dxa" w:w="1728"/>
            <w:vAlign w:val="center"/>
            <w:shd w:val="clear" w:color="auto" w:fill="F2F6FC"/>
          </w:tcPr>
          <w:p>
            <w:pPr>
              <w:jc w:val="left"/>
            </w:pPr>
            <w:r>
              <w:rPr>
                <w:rFonts w:ascii="Times New Roman" w:hAnsi="Times New Roman"/>
                <w:b w:val="0"/>
                <w:i w:val="0"/>
                <w:sz w:val="20"/>
              </w:rPr>
              <w:t>admins</w:t>
            </w:r>
          </w:p>
        </w:tc>
        <w:tc>
          <w:tcPr>
            <w:tcW w:type="dxa" w:w="3168"/>
            <w:vAlign w:val="center"/>
            <w:shd w:val="clear" w:color="auto" w:fill="F2F6FC"/>
          </w:tcPr>
          <w:p>
            <w:pPr>
              <w:jc w:val="left"/>
            </w:pPr>
            <w:r>
              <w:rPr>
                <w:rFonts w:ascii="Times New Roman" w:hAnsi="Times New Roman"/>
                <w:b w:val="0"/>
                <w:i w:val="0"/>
                <w:sz w:val="20"/>
              </w:rPr>
              <w:t>email, displayName, passwordHash, sessionToken, createdAt, updatedAt</w:t>
            </w:r>
          </w:p>
        </w:tc>
        <w:tc>
          <w:tcPr>
            <w:tcW w:type="dxa" w:w="2016"/>
            <w:vAlign w:val="center"/>
            <w:shd w:val="clear" w:color="auto" w:fill="F2F6FC"/>
          </w:tcPr>
          <w:p>
            <w:pPr>
              <w:jc w:val="left"/>
            </w:pPr>
            <w:r>
              <w:rPr>
                <w:rFonts w:ascii="Times New Roman" w:hAnsi="Times New Roman"/>
                <w:b w:val="0"/>
                <w:i w:val="0"/>
                <w:sz w:val="20"/>
              </w:rPr>
              <w:t>by_email, by_sessionToken</w:t>
            </w:r>
          </w:p>
        </w:tc>
        <w:tc>
          <w:tcPr>
            <w:tcW w:type="dxa" w:w="2448"/>
            <w:vAlign w:val="center"/>
            <w:shd w:val="clear" w:color="auto" w:fill="F2F6FC"/>
          </w:tcPr>
          <w:p>
            <w:pPr>
              <w:jc w:val="left"/>
            </w:pPr>
            <w:r>
              <w:rPr>
                <w:rFonts w:ascii="Times New Roman" w:hAnsi="Times New Roman"/>
                <w:b w:val="0"/>
                <w:i w:val="0"/>
                <w:sz w:val="20"/>
              </w:rPr>
              <w:t>Stores administrator credentials and authentication tokens for governance access.</w:t>
            </w:r>
          </w:p>
        </w:tc>
      </w:tr>
      <w:tr>
        <w:tc>
          <w:tcPr>
            <w:tcW w:type="dxa" w:w="1728"/>
            <w:vAlign w:val="center"/>
            <w:shd w:val="clear" w:color="auto" w:fill="FFFFFF"/>
          </w:tcPr>
          <w:p>
            <w:pPr>
              <w:jc w:val="left"/>
            </w:pPr>
            <w:r>
              <w:rPr>
                <w:rFonts w:ascii="Times New Roman" w:hAnsi="Times New Roman"/>
                <w:b w:val="0"/>
                <w:i w:val="0"/>
                <w:sz w:val="20"/>
              </w:rPr>
              <w:t>users</w:t>
            </w:r>
          </w:p>
        </w:tc>
        <w:tc>
          <w:tcPr>
            <w:tcW w:type="dxa" w:w="3168"/>
            <w:vAlign w:val="center"/>
            <w:shd w:val="clear" w:color="auto" w:fill="FFFFFF"/>
          </w:tcPr>
          <w:p>
            <w:pPr>
              <w:jc w:val="left"/>
            </w:pPr>
            <w:r>
              <w:rPr>
                <w:rFonts w:ascii="Times New Roman" w:hAnsi="Times New Roman"/>
                <w:b w:val="0"/>
                <w:i w:val="0"/>
                <w:sz w:val="20"/>
              </w:rPr>
              <w:t>firstName, lastName, fullName, email, role, school, idNumber, bio, avatarStorageId, passwordHash, sessionToken, verificationStatus, approved, publicKey, hasKeypair</w:t>
            </w:r>
          </w:p>
        </w:tc>
        <w:tc>
          <w:tcPr>
            <w:tcW w:type="dxa" w:w="2016"/>
            <w:vAlign w:val="center"/>
            <w:shd w:val="clear" w:color="auto" w:fill="FFFFFF"/>
          </w:tcPr>
          <w:p>
            <w:pPr>
              <w:jc w:val="left"/>
            </w:pPr>
            <w:r>
              <w:rPr>
                <w:rFonts w:ascii="Times New Roman" w:hAnsi="Times New Roman"/>
                <w:b w:val="0"/>
                <w:i w:val="0"/>
                <w:sz w:val="20"/>
              </w:rPr>
              <w:t>by_email, by_sessionToken, by_school, by_verificationStatus</w:t>
            </w:r>
          </w:p>
        </w:tc>
        <w:tc>
          <w:tcPr>
            <w:tcW w:type="dxa" w:w="2448"/>
            <w:vAlign w:val="center"/>
            <w:shd w:val="clear" w:color="auto" w:fill="FFFFFF"/>
          </w:tcPr>
          <w:p>
            <w:pPr>
              <w:jc w:val="left"/>
            </w:pPr>
            <w:r>
              <w:rPr>
                <w:rFonts w:ascii="Times New Roman" w:hAnsi="Times New Roman"/>
                <w:b w:val="0"/>
                <w:i w:val="0"/>
                <w:sz w:val="20"/>
              </w:rPr>
              <w:t>Stores user profiles, role assignments (student/lecturer), identity verification status, and exported public keys.</w:t>
            </w:r>
          </w:p>
        </w:tc>
      </w:tr>
      <w:tr>
        <w:tc>
          <w:tcPr>
            <w:tcW w:type="dxa" w:w="1728"/>
            <w:vAlign w:val="center"/>
            <w:shd w:val="clear" w:color="auto" w:fill="F2F6FC"/>
          </w:tcPr>
          <w:p>
            <w:pPr>
              <w:jc w:val="left"/>
            </w:pPr>
            <w:r>
              <w:rPr>
                <w:rFonts w:ascii="Times New Roman" w:hAnsi="Times New Roman"/>
                <w:b w:val="0"/>
                <w:i w:val="0"/>
                <w:sz w:val="20"/>
              </w:rPr>
              <w:t>chatRooms</w:t>
            </w:r>
          </w:p>
        </w:tc>
        <w:tc>
          <w:tcPr>
            <w:tcW w:type="dxa" w:w="3168"/>
            <w:vAlign w:val="center"/>
            <w:shd w:val="clear" w:color="auto" w:fill="F2F6FC"/>
          </w:tcPr>
          <w:p>
            <w:pPr>
              <w:jc w:val="left"/>
            </w:pPr>
            <w:r>
              <w:rPr>
                <w:rFonts w:ascii="Times New Roman" w:hAnsi="Times New Roman"/>
                <w:b w:val="0"/>
                <w:i w:val="0"/>
                <w:sz w:val="20"/>
              </w:rPr>
              <w:t>participantIds, participantKey, title, lastMessageText, lastMessageAt, bb84Key, bb84Fingerprint, bb84ConfirmedUsers, bb84DebugInfo</w:t>
            </w:r>
          </w:p>
        </w:tc>
        <w:tc>
          <w:tcPr>
            <w:tcW w:type="dxa" w:w="2016"/>
            <w:vAlign w:val="center"/>
            <w:shd w:val="clear" w:color="auto" w:fill="F2F6FC"/>
          </w:tcPr>
          <w:p>
            <w:pPr>
              <w:jc w:val="left"/>
            </w:pPr>
            <w:r>
              <w:rPr>
                <w:rFonts w:ascii="Times New Roman" w:hAnsi="Times New Roman"/>
                <w:b w:val="0"/>
                <w:i w:val="0"/>
                <w:sz w:val="20"/>
              </w:rPr>
              <w:t>by_participantKey</w:t>
            </w:r>
          </w:p>
        </w:tc>
        <w:tc>
          <w:tcPr>
            <w:tcW w:type="dxa" w:w="2448"/>
            <w:vAlign w:val="center"/>
            <w:shd w:val="clear" w:color="auto" w:fill="F2F6FC"/>
          </w:tcPr>
          <w:p>
            <w:pPr>
              <w:jc w:val="left"/>
            </w:pPr>
            <w:r>
              <w:rPr>
                <w:rFonts w:ascii="Times New Roman" w:hAnsi="Times New Roman"/>
                <w:b w:val="0"/>
                <w:i w:val="0"/>
                <w:sz w:val="20"/>
              </w:rPr>
              <w:t>Tracks one-to-one messaging rooms, participant pairs, active BB84 session keys, and quantum simulation diagnostics.</w:t>
            </w:r>
          </w:p>
        </w:tc>
      </w:tr>
      <w:tr>
        <w:tc>
          <w:tcPr>
            <w:tcW w:type="dxa" w:w="1728"/>
            <w:vAlign w:val="center"/>
            <w:shd w:val="clear" w:color="auto" w:fill="FFFFFF"/>
          </w:tcPr>
          <w:p>
            <w:pPr>
              <w:jc w:val="left"/>
            </w:pPr>
            <w:r>
              <w:rPr>
                <w:rFonts w:ascii="Times New Roman" w:hAnsi="Times New Roman"/>
                <w:b w:val="0"/>
                <w:i w:val="0"/>
                <w:sz w:val="20"/>
              </w:rPr>
              <w:t>chatRoomMembers</w:t>
            </w:r>
          </w:p>
        </w:tc>
        <w:tc>
          <w:tcPr>
            <w:tcW w:type="dxa" w:w="3168"/>
            <w:vAlign w:val="center"/>
            <w:shd w:val="clear" w:color="auto" w:fill="FFFFFF"/>
          </w:tcPr>
          <w:p>
            <w:pPr>
              <w:jc w:val="left"/>
            </w:pPr>
            <w:r>
              <w:rPr>
                <w:rFonts w:ascii="Times New Roman" w:hAnsi="Times New Roman"/>
                <w:b w:val="0"/>
                <w:i w:val="0"/>
                <w:sz w:val="20"/>
              </w:rPr>
              <w:t>roomId, userId, otherUserId, unreadCount, lastReadAt</w:t>
            </w:r>
          </w:p>
        </w:tc>
        <w:tc>
          <w:tcPr>
            <w:tcW w:type="dxa" w:w="2016"/>
            <w:vAlign w:val="center"/>
            <w:shd w:val="clear" w:color="auto" w:fill="FFFFFF"/>
          </w:tcPr>
          <w:p>
            <w:pPr>
              <w:jc w:val="left"/>
            </w:pPr>
            <w:r>
              <w:rPr>
                <w:rFonts w:ascii="Times New Roman" w:hAnsi="Times New Roman"/>
                <w:b w:val="0"/>
                <w:i w:val="0"/>
                <w:sz w:val="20"/>
              </w:rPr>
              <w:t>by_userId_and_updatedAt, by_roomId_and_userId</w:t>
            </w:r>
          </w:p>
        </w:tc>
        <w:tc>
          <w:tcPr>
            <w:tcW w:type="dxa" w:w="2448"/>
            <w:vAlign w:val="center"/>
            <w:shd w:val="clear" w:color="auto" w:fill="FFFFFF"/>
          </w:tcPr>
          <w:p>
            <w:pPr>
              <w:jc w:val="left"/>
            </w:pPr>
            <w:r>
              <w:rPr>
                <w:rFonts w:ascii="Times New Roman" w:hAnsi="Times New Roman"/>
                <w:b w:val="0"/>
                <w:i w:val="0"/>
                <w:sz w:val="20"/>
              </w:rPr>
              <w:t>Manages user room subscriptions, unread message counts, and room update timestamps.</w:t>
            </w:r>
          </w:p>
        </w:tc>
      </w:tr>
      <w:tr>
        <w:tc>
          <w:tcPr>
            <w:tcW w:type="dxa" w:w="1728"/>
            <w:vAlign w:val="center"/>
            <w:shd w:val="clear" w:color="auto" w:fill="F2F6FC"/>
          </w:tcPr>
          <w:p>
            <w:pPr>
              <w:jc w:val="left"/>
            </w:pPr>
            <w:r>
              <w:rPr>
                <w:rFonts w:ascii="Times New Roman" w:hAnsi="Times New Roman"/>
                <w:b w:val="0"/>
                <w:i w:val="0"/>
                <w:sz w:val="20"/>
              </w:rPr>
              <w:t>messages</w:t>
            </w:r>
          </w:p>
        </w:tc>
        <w:tc>
          <w:tcPr>
            <w:tcW w:type="dxa" w:w="3168"/>
            <w:vAlign w:val="center"/>
            <w:shd w:val="clear" w:color="auto" w:fill="F2F6FC"/>
          </w:tcPr>
          <w:p>
            <w:pPr>
              <w:jc w:val="left"/>
            </w:pPr>
            <w:r>
              <w:rPr>
                <w:rFonts w:ascii="Times New Roman" w:hAnsi="Times New Roman"/>
                <w:b w:val="0"/>
                <w:i w:val="0"/>
                <w:sz w:val="20"/>
              </w:rPr>
              <w:t>roomId, senderId, text, iv, isEncrypted, attachmentStorageId, attachmentUrl, attachmentName, attachmentType, attachmentSize, readBy, blockchainTxHash</w:t>
            </w:r>
          </w:p>
        </w:tc>
        <w:tc>
          <w:tcPr>
            <w:tcW w:type="dxa" w:w="2016"/>
            <w:vAlign w:val="center"/>
            <w:shd w:val="clear" w:color="auto" w:fill="F2F6FC"/>
          </w:tcPr>
          <w:p>
            <w:pPr>
              <w:jc w:val="left"/>
            </w:pPr>
            <w:r>
              <w:rPr>
                <w:rFonts w:ascii="Times New Roman" w:hAnsi="Times New Roman"/>
                <w:b w:val="0"/>
                <w:i w:val="0"/>
                <w:sz w:val="20"/>
              </w:rPr>
              <w:t>by_roomId_and_createdAt, by_senderId</w:t>
            </w:r>
          </w:p>
        </w:tc>
        <w:tc>
          <w:tcPr>
            <w:tcW w:type="dxa" w:w="2448"/>
            <w:vAlign w:val="center"/>
            <w:shd w:val="clear" w:color="auto" w:fill="F2F6FC"/>
          </w:tcPr>
          <w:p>
            <w:pPr>
              <w:jc w:val="left"/>
            </w:pPr>
            <w:r>
              <w:rPr>
                <w:rFonts w:ascii="Times New Roman" w:hAnsi="Times New Roman"/>
                <w:b w:val="0"/>
                <w:i w:val="0"/>
                <w:sz w:val="20"/>
              </w:rPr>
              <w:t>Stores chat message payloads, initialization vectors (IV), file attachment references, read receipts, and blockchain transaction hashes.</w:t>
            </w:r>
          </w:p>
        </w:tc>
      </w:tr>
      <w:tr>
        <w:tc>
          <w:tcPr>
            <w:tcW w:type="dxa" w:w="1728"/>
            <w:vAlign w:val="center"/>
            <w:shd w:val="clear" w:color="auto" w:fill="FFFFFF"/>
          </w:tcPr>
          <w:p>
            <w:pPr>
              <w:jc w:val="left"/>
            </w:pPr>
            <w:r>
              <w:rPr>
                <w:rFonts w:ascii="Times New Roman" w:hAnsi="Times New Roman"/>
                <w:b w:val="0"/>
                <w:i w:val="0"/>
                <w:sz w:val="20"/>
              </w:rPr>
              <w:t>questions</w:t>
            </w:r>
          </w:p>
        </w:tc>
        <w:tc>
          <w:tcPr>
            <w:tcW w:type="dxa" w:w="3168"/>
            <w:vAlign w:val="center"/>
            <w:shd w:val="clear" w:color="auto" w:fill="FFFFFF"/>
          </w:tcPr>
          <w:p>
            <w:pPr>
              <w:jc w:val="left"/>
            </w:pPr>
            <w:r>
              <w:rPr>
                <w:rFonts w:ascii="Times New Roman" w:hAnsi="Times New Roman"/>
                <w:b w:val="0"/>
                <w:i w:val="0"/>
                <w:sz w:val="20"/>
              </w:rPr>
              <w:t>authorId, title, body, hashtags, attachmentStorageId, answerCount, answered</w:t>
            </w:r>
          </w:p>
        </w:tc>
        <w:tc>
          <w:tcPr>
            <w:tcW w:type="dxa" w:w="2016"/>
            <w:vAlign w:val="center"/>
            <w:shd w:val="clear" w:color="auto" w:fill="FFFFFF"/>
          </w:tcPr>
          <w:p>
            <w:pPr>
              <w:jc w:val="left"/>
            </w:pPr>
            <w:r>
              <w:rPr>
                <w:rFonts w:ascii="Times New Roman" w:hAnsi="Times New Roman"/>
                <w:b w:val="0"/>
                <w:i w:val="0"/>
                <w:sz w:val="20"/>
              </w:rPr>
              <w:t>by_createdAt, by_authorId_and_createdAt</w:t>
            </w:r>
          </w:p>
        </w:tc>
        <w:tc>
          <w:tcPr>
            <w:tcW w:type="dxa" w:w="2448"/>
            <w:vAlign w:val="center"/>
            <w:shd w:val="clear" w:color="auto" w:fill="FFFFFF"/>
          </w:tcPr>
          <w:p>
            <w:pPr>
              <w:jc w:val="left"/>
            </w:pPr>
            <w:r>
              <w:rPr>
                <w:rFonts w:ascii="Times New Roman" w:hAnsi="Times New Roman"/>
                <w:b w:val="0"/>
                <w:i w:val="0"/>
                <w:sz w:val="20"/>
              </w:rPr>
              <w:t>Stores community Q&amp;A posts, topic hashtags, attachment references, and resolution status.</w:t>
            </w:r>
          </w:p>
        </w:tc>
      </w:tr>
      <w:tr>
        <w:tc>
          <w:tcPr>
            <w:tcW w:type="dxa" w:w="1728"/>
            <w:vAlign w:val="center"/>
            <w:shd w:val="clear" w:color="auto" w:fill="F2F6FC"/>
          </w:tcPr>
          <w:p>
            <w:pPr>
              <w:jc w:val="left"/>
            </w:pPr>
            <w:r>
              <w:rPr>
                <w:rFonts w:ascii="Times New Roman" w:hAnsi="Times New Roman"/>
                <w:b w:val="0"/>
                <w:i w:val="0"/>
                <w:sz w:val="20"/>
              </w:rPr>
              <w:t>answers</w:t>
            </w:r>
          </w:p>
        </w:tc>
        <w:tc>
          <w:tcPr>
            <w:tcW w:type="dxa" w:w="3168"/>
            <w:vAlign w:val="center"/>
            <w:shd w:val="clear" w:color="auto" w:fill="F2F6FC"/>
          </w:tcPr>
          <w:p>
            <w:pPr>
              <w:jc w:val="left"/>
            </w:pPr>
            <w:r>
              <w:rPr>
                <w:rFonts w:ascii="Times New Roman" w:hAnsi="Times New Roman"/>
                <w:b w:val="0"/>
                <w:i w:val="0"/>
                <w:sz w:val="20"/>
              </w:rPr>
              <w:t>questionId, authorId, body, attachmentStorageId</w:t>
            </w:r>
          </w:p>
        </w:tc>
        <w:tc>
          <w:tcPr>
            <w:tcW w:type="dxa" w:w="2016"/>
            <w:vAlign w:val="center"/>
            <w:shd w:val="clear" w:color="auto" w:fill="F2F6FC"/>
          </w:tcPr>
          <w:p>
            <w:pPr>
              <w:jc w:val="left"/>
            </w:pPr>
            <w:r>
              <w:rPr>
                <w:rFonts w:ascii="Times New Roman" w:hAnsi="Times New Roman"/>
                <w:b w:val="0"/>
                <w:i w:val="0"/>
                <w:sz w:val="20"/>
              </w:rPr>
              <w:t>by_questionId_and_createdAt, by_authorId_and_createdAt</w:t>
            </w:r>
          </w:p>
        </w:tc>
        <w:tc>
          <w:tcPr>
            <w:tcW w:type="dxa" w:w="2448"/>
            <w:vAlign w:val="center"/>
            <w:shd w:val="clear" w:color="auto" w:fill="F2F6FC"/>
          </w:tcPr>
          <w:p>
            <w:pPr>
              <w:jc w:val="left"/>
            </w:pPr>
            <w:r>
              <w:rPr>
                <w:rFonts w:ascii="Times New Roman" w:hAnsi="Times New Roman"/>
                <w:b w:val="0"/>
                <w:i w:val="0"/>
                <w:sz w:val="20"/>
              </w:rPr>
              <w:t>Stores responses to community Q&amp;A questions with file attachment references.</w:t>
            </w:r>
          </w:p>
        </w:tc>
      </w:tr>
      <w:tr>
        <w:tc>
          <w:tcPr>
            <w:tcW w:type="dxa" w:w="1728"/>
            <w:vAlign w:val="center"/>
            <w:shd w:val="clear" w:color="auto" w:fill="FFFFFF"/>
          </w:tcPr>
          <w:p>
            <w:pPr>
              <w:jc w:val="left"/>
            </w:pPr>
            <w:r>
              <w:rPr>
                <w:rFonts w:ascii="Times New Roman" w:hAnsi="Times New Roman"/>
                <w:b w:val="0"/>
                <w:i w:val="0"/>
                <w:sz w:val="20"/>
              </w:rPr>
              <w:t>notifications</w:t>
            </w:r>
          </w:p>
        </w:tc>
        <w:tc>
          <w:tcPr>
            <w:tcW w:type="dxa" w:w="3168"/>
            <w:vAlign w:val="center"/>
            <w:shd w:val="clear" w:color="auto" w:fill="FFFFFF"/>
          </w:tcPr>
          <w:p>
            <w:pPr>
              <w:jc w:val="left"/>
            </w:pPr>
            <w:r>
              <w:rPr>
                <w:rFonts w:ascii="Times New Roman" w:hAnsi="Times New Roman"/>
                <w:b w:val="0"/>
                <w:i w:val="0"/>
                <w:sz w:val="20"/>
              </w:rPr>
              <w:t>userId, actorId, questionId, answerId, roomId, type, title, body, read</w:t>
            </w:r>
          </w:p>
        </w:tc>
        <w:tc>
          <w:tcPr>
            <w:tcW w:type="dxa" w:w="2016"/>
            <w:vAlign w:val="center"/>
            <w:shd w:val="clear" w:color="auto" w:fill="FFFFFF"/>
          </w:tcPr>
          <w:p>
            <w:pPr>
              <w:jc w:val="left"/>
            </w:pPr>
            <w:r>
              <w:rPr>
                <w:rFonts w:ascii="Times New Roman" w:hAnsi="Times New Roman"/>
                <w:b w:val="0"/>
                <w:i w:val="0"/>
                <w:sz w:val="20"/>
              </w:rPr>
              <w:t>by_userId_and_createdAt, by_userId_and_read_and_createdAt, by_userId_and_roomId_and_type</w:t>
            </w:r>
          </w:p>
        </w:tc>
        <w:tc>
          <w:tcPr>
            <w:tcW w:type="dxa" w:w="2448"/>
            <w:vAlign w:val="center"/>
            <w:shd w:val="clear" w:color="auto" w:fill="FFFFFF"/>
          </w:tcPr>
          <w:p>
            <w:pPr>
              <w:jc w:val="left"/>
            </w:pPr>
            <w:r>
              <w:rPr>
                <w:rFonts w:ascii="Times New Roman" w:hAnsi="Times New Roman"/>
                <w:b w:val="0"/>
                <w:i w:val="0"/>
                <w:sz w:val="20"/>
              </w:rPr>
              <w:t>Manages user notifications for Q&amp;A replies and BB84 quantum key exchange events.</w:t>
            </w:r>
          </w:p>
        </w:tc>
      </w:tr>
      <w:tr>
        <w:tc>
          <w:tcPr>
            <w:tcW w:type="dxa" w:w="1728"/>
            <w:vAlign w:val="center"/>
            <w:shd w:val="clear" w:color="auto" w:fill="F2F6FC"/>
          </w:tcPr>
          <w:p>
            <w:pPr>
              <w:jc w:val="left"/>
            </w:pPr>
            <w:r>
              <w:rPr>
                <w:rFonts w:ascii="Times New Roman" w:hAnsi="Times New Roman"/>
                <w:b w:val="0"/>
                <w:i w:val="0"/>
                <w:sz w:val="20"/>
              </w:rPr>
              <w:t>verificationRequests</w:t>
            </w:r>
          </w:p>
        </w:tc>
        <w:tc>
          <w:tcPr>
            <w:tcW w:type="dxa" w:w="3168"/>
            <w:vAlign w:val="center"/>
            <w:shd w:val="clear" w:color="auto" w:fill="F2F6FC"/>
          </w:tcPr>
          <w:p>
            <w:pPr>
              <w:jc w:val="left"/>
            </w:pPr>
            <w:r>
              <w:rPr>
                <w:rFonts w:ascii="Times New Roman" w:hAnsi="Times New Roman"/>
                <w:b w:val="0"/>
                <w:i w:val="0"/>
                <w:sz w:val="20"/>
              </w:rPr>
              <w:t>userId, school, idNumber, evidenceStorageId, evidenceUrl, approved, status, submittedAt, reviewedAt</w:t>
            </w:r>
          </w:p>
        </w:tc>
        <w:tc>
          <w:tcPr>
            <w:tcW w:type="dxa" w:w="2016"/>
            <w:vAlign w:val="center"/>
            <w:shd w:val="clear" w:color="auto" w:fill="F2F6FC"/>
          </w:tcPr>
          <w:p>
            <w:pPr>
              <w:jc w:val="left"/>
            </w:pPr>
            <w:r>
              <w:rPr>
                <w:rFonts w:ascii="Times New Roman" w:hAnsi="Times New Roman"/>
                <w:b w:val="0"/>
                <w:i w:val="0"/>
                <w:sz w:val="20"/>
              </w:rPr>
              <w:t>by_userId</w:t>
            </w:r>
          </w:p>
        </w:tc>
        <w:tc>
          <w:tcPr>
            <w:tcW w:type="dxa" w:w="2448"/>
            <w:vAlign w:val="center"/>
            <w:shd w:val="clear" w:color="auto" w:fill="F2F6FC"/>
          </w:tcPr>
          <w:p>
            <w:pPr>
              <w:jc w:val="left"/>
            </w:pPr>
            <w:r>
              <w:rPr>
                <w:rFonts w:ascii="Times New Roman" w:hAnsi="Times New Roman"/>
                <w:b w:val="0"/>
                <w:i w:val="0"/>
                <w:sz w:val="20"/>
              </w:rPr>
              <w:t>Tracks student/lecturer identity verification applications and uploaded evidence documents for administrator review.</w:t>
            </w:r>
          </w:p>
        </w:tc>
      </w:tr>
    </w:tbl>
    <w:p>
      <w:pPr>
        <w:spacing w:before="0" w:after="160"/>
        <w:jc w:val="left"/>
      </w:pPr>
    </w:p>
    <w:p>
      <w:pPr>
        <w:spacing w:before="360" w:after="120"/>
        <w:jc w:val="left"/>
      </w:pPr>
      <w:r>
        <w:rPr>
          <w:rFonts w:ascii="Times New Roman" w:hAnsi="Times New Roman"/>
          <w:b/>
          <w:i w:val="0"/>
          <w:color w:val="003366"/>
          <w:sz w:val="32"/>
        </w:rPr>
        <w:t>3.4  Cryptographic Design and Data Protection Pipeline</w:t>
      </w:r>
    </w:p>
    <w:p>
      <w:pPr>
        <w:spacing w:before="0" w:after="160"/>
        <w:jc w:val="both"/>
      </w:pPr>
      <w:r>
        <w:t>QChat enforces zero-trust client-side data protection using the browser's native Web Crypto API (window.crypto.subtle), keeping private key material local and avoiding third-party library risks.</w:t>
      </w:r>
    </w:p>
    <w:p>
      <w:pPr>
        <w:spacing w:before="240" w:after="80"/>
        <w:jc w:val="left"/>
      </w:pPr>
      <w:r>
        <w:rPr>
          <w:rFonts w:ascii="Times New Roman" w:hAnsi="Times New Roman"/>
          <w:b/>
          <w:i w:val="0"/>
          <w:color w:val="1F497D"/>
          <w:sz w:val="28"/>
        </w:rPr>
        <w:t>3.4.1  Identity Key Pair Generation (RSA-OAEP 2048-bit)</w:t>
      </w:r>
    </w:p>
    <w:p>
      <w:pPr>
        <w:spacing w:before="0" w:after="160"/>
        <w:jc w:val="both"/>
      </w:pPr>
      <w:r>
        <w:t>3.4.1 Asymmetric Identity Key Pair Generation (RSA-OAEP 2048-bit): Upon initial user authentication, the CryptographicLoginGatekeeper module automatically generates an asymmetric RSA key pair inside the browser. The exported public key publishes to the Convex user registry for peer discovery, while the private key remains stored securely within non-extractable client browser storage (qchat_private_identity_key).</w:t>
      </w:r>
    </w:p>
    <w:p>
      <w:pPr>
        <w:spacing w:before="240" w:after="80"/>
        <w:jc w:val="left"/>
      </w:pPr>
      <w:r>
        <w:rPr>
          <w:rFonts w:ascii="Times New Roman" w:hAnsi="Times New Roman"/>
          <w:b/>
          <w:i w:val="0"/>
          <w:color w:val="1F497D"/>
          <w:sz w:val="28"/>
        </w:rPr>
        <w:t>3.4.2  Symmetric Message and File Data Protection (AES-GCM 256-bit)</w:t>
      </w:r>
    </w:p>
    <w:p>
      <w:pPr>
        <w:spacing w:before="0" w:after="160"/>
        <w:jc w:val="both"/>
      </w:pPr>
      <w:r>
        <w:t>3.4.2 Symmetric Payload Encryption (AES-GCM 256-bit): Text messages and file attachments are ciphered using symmetric AES-GCM-256 keys. The client encodes message text into byte arrays, generates a 12-byte cryptographically random Initialization Vector (IV), and executes client-side ciphering before Base64 encoding. File attachments convert to ArrayBuffer buffers, cipher into encrypted Blob objects, and upload directly to Convex storage buckets.</w:t>
      </w:r>
    </w:p>
    <w:p>
      <w:pPr>
        <w:spacing w:before="240" w:after="80"/>
        <w:jc w:val="left"/>
      </w:pPr>
      <w:r>
        <w:rPr>
          <w:rFonts w:ascii="Times New Roman" w:hAnsi="Times New Roman"/>
          <w:b/>
          <w:i w:val="0"/>
          <w:color w:val="1F497D"/>
          <w:sz w:val="28"/>
        </w:rPr>
        <w:t>3.4.3  Message Fingerprinting (SHA-256)</w:t>
      </w:r>
    </w:p>
    <w:p>
      <w:pPr>
        <w:spacing w:before="0" w:after="160"/>
        <w:jc w:val="both"/>
      </w:pPr>
      <w:r>
        <w:t>3.4.3 SHA-256 Message Hashing: Prior to network dispatch, the client computes a 256-bit SHA-256 cryptographic digest of the message payload. This digest is submitted via Ethers.js to the Hyperledger Besu smart contract to establish an indelible audit log.</w:t>
      </w:r>
    </w:p>
    <w:p>
      <w:pPr>
        <w:spacing w:before="360" w:after="120"/>
        <w:jc w:val="left"/>
      </w:pPr>
      <w:r>
        <w:rPr>
          <w:rFonts w:ascii="Times New Roman" w:hAnsi="Times New Roman"/>
          <w:b/>
          <w:i w:val="0"/>
          <w:color w:val="003366"/>
          <w:sz w:val="32"/>
        </w:rPr>
        <w:t>3.5  BB84 Quantum Key Distribution Simulation Design</w:t>
      </w:r>
    </w:p>
    <w:p>
      <w:pPr>
        <w:spacing w:before="0" w:after="160"/>
        <w:jc w:val="both"/>
      </w:pPr>
      <w:r>
        <w:t>3.5 TypeScript BB84 Quantum Key Distribution Simulation: To model post-quantum key agreement, QChat incorporates a TypeScript BB84 QKD simulation module (src/lib/bb84.ts) executing six algorithmic steps:</w:t>
      </w:r>
    </w:p>
    <w:p>
      <w:pPr>
        <w:pStyle w:val="ListNumber"/>
        <w:spacing w:after="80"/>
      </w:pPr>
      <w:r>
        <w:t>1. Qubit Preparation (Alice) — Alice generates cryptographically secure random bits (0 or 1) and assigns random polarization bases: Rectilinear (+) or Diagonal (×).</w:t>
      </w:r>
    </w:p>
    <w:p>
      <w:pPr>
        <w:pStyle w:val="ListNumber"/>
        <w:spacing w:after="80"/>
      </w:pPr>
      <w:r>
        <w:t>2. Quantum Transit Simulation — Alice transmits prepared photon states across a simulated quantum channel. Enabling test eavesdropping introduces state perturbations.</w:t>
      </w:r>
    </w:p>
    <w:p>
      <w:pPr>
        <w:pStyle w:val="ListNumber"/>
        <w:spacing w:after="80"/>
      </w:pPr>
      <w:r>
        <w:t>3. Photon Measurement (Bob) — Bob selects measurement bases (+) or (×) at random. Matching bases yield deterministic bit measurement; mismatched bases produce a 50% random outcome.</w:t>
      </w:r>
    </w:p>
    <w:p>
      <w:pPr>
        <w:pStyle w:val="ListNumber"/>
        <w:spacing w:after="80"/>
      </w:pPr>
      <w:r>
        <w:t>4. Basis Sifting — Alice and Bob compare their basis choices over an un-encrypted public channel, discarding all bit positions where bases differed to form the sifted key.</w:t>
      </w:r>
    </w:p>
    <w:p>
      <w:pPr>
        <w:pStyle w:val="ListNumber"/>
        <w:spacing w:after="80"/>
      </w:pPr>
      <w:r>
        <w:t>5. QBER Calculation &amp; Threshold Inspection — The system evaluates a sample subset of matching indices to calculate QBER = (Error Count / Sample Size). A QBER exceeding 11% indicates potential eavesdropping, triggering an immediate session abort.</w:t>
      </w:r>
    </w:p>
    <w:p>
      <w:pPr>
        <w:pStyle w:val="ListNumber"/>
        <w:spacing w:after="80"/>
      </w:pPr>
      <w:r>
        <w:t>6. Key Formatting &amp; Room Registration — The sifted bit string converts into a 256-bit hexadecimal key. A SHA-256 digest formats a human-readable room fingerprint (e.g., A3F9-7C2B-1E8D) stored within the chat room state.</w:t>
      </w:r>
    </w:p>
    <w:p>
      <w:pPr>
        <w:spacing w:before="360" w:after="120"/>
        <w:jc w:val="left"/>
      </w:pPr>
      <w:r>
        <w:rPr>
          <w:rFonts w:ascii="Times New Roman" w:hAnsi="Times New Roman"/>
          <w:b/>
          <w:i w:val="0"/>
          <w:color w:val="003366"/>
          <w:sz w:val="32"/>
        </w:rPr>
        <w:t>3.6  Smart Contract Architecture (MessageVerifier.sol)</w:t>
      </w:r>
    </w:p>
    <w:p>
      <w:pPr>
        <w:spacing w:before="0" w:after="160"/>
        <w:jc w:val="both"/>
      </w:pPr>
      <w:r>
        <w:t>3.6 Smart Contract Logic (MessageVerifier.sol): The verification layer utilizes a Solidity smart contract (MessageVerifier.sol) compiled under version 0.8.20 and deployed on a local Hyperledger Besu node. The contract maintains two core mappings:</w:t>
      </w:r>
    </w:p>
    <w:p>
      <w:pPr>
        <w:pStyle w:val="ListBullet"/>
        <w:spacing w:after="80"/>
        <w:ind w:left="360"/>
      </w:pPr>
      <w:r>
        <w:t>1. messageRecords — Maps a unique messageId string to a MessageRecord struct containing messageHash (bytes32 SHA-256 digest), sender address, receiver address, and block timestamp.</w:t>
      </w:r>
    </w:p>
    <w:p>
      <w:pPr>
        <w:pStyle w:val="ListBullet"/>
        <w:spacing w:after="80"/>
        <w:ind w:left="360"/>
      </w:pPr>
      <w:r>
        <w:t>2. userRoles — Maps a user wallet address to their verified institutional role ('student', 'lecturer', 'admin').</w:t>
      </w:r>
    </w:p>
    <w:p>
      <w:pPr>
        <w:spacing w:before="0" w:after="160"/>
        <w:jc w:val="both"/>
      </w:pPr>
      <w:r>
        <w:rPr>
          <w:rFonts w:ascii="Times New Roman" w:hAnsi="Times New Roman"/>
          <w:b w:val="0"/>
          <w:i w:val="0"/>
          <w:sz w:val="24"/>
        </w:rPr>
        <w:t>Core Smart Contract Functions:</w:t>
      </w:r>
    </w:p>
    <w:p>
      <w:pPr>
        <w:spacing w:before="0" w:after="160"/>
        <w:jc w:val="both"/>
      </w:pPr>
      <w:r>
        <w:t>recordHash(string messageId, bytes32 messageHash, address sender, address receiver) — Commits an immutable message fingerprint to the ledger and emits a MessageHashRecorded event.</w:t>
      </w:r>
    </w:p>
    <w:p>
      <w:pPr>
        <w:spacing w:before="0" w:after="160"/>
        <w:jc w:val="both"/>
      </w:pPr>
      <w:r>
        <w:t>verifyHash(string messageId) — Returns the stored bytes32 SHA-256 fingerprint for on-chain integrity verification.</w:t>
      </w:r>
    </w:p>
    <w:p>
      <w:pPr>
        <w:spacing w:before="0" w:after="160"/>
        <w:jc w:val="both"/>
      </w:pPr>
      <w:r>
        <w:t>verifyUser(address userAddress, string role) — Restricted to contract admins via the onlyAdmin modifier; writes verified user roles to the ledger and emits a UserVerified event.</w:t>
      </w:r>
    </w:p>
    <w:p>
      <w:pPr>
        <w:spacing w:before="0" w:after="160"/>
        <w:jc w:val="both"/>
      </w:pPr>
      <w:r>
        <w:t>getUserRole(address userAddress) — Retrieves the verified role string associated with a given wallet address.</w:t>
      </w:r>
    </w:p>
    <w:p>
      <w:pPr>
        <w:spacing w:before="0" w:after="160"/>
        <w:jc w:val="both"/>
      </w:pPr>
      <w:r>
        <w:t>Besu Network Configuration — The smart contract runs on a local Hyperledger Besu node at http://127.0.0.1:8545 under QBFT consensus (ChainId: 1337) with zero gas fees (gasPrice: 0), allowing free institutional auditing transactions.</w:t>
      </w:r>
    </w:p>
    <w:p>
      <w:pPr>
        <w:spacing w:before="360" w:after="120"/>
        <w:jc w:val="left"/>
      </w:pPr>
      <w:r>
        <w:rPr>
          <w:rFonts w:ascii="Times New Roman" w:hAnsi="Times New Roman"/>
          <w:b/>
          <w:i w:val="0"/>
          <w:color w:val="003366"/>
          <w:sz w:val="32"/>
        </w:rPr>
        <w:t>3.7  Data Flow Diagrams (DFDs)</w:t>
      </w:r>
    </w:p>
    <w:p>
      <w:pPr>
        <w:spacing w:before="0" w:after="160"/>
        <w:jc w:val="both"/>
      </w:pPr>
      <w:r>
        <w:t>System execution is modeled across two primary Level-1 Data Flow Diagrams:</w:t>
      </w:r>
    </w:p>
    <w:p>
      <w:pPr>
        <w:spacing w:before="240" w:after="80"/>
        <w:jc w:val="left"/>
      </w:pPr>
      <w:r>
        <w:rPr>
          <w:rFonts w:ascii="Times New Roman" w:hAnsi="Times New Roman"/>
          <w:b/>
          <w:i w:val="0"/>
          <w:color w:val="1F497D"/>
          <w:sz w:val="28"/>
        </w:rPr>
        <w:t>3.7.1  Level 1 DFD: Message Transmission and Blockchain Fingerprinting Flow</w:t>
      </w:r>
    </w:p>
    <w:p>
      <w:pPr>
        <w:spacing w:before="0" w:after="160"/>
        <w:jc w:val="both"/>
      </w:pPr>
      <w:r>
        <w:t>3.7.1 Message Transmission &amp; Fingerprint Logging Pipeline: 1. User inputs text/file -&gt; 2. Web Crypto API executes AES-GCM encryption -&gt; 3. Client computes SHA-256 payload digest -&gt; 4. Encrypted payload uploads to Convex cloud storage -&gt; 5. Ethers.js invokes recordHash() on Besu contract -&gt; 6. Besu returns transaction hash to Convex message record -&gt; 7. Recipient receives real-time payload via WebSocket and validates hash against Besu ledger.</w:t>
      </w:r>
    </w:p>
    <w:p>
      <w:pPr>
        <w:spacing w:before="240" w:after="80"/>
        <w:jc w:val="left"/>
      </w:pPr>
      <w:r>
        <w:rPr>
          <w:rFonts w:ascii="Times New Roman" w:hAnsi="Times New Roman"/>
          <w:b/>
          <w:i w:val="0"/>
          <w:color w:val="1F497D"/>
          <w:sz w:val="28"/>
        </w:rPr>
        <w:t>3.7.2  Level 1 DFD: Identity Verification Workflow</w:t>
      </w:r>
    </w:p>
    <w:p>
      <w:pPr>
        <w:spacing w:before="0" w:after="160"/>
        <w:jc w:val="both"/>
      </w:pPr>
      <w:r>
        <w:t>3.7.2 Institutional Identity Verification Pipeline: 1. Student/Lecturer uploads ID evidence -&gt; 2. Document blob saves to Convex storage bucket -&gt; 3. Request enters pending state -&gt; 4. Admin inspects evidence in Admin Portal -&gt; 5. Admin grants approval -&gt; 6. Convex record updates status to approved -&gt; 7. Ethers.js triggers verifyUser() on Besu contract, permanently locking role on-chain.</w:t>
      </w:r>
    </w:p>
    <w:p>
      <w:pPr>
        <w:spacing w:before="360" w:after="120"/>
        <w:jc w:val="left"/>
      </w:pPr>
      <w:r>
        <w:rPr>
          <w:rFonts w:ascii="Times New Roman" w:hAnsi="Times New Roman"/>
          <w:b/>
          <w:i w:val="0"/>
          <w:color w:val="003366"/>
          <w:sz w:val="32"/>
        </w:rPr>
        <w:t>3.8  User Interface Architecture and Screen Inventory</w:t>
      </w:r>
    </w:p>
    <w:p>
      <w:pPr>
        <w:spacing w:before="0" w:after="160"/>
        <w:jc w:val="both"/>
      </w:pPr>
      <w:r>
        <w:t>The application UI comprises nine user interface screens built with React 19 and React Router v7:</w:t>
      </w:r>
    </w:p>
    <w:p>
      <w:pPr>
        <w:spacing w:before="0" w:after="120"/>
        <w:jc w:val="both"/>
      </w:pPr>
      <w:r>
        <w:t>Landing Page (LandingPage.tsx) — Main entry portal introducing QChat features and login options.</w:t>
      </w:r>
    </w:p>
    <w:p>
      <w:pPr>
        <w:spacing w:before="0" w:after="120"/>
        <w:jc w:val="both"/>
      </w:pPr>
      <w:r>
        <w:t>Registration Screen (Register.tsx) — User onboarding form capturing profile details, institutional affiliation, and role.</w:t>
      </w:r>
    </w:p>
    <w:p>
      <w:pPr>
        <w:spacing w:before="0" w:after="120"/>
        <w:jc w:val="both"/>
      </w:pPr>
      <w:r>
        <w:t>Login Screen (Login.tsx) — Authentication portal issuing session tokens and initiating client key pair generation.</w:t>
      </w:r>
    </w:p>
    <w:p>
      <w:pPr>
        <w:spacing w:before="0" w:after="120"/>
        <w:jc w:val="both"/>
      </w:pPr>
      <w:r>
        <w:t>Password Recovery (ForgotPassword.tsx) — Self-service credential recovery interface.</w:t>
      </w:r>
    </w:p>
    <w:p>
      <w:pPr>
        <w:spacing w:before="0" w:after="120"/>
        <w:jc w:val="both"/>
      </w:pPr>
      <w:r>
        <w:t>Messaging Hub (MessagesList.tsx) — Core communication portal featuring real-time room feeds, sensitive mode toggles, BB84 simulation controls, and document preview panels.</w:t>
      </w:r>
    </w:p>
    <w:p>
      <w:pPr>
        <w:spacing w:before="0" w:after="120"/>
        <w:jc w:val="both"/>
      </w:pPr>
      <w:r>
        <w:t>Community Q&amp;A (QAPage.tsx) — Interactive forum supporting hashtag categorization, answer posting, and real-time reply counters.</w:t>
      </w:r>
    </w:p>
    <w:p>
      <w:pPr>
        <w:spacing w:before="0" w:after="120"/>
        <w:jc w:val="both"/>
      </w:pPr>
      <w:r>
        <w:t>Explore Feed (Explore.tsx) — Discovery interface for browsing trending institutional questions and topics.</w:t>
      </w:r>
    </w:p>
    <w:p>
      <w:pPr>
        <w:spacing w:before="0" w:after="120"/>
        <w:jc w:val="both"/>
      </w:pPr>
      <w:r>
        <w:t>Profile Verification (VerifyProfile.tsx) — Portal for staff/students to upload ID documentation and track verification status.</w:t>
      </w:r>
    </w:p>
    <w:p>
      <w:pPr>
        <w:spacing w:before="0" w:after="120"/>
        <w:jc w:val="both"/>
      </w:pPr>
      <w:r>
        <w:t>Admin Governance Dashboard (Admin.tsx) — Administrative control center for reviewing evidence documents and executing on-chain role registrations.</w:t>
      </w:r>
    </w:p>
    <w:p>
      <w:pPr>
        <w:spacing w:before="360" w:after="120"/>
        <w:jc w:val="left"/>
      </w:pPr>
      <w:r>
        <w:rPr>
          <w:rFonts w:ascii="Times New Roman" w:hAnsi="Times New Roman"/>
          <w:b/>
          <w:i w:val="0"/>
          <w:color w:val="003366"/>
          <w:sz w:val="32"/>
        </w:rPr>
        <w:t>3.9  Security Architecture and Threat Model</w:t>
      </w:r>
    </w:p>
    <w:p>
      <w:pPr>
        <w:spacing w:before="0" w:after="160"/>
        <w:jc w:val="both"/>
      </w:pPr>
      <w:r>
        <w:t>We developed a comprehensive threat model to evaluate QChat's resilience against common security vulnerabilities.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vAlign w:val="center"/>
            <w:shd w:val="clear" w:color="auto" w:fill="1F497D"/>
          </w:tcPr>
          <w:p>
            <w:pPr>
              <w:jc w:val="center"/>
            </w:pPr>
            <w:r>
              <w:rPr>
                <w:rFonts w:ascii="Times New Roman" w:hAnsi="Times New Roman"/>
                <w:b/>
                <w:i w:val="0"/>
                <w:color w:val="FFFFFF"/>
                <w:sz w:val="20"/>
              </w:rPr>
              <w:t>Threat Category</w:t>
            </w:r>
          </w:p>
        </w:tc>
        <w:tc>
          <w:tcPr>
            <w:tcW w:type="dxa" w:w="2592"/>
            <w:vAlign w:val="center"/>
            <w:shd w:val="clear" w:color="auto" w:fill="1F497D"/>
          </w:tcPr>
          <w:p>
            <w:pPr>
              <w:jc w:val="center"/>
            </w:pPr>
            <w:r>
              <w:rPr>
                <w:rFonts w:ascii="Times New Roman" w:hAnsi="Times New Roman"/>
                <w:b/>
                <w:i w:val="0"/>
                <w:color w:val="FFFFFF"/>
                <w:sz w:val="20"/>
              </w:rPr>
              <w:t>Attack Vector Description</w:t>
            </w:r>
          </w:p>
        </w:tc>
        <w:tc>
          <w:tcPr>
            <w:tcW w:type="dxa" w:w="2016"/>
            <w:vAlign w:val="center"/>
            <w:shd w:val="clear" w:color="auto" w:fill="1F497D"/>
          </w:tcPr>
          <w:p>
            <w:pPr>
              <w:jc w:val="center"/>
            </w:pPr>
            <w:r>
              <w:rPr>
                <w:rFonts w:ascii="Times New Roman" w:hAnsi="Times New Roman"/>
                <w:b/>
                <w:i w:val="0"/>
                <w:color w:val="FFFFFF"/>
                <w:sz w:val="20"/>
              </w:rPr>
              <w:t>Target System Component</w:t>
            </w:r>
          </w:p>
        </w:tc>
        <w:tc>
          <w:tcPr>
            <w:tcW w:type="dxa" w:w="2880"/>
            <w:vAlign w:val="center"/>
            <w:shd w:val="clear" w:color="auto" w:fill="1F497D"/>
          </w:tcPr>
          <w:p>
            <w:pPr>
              <w:jc w:val="center"/>
            </w:pPr>
            <w:r>
              <w:rPr>
                <w:rFonts w:ascii="Times New Roman" w:hAnsi="Times New Roman"/>
                <w:b/>
                <w:i w:val="0"/>
                <w:color w:val="FFFFFF"/>
                <w:sz w:val="20"/>
              </w:rPr>
              <w:t>Implemented Countermeasure</w:t>
            </w:r>
          </w:p>
        </w:tc>
      </w:tr>
      <w:tr>
        <w:tc>
          <w:tcPr>
            <w:tcW w:type="dxa" w:w="1872"/>
            <w:vAlign w:val="center"/>
            <w:shd w:val="clear" w:color="auto" w:fill="F2F6FC"/>
          </w:tcPr>
          <w:p>
            <w:r>
              <w:t>Content Modification</w:t>
            </w:r>
          </w:p>
        </w:tc>
        <w:tc>
          <w:tcPr>
            <w:tcW w:type="dxa" w:w="2592"/>
            <w:vAlign w:val="center"/>
            <w:shd w:val="clear" w:color="auto" w:fill="F2F6FC"/>
          </w:tcPr>
          <w:p>
            <w:r>
              <w:t>Database admin or attacker attempts to alter stored message text or submission timestamps.</w:t>
            </w:r>
          </w:p>
        </w:tc>
        <w:tc>
          <w:tcPr>
            <w:tcW w:type="dxa" w:w="2016"/>
            <w:vAlign w:val="center"/>
            <w:shd w:val="clear" w:color="auto" w:fill="F2F6FC"/>
          </w:tcPr>
          <w:p>
            <w:r>
              <w:t>Convex DB / Message Records</w:t>
            </w:r>
          </w:p>
        </w:tc>
        <w:tc>
          <w:tcPr>
            <w:tcW w:type="dxa" w:w="2880"/>
            <w:vAlign w:val="center"/>
            <w:shd w:val="clear" w:color="auto" w:fill="F2F6FC"/>
          </w:tcPr>
          <w:p>
            <w:r>
              <w:t>SHA-256 fingerprints are logged on the Hyperledger Besu blockchain. Any database change creates an instant hash mismatch.</w:t>
            </w:r>
          </w:p>
        </w:tc>
      </w:tr>
      <w:tr>
        <w:tc>
          <w:tcPr>
            <w:tcW w:type="dxa" w:w="1872"/>
            <w:vAlign w:val="center"/>
            <w:shd w:val="clear" w:color="auto" w:fill="FFFFFF"/>
          </w:tcPr>
          <w:p>
            <w:r>
              <w:t>Server Eavesdropping</w:t>
            </w:r>
          </w:p>
        </w:tc>
        <w:tc>
          <w:tcPr>
            <w:tcW w:type="dxa" w:w="2592"/>
            <w:vAlign w:val="center"/>
            <w:shd w:val="clear" w:color="auto" w:fill="FFFFFF"/>
          </w:tcPr>
          <w:p>
            <w:r>
              <w:t>Eavesdropper inspects backend database tables to read private student/lecturer messages.</w:t>
            </w:r>
          </w:p>
        </w:tc>
        <w:tc>
          <w:tcPr>
            <w:tcW w:type="dxa" w:w="2016"/>
            <w:vAlign w:val="center"/>
            <w:shd w:val="clear" w:color="auto" w:fill="FFFFFF"/>
          </w:tcPr>
          <w:p>
            <w:r>
              <w:t>Network Relay / Serverless Engine</w:t>
            </w:r>
          </w:p>
        </w:tc>
        <w:tc>
          <w:tcPr>
            <w:tcW w:type="dxa" w:w="2880"/>
            <w:vAlign w:val="center"/>
            <w:shd w:val="clear" w:color="auto" w:fill="FFFFFF"/>
          </w:tcPr>
          <w:p>
            <w:r>
              <w:t>Client-side AES-GCM encryption ensures intermediate servers store only ciphertext without access to private key material.</w:t>
            </w:r>
          </w:p>
        </w:tc>
      </w:tr>
      <w:tr>
        <w:tc>
          <w:tcPr>
            <w:tcW w:type="dxa" w:w="1872"/>
            <w:vAlign w:val="center"/>
            <w:shd w:val="clear" w:color="auto" w:fill="F2F6FC"/>
          </w:tcPr>
          <w:p>
            <w:r>
              <w:t>Identity Spoofing</w:t>
            </w:r>
          </w:p>
        </w:tc>
        <w:tc>
          <w:tcPr>
            <w:tcW w:type="dxa" w:w="2592"/>
            <w:vAlign w:val="center"/>
            <w:shd w:val="clear" w:color="auto" w:fill="F2F6FC"/>
          </w:tcPr>
          <w:p>
            <w:r>
              <w:t>Unverified user claims a lecturer role to issue fake announcements or access private records.</w:t>
            </w:r>
          </w:p>
        </w:tc>
        <w:tc>
          <w:tcPr>
            <w:tcW w:type="dxa" w:w="2016"/>
            <w:vAlign w:val="center"/>
            <w:shd w:val="clear" w:color="auto" w:fill="F2F6FC"/>
          </w:tcPr>
          <w:p>
            <w:r>
              <w:t>Role System / User Profiles</w:t>
            </w:r>
          </w:p>
        </w:tc>
        <w:tc>
          <w:tcPr>
            <w:tcW w:type="dxa" w:w="2880"/>
            <w:vAlign w:val="center"/>
            <w:shd w:val="clear" w:color="auto" w:fill="F2F6FC"/>
          </w:tcPr>
          <w:p>
            <w:r>
              <w:t>Strict RBAC requires evidence submission; approved roles anchor immutably on the Besu smart contract.</w:t>
            </w:r>
          </w:p>
        </w:tc>
      </w:tr>
      <w:tr>
        <w:tc>
          <w:tcPr>
            <w:tcW w:type="dxa" w:w="1872"/>
            <w:vAlign w:val="center"/>
            <w:shd w:val="clear" w:color="auto" w:fill="FFFFFF"/>
          </w:tcPr>
          <w:p>
            <w:r>
              <w:t>Session Eavesdropping</w:t>
            </w:r>
          </w:p>
        </w:tc>
        <w:tc>
          <w:tcPr>
            <w:tcW w:type="dxa" w:w="2592"/>
            <w:vAlign w:val="center"/>
            <w:shd w:val="clear" w:color="auto" w:fill="FFFFFF"/>
          </w:tcPr>
          <w:p>
            <w:r>
              <w:t>Adversary attempts to intercept session key exchanges over the communication channel.</w:t>
            </w:r>
          </w:p>
        </w:tc>
        <w:tc>
          <w:tcPr>
            <w:tcW w:type="dxa" w:w="2016"/>
            <w:vAlign w:val="center"/>
            <w:shd w:val="clear" w:color="auto" w:fill="FFFFFF"/>
          </w:tcPr>
          <w:p>
            <w:r>
              <w:t>Key Distribution Pipeline</w:t>
            </w:r>
          </w:p>
        </w:tc>
        <w:tc>
          <w:tcPr>
            <w:tcW w:type="dxa" w:w="2880"/>
            <w:vAlign w:val="center"/>
            <w:shd w:val="clear" w:color="auto" w:fill="FFFFFF"/>
          </w:tcPr>
          <w:p>
            <w:r>
              <w:t>BB84 simulation measures Quantum Bit Error Rate (QBER); QBER &gt; 11% triggers an immediate key exchange abort.</w:t>
            </w:r>
          </w:p>
        </w:tc>
      </w:tr>
    </w:tbl>
    <w:p>
      <w:pPr>
        <w:spacing w:before="0" w:after="160"/>
        <w:jc w:val="left"/>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