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color w:val="003366"/>
          <w:sz w:val="36"/>
        </w:rPr>
        <w:t>CHAPTER 5</w:t>
      </w:r>
    </w:p>
    <w:p>
      <w:pPr>
        <w:spacing w:before="0" w:after="240"/>
        <w:jc w:val="center"/>
      </w:pPr>
      <w:r>
        <w:rPr>
          <w:rFonts w:ascii="Times New Roman" w:hAnsi="Times New Roman"/>
          <w:b/>
          <w:i w:val="0"/>
          <w:color w:val="1F497D"/>
          <w:sz w:val="32"/>
        </w:rPr>
        <w:t>CONCLUSION AND RECOMMENDATIONS</w:t>
      </w:r>
    </w:p>
    <w:p>
      <w:pPr>
        <w:spacing w:before="40" w:after="40"/>
        <w:pBdr>
          <w:bottom w:val="single" w:sz="6" w:space="1" w:color="1F497D"/>
        </w:pBdr>
      </w:pPr>
    </w:p>
    <w:p>
      <w:pPr>
        <w:spacing w:before="0" w:after="240"/>
        <w:jc w:val="left"/>
      </w:pPr>
    </w:p>
    <w:p>
      <w:pPr>
        <w:spacing w:before="360" w:after="120"/>
        <w:jc w:val="left"/>
      </w:pPr>
      <w:r>
        <w:rPr>
          <w:rFonts w:ascii="Times New Roman" w:hAnsi="Times New Roman"/>
          <w:b/>
          <w:i w:val="0"/>
          <w:color w:val="003366"/>
          <w:sz w:val="32"/>
        </w:rPr>
        <w:t>5.1  Summary of the Study</w:t>
      </w:r>
    </w:p>
    <w:p>
      <w:pPr>
        <w:spacing w:before="0" w:after="160"/>
        <w:jc w:val="both"/>
      </w:pPr>
      <w:r>
        <w:t>This project tackled a core challenge in higher education digital infrastructure: designing a communication platform that combines real-time user responsiveness with cryptographic message verification, client-side data protection, and post-quantum key distribution concepts. Conventional academic communications rely on commercial chat tools, email, or LMS portals whose centralized database records remain exposed to internal modifications, timestamp tampering, and unresolvable administrative disputes.</w:t>
      </w:r>
    </w:p>
    <w:p>
      <w:pPr>
        <w:spacing w:before="0" w:after="160"/>
        <w:jc w:val="both"/>
      </w:pPr>
      <w:r>
        <w:t>To eliminate these vulnerabilities, we designed, built, and evaluated QChat—a hybrid Web2/Web3 institutional messaging system operating across three functional tiers:</w:t>
      </w:r>
    </w:p>
    <w:p>
      <w:pPr>
        <w:pStyle w:val="ListBullet"/>
        <w:spacing w:after="80"/>
        <w:ind w:left="360"/>
      </w:pPr>
      <w:r>
        <w:t>Presentation Tier — A responsive Single Page Application engineered with React 19, TypeScript, and Vite, featuring tailored screens for student registration, lecturer credential verification, sensitive-mode direct chat, community Q&amp;A forums, and administrative governance.</w:t>
      </w:r>
    </w:p>
    <w:p>
      <w:pPr>
        <w:pStyle w:val="ListBullet"/>
        <w:spacing w:after="80"/>
        <w:ind w:left="360"/>
      </w:pPr>
      <w:r>
        <w:t>Application Tier — A Convex serverless database managing nine relational collections, serving real-time WebSocket state subscriptions, binary document storage, and notification dispatches.</w:t>
      </w:r>
    </w:p>
    <w:p>
      <w:pPr>
        <w:pStyle w:val="ListBullet"/>
        <w:spacing w:after="80"/>
        <w:ind w:left="360"/>
      </w:pPr>
      <w:r>
        <w:t>Verification Tier — A local Hyperledger Besu private blockchain running QBFT zero-gas consensus (ChainId 1337). A Solidity smart contract (MessageVerifier.sol) permanently records SHA-256 message digests and registers administrator-approved user roles on-chain.</w:t>
      </w:r>
    </w:p>
    <w:p>
      <w:pPr>
        <w:spacing w:before="0" w:after="160"/>
        <w:jc w:val="both"/>
      </w:pPr>
      <w:r>
        <w:t>In addition, QChat leverages browser-native cryptography via the Web Crypto API (window.crypto.subtle) to provision 2048-bit RSA-OAEP key pairs upon initial login and execute AES-GCM-256 payload encryption directly in client memory. To model post-quantum key agreement, a TypeScript BB84 simulation module (bb84.ts) simulates photon polarization exchanges, basis sifting, and QBER threshold evaluation to derive 256-bit symmetric session keys.</w:t>
      </w:r>
    </w:p>
    <w:p>
      <w:pPr>
        <w:spacing w:before="0" w:after="160"/>
        <w:jc w:val="both"/>
      </w:pPr>
      <w:r>
        <w:t>System evaluation encompassed automated cryptographic unit tests, structured User Acceptance Testing (UAT) across student, lecturer, and administrator personas, and local performance benchmarking. Empirical results confirmed sub-50ms real-time data delivery (48 ms), low-latency encryption (2.1 ms), fast BB84 key simulation (12 ms), and quick zero-gas blockchain finality (380 ms), achieving a 100% pass rate across all UAT test cases.</w:t>
      </w:r>
    </w:p>
    <w:p>
      <w:pPr>
        <w:spacing w:before="360" w:after="120"/>
        <w:jc w:val="left"/>
      </w:pPr>
      <w:r>
        <w:rPr>
          <w:rFonts w:ascii="Times New Roman" w:hAnsi="Times New Roman"/>
          <w:b/>
          <w:i w:val="0"/>
          <w:color w:val="003366"/>
          <w:sz w:val="32"/>
        </w:rPr>
        <w:t>5.2  Conclusion</w:t>
      </w:r>
    </w:p>
    <w:p>
      <w:pPr>
        <w:spacing w:before="0" w:after="160"/>
        <w:jc w:val="both"/>
      </w:pPr>
      <w:r>
        <w:t>Empirical results demonstrate that the primary research objective was fully achieved. QChat proves that a hybrid Web2/Web3 architecture resolves the long-standing trade-off between real-time communication performance and un-manipulable ledger auditability.</w:t>
      </w:r>
    </w:p>
    <w:p>
      <w:pPr>
        <w:spacing w:before="0" w:after="160"/>
        <w:jc w:val="both"/>
      </w:pPr>
      <w:r>
        <w:rPr>
          <w:rFonts w:ascii="Times New Roman" w:hAnsi="Times New Roman"/>
          <w:b w:val="0"/>
          <w:i w:val="0"/>
          <w:sz w:val="24"/>
        </w:rPr>
        <w:t>Specific conclusions drawn from the completion of the six project objectives include:</w:t>
      </w:r>
    </w:p>
    <w:p>
      <w:pPr>
        <w:spacing w:before="0" w:after="120"/>
        <w:jc w:val="both"/>
      </w:pPr>
      <w:r>
        <w:t>1. Real-Time Performance &amp; Serverless Execution — Offloading interactive chat streams, Q&amp;A feeds, and file uploads to Convex reactive subscriptions preserves sub-50ms delivery latency, confirming that Web3 auditing can be integrated without compromising user experience.</w:t>
      </w:r>
    </w:p>
    <w:p>
      <w:pPr>
        <w:spacing w:before="0" w:after="120"/>
        <w:jc w:val="both"/>
      </w:pPr>
      <w:r>
        <w:t>2. Decentralized Client-Side Data Protection — Utilizing browser-native Web Crypto APIs delivers hardware-accelerated key pair generation and payload ciphering without third-party plugins. Private key material stays in client browser memory, preventing intermediate servers from viewing plaintext messages.</w:t>
      </w:r>
    </w:p>
    <w:p>
      <w:pPr>
        <w:spacing w:before="0" w:after="120"/>
        <w:jc w:val="both"/>
      </w:pPr>
      <w:r>
        <w:t>3. Immutable Blockchain Audit Logs — Deploying MessageVerifier.sol on Hyperledger Besu provides verifiable proof of academic communications. Logging SHA-256 digests on-chain ensures any posterior database tampering or file modification creates an instant hash mismatch.</w:t>
      </w:r>
    </w:p>
    <w:p>
      <w:pPr>
        <w:spacing w:before="0" w:after="120"/>
        <w:jc w:val="both"/>
      </w:pPr>
      <w:r>
        <w:t>4. Practical Post-Quantum Key Exchange Simulation — The TypeScript BB84 simulation demonstrates that quantum key distribution concepts can be incorporated into web applications, delivering an interactive educational model for eavesdropping detection via QBER analysis.</w:t>
      </w:r>
    </w:p>
    <w:p>
      <w:pPr>
        <w:spacing w:before="0" w:after="120"/>
        <w:jc w:val="both"/>
      </w:pPr>
      <w:r>
        <w:t>5. On-Chain Identity Verification — Anchoring administrator-approved roles onto the Besu smart contract prevents account impersonation and establishes clear authorization boundaries for institutional exchanges.</w:t>
      </w:r>
    </w:p>
    <w:p>
      <w:pPr>
        <w:spacing w:before="360" w:after="120"/>
        <w:jc w:val="left"/>
      </w:pPr>
      <w:r>
        <w:rPr>
          <w:rFonts w:ascii="Times New Roman" w:hAnsi="Times New Roman"/>
          <w:b/>
          <w:i w:val="0"/>
          <w:color w:val="003366"/>
          <w:sz w:val="32"/>
        </w:rPr>
        <w:t>5.3  Recommendations and Future Work</w:t>
      </w:r>
    </w:p>
    <w:p>
      <w:pPr>
        <w:spacing w:before="0" w:after="160"/>
        <w:jc w:val="both"/>
      </w:pPr>
      <w:r>
        <w:t>While QChat offers a practical reference platform for secure academic communications, future research and engineering efforts can extend this system in five directions:</w:t>
      </w:r>
    </w:p>
    <w:p>
      <w:pPr>
        <w:spacing w:before="0" w:after="160"/>
        <w:jc w:val="both"/>
      </w:pPr>
      <w:r>
        <w:t>1. Multi-Node Consortium Blockchain Network — Expanding the single-node Besu testbed into a multi-node permissioned consortium distributed across university departments or federated institutions will enhance fault tolerance and decentralized trust.</w:t>
      </w:r>
    </w:p>
    <w:p>
      <w:pPr>
        <w:spacing w:before="0" w:after="160"/>
        <w:jc w:val="both"/>
      </w:pPr>
      <w:r>
        <w:t>2. Commercial QKD Cloud API Integration — Replacing the software BB84 simulation with hardware QKD cloud APIs (e.g., Toshiba Quantum, ID Quantique) will incorporate physical photonic key material into the session protection pipeline.</w:t>
      </w:r>
    </w:p>
    <w:p>
      <w:pPr>
        <w:spacing w:before="0" w:after="160"/>
        <w:jc w:val="both"/>
      </w:pPr>
      <w:r>
        <w:t>3. Institutional Federated Single Sign-On (SSO) — Integrating OAuth2, SAML 2.0, and LTI standards will enable single sign-on using existing university credentials and direct integration with learning management portals (Moodle, Canvas).</w:t>
      </w:r>
    </w:p>
    <w:p>
      <w:pPr>
        <w:spacing w:before="0" w:after="160"/>
        <w:jc w:val="both"/>
      </w:pPr>
      <w:r>
        <w:t>4. Cross-Platform Native Mobile Applications — Porting the presentation layer to React Native will extend QChat to iOS and Android devices, leveraging mobile Secure Enclave hardware for private key storage.</w:t>
      </w:r>
    </w:p>
    <w:p>
      <w:pPr>
        <w:spacing w:before="0" w:after="160"/>
        <w:jc w:val="both"/>
      </w:pPr>
      <w:r>
        <w:t>5. Automated High-Volume Load Testing — Conducting load testing across 1,000+ concurrent user connections will evaluate Convex WebSocket scaling boundaries and Besu transaction pool throughput under high concurrency.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