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ListNumber"/>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ListNumber"/>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ListNumber"/>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ListNumber"/>
      </w:pPr>
      <w:r>
        <w:rPr>
          <w:rFonts w:ascii="Times New Roman" w:hAnsi="Times New Roman" w:eastAsia="Times New Roman"/>
          <w:b w:val="0"/>
          <w:i w:val="0"/>
          <w:color w:val="000000"/>
          <w:sz w:val="24"/>
        </w:rPr>
        <w:t>AI-based moderation using Mercury 2 with a closed topic whitelist effectively prevents non-academic and cross-domain questions from entering the academic forum.</w:t>
      </w:r>
    </w:p>
    <w:p>
      <w:pPr>
        <w:pStyle w:val="ListNumber"/>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ListNumber"/>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Heading2"/>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six strategic future engineering works:</w:t>
      </w:r>
    </w:p>
    <w:p>
      <w:pPr>
        <w:pStyle w:val="ListNumber"/>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ListNumber"/>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ListNumber"/>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ListNumber"/>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ListNumber"/>
      </w:pPr>
      <w:r>
        <w:rPr>
          <w:rFonts w:ascii="Times New Roman" w:hAnsi="Times New Roman" w:eastAsia="Times New Roman"/>
          <w:b w:val="0"/>
          <w:i w:val="0"/>
          <w:color w:val="000000"/>
          <w:sz w:val="24"/>
        </w:rPr>
        <w:t>Backend AI Moderation Action: Move Mercury API calls from the frontend to a Convex action so the API key never reaches the browser in production. While direct browser calls via VITE_MERCURY_KEY enabled rapid prototyping and evaluation, production architectures require encapsulating third-party credentials within serverless backend actions to eliminate client-side credential exposure.</w:t>
      </w:r>
    </w:p>
    <w:p>
      <w:pPr>
        <w:pStyle w:val="ListNumber"/>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