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eastAsia="Times New Roman"/>
          <w:b/>
          <w:i w:val="0"/>
          <w:color w:val="000000"/>
          <w:sz w:val="28"/>
        </w:rPr>
        <w:t>UNIVERSITY OF ENERGY AND NATURAL RESOURCES</w:t>
      </w:r>
    </w:p>
    <w:p>
      <w:pPr>
        <w:jc w:val="center"/>
      </w:pPr>
      <w:r>
        <w:rPr>
          <w:rFonts w:ascii="Times New Roman" w:hAnsi="Times New Roman" w:eastAsia="Times New Roman"/>
          <w:b w:val="0"/>
          <w:i w:val="0"/>
          <w:color w:val="000000"/>
          <w:sz w:val="24"/>
        </w:rPr>
        <w:t>Department of Computer Science and Informatics</w:t>
      </w:r>
    </w:p>
    <w:p>
      <w:pPr>
        <w:jc w:val="center"/>
      </w:pPr>
      <w:r>
        <w:rPr>
          <w:rFonts w:ascii="Times New Roman" w:hAnsi="Times New Roman" w:eastAsia="Times New Roman"/>
          <w:b/>
          <w:i w:val="0"/>
          <w:color w:val="000000"/>
          <w:sz w:val="32"/>
        </w:rPr>
        <w:t>QCampus Connect: A Verified Academic Q&amp;A Platform with Cryptographic Identity and Optional Encrypted Direct Messaging</w:t>
      </w:r>
    </w:p>
    <w:p>
      <w:pPr>
        <w:jc w:val="center"/>
      </w:pPr>
      <w:r>
        <w:rPr>
          <w:rFonts w:ascii="Times New Roman" w:hAnsi="Times New Roman" w:eastAsia="Times New Roman"/>
          <w:b w:val="0"/>
          <w:i/>
          <w:color w:val="000000"/>
          <w:sz w:val="24"/>
        </w:rPr>
        <w:t>A Final Year Project Report submitted in partial fulfilment of the requirements for the award of the Bachelor of Science (B.Sc.) degree in Computer Science</w:t>
      </w:r>
    </w:p>
    <w:p>
      <w:pPr>
        <w:jc w:val="center"/>
      </w:pPr>
      <w:r>
        <w:rPr>
          <w:rFonts w:ascii="Times New Roman" w:hAnsi="Times New Roman" w:eastAsia="Times New Roman"/>
          <w:b w:val="0"/>
          <w:i w:val="0"/>
          <w:color w:val="000000"/>
          <w:sz w:val="24"/>
        </w:rPr>
        <w:t>Submitted by</w:t>
      </w:r>
    </w:p>
    <w:p>
      <w:pPr>
        <w:jc w:val="center"/>
      </w:pPr>
      <w:r>
        <w:rPr>
          <w:rFonts w:ascii="Times New Roman" w:hAnsi="Times New Roman" w:eastAsia="Times New Roman"/>
          <w:b w:val="0"/>
          <w:i w:val="0"/>
          <w:color w:val="000000"/>
          <w:sz w:val="24"/>
        </w:rPr>
        <w:t>Korang Bright Agyei    UEB3501222</w:t>
      </w:r>
    </w:p>
    <w:p>
      <w:pPr>
        <w:jc w:val="center"/>
      </w:pPr>
      <w:r>
        <w:rPr>
          <w:rFonts w:ascii="Times New Roman" w:hAnsi="Times New Roman" w:eastAsia="Times New Roman"/>
          <w:b w:val="0"/>
          <w:i w:val="0"/>
          <w:color w:val="000000"/>
          <w:sz w:val="24"/>
        </w:rPr>
        <w:t>Mohammed Idris Adam    UEB3501022</w:t>
      </w:r>
    </w:p>
    <w:p>
      <w:pPr>
        <w:jc w:val="center"/>
      </w:pPr>
      <w:r>
        <w:rPr>
          <w:rFonts w:ascii="Times New Roman" w:hAnsi="Times New Roman" w:eastAsia="Times New Roman"/>
          <w:b w:val="0"/>
          <w:i w:val="0"/>
          <w:color w:val="000000"/>
          <w:sz w:val="24"/>
        </w:rPr>
        <w:t>Benaiah Amarh Anang    UEB3512522</w:t>
      </w:r>
    </w:p>
    <w:p>
      <w:pPr>
        <w:jc w:val="center"/>
      </w:pPr>
      <w:r>
        <w:rPr>
          <w:rFonts w:ascii="Times New Roman" w:hAnsi="Times New Roman" w:eastAsia="Times New Roman"/>
          <w:b w:val="0"/>
          <w:i w:val="0"/>
          <w:color w:val="000000"/>
          <w:sz w:val="24"/>
        </w:rPr>
        <w:t>Osei Nana Kwaku    UEB3509022</w:t>
      </w:r>
    </w:p>
    <w:p>
      <w:pPr>
        <w:jc w:val="center"/>
      </w:pPr>
      <w:r>
        <w:rPr>
          <w:rFonts w:ascii="Times New Roman" w:hAnsi="Times New Roman" w:eastAsia="Times New Roman"/>
          <w:b w:val="0"/>
          <w:i w:val="0"/>
          <w:color w:val="000000"/>
          <w:sz w:val="24"/>
        </w:rPr>
        <w:t>Supervisor: Dr Peter Nimbe</w:t>
      </w:r>
    </w:p>
    <w:p>
      <w:pPr>
        <w:jc w:val="center"/>
      </w:pPr>
      <w:r>
        <w:rPr>
          <w:rFonts w:ascii="Times New Roman" w:hAnsi="Times New Roman" w:eastAsia="Times New Roman"/>
          <w:b w:val="0"/>
          <w:i w:val="0"/>
          <w:color w:val="000000"/>
          <w:sz w:val="24"/>
        </w:rPr>
        <w:t>September 2026</w:t>
      </w:r>
    </w:p>
    <w:p>
      <w:pPr>
        <w:pStyle w:val="Heading1"/>
      </w:pPr>
      <w:r>
        <w:rPr>
          <w:rFonts w:ascii="Times New Roman" w:hAnsi="Times New Roman" w:eastAsia="Times New Roman"/>
          <w:b/>
          <w:i w:val="0"/>
          <w:color w:val="000000"/>
          <w:sz w:val="28"/>
        </w:rPr>
        <w:t>Declaration of Originality</w:t>
      </w:r>
    </w:p>
    <w:p>
      <w:pPr>
        <w:ind w:firstLine="720"/>
      </w:pPr>
      <w:r>
        <w:rPr>
          <w:rFonts w:ascii="Times New Roman" w:hAnsi="Times New Roman" w:eastAsia="Times New Roman"/>
          <w:b w:val="0"/>
          <w:i w:val="0"/>
          <w:color w:val="000000"/>
          <w:sz w:val="24"/>
        </w:rPr>
        <w:t>We, Korang Bright Agyei (UEB3501222); Mohammed Idris Adam (UEB3501022); Benaiah Amarh Anang (UEB3512522); Osei Nana Kwaku (UEB3509022), declare that this project report titled 'QCampus Connect: A Verified Academic Q&amp;A Platform with Cryptographic Identity and Optional Encrypted Direct Messaging' is our own original work conducted under the supervision of Dr Peter Nimbe. All software code, database schemas, and smart contract implementations presented in this report were authored by the project team, except where explicit citations acknowledge external standards, research literature, or open-source documentation. This work has not been submitted for any other degree or diploma at this or any other academic institution.</w:t>
      </w:r>
    </w:p>
    <w:p>
      <w:r>
        <w:rPr>
          <w:rFonts w:ascii="Times New Roman" w:hAnsi="Times New Roman" w:eastAsia="Times New Roman"/>
          <w:b w:val="0"/>
          <w:i w:val="0"/>
          <w:color w:val="000000"/>
          <w:sz w:val="24"/>
        </w:rPr>
        <w:t>Student Signatures and Date: ______________________</w:t>
      </w:r>
    </w:p>
    <w:p>
      <w:pPr>
        <w:pStyle w:val="Heading1"/>
      </w:pPr>
      <w:r>
        <w:rPr>
          <w:rFonts w:ascii="Times New Roman" w:hAnsi="Times New Roman" w:eastAsia="Times New Roman"/>
          <w:b/>
          <w:i w:val="0"/>
          <w:color w:val="000000"/>
          <w:sz w:val="28"/>
        </w:rPr>
        <w:t>Certification</w:t>
      </w:r>
    </w:p>
    <w:p>
      <w:pPr>
        <w:ind w:firstLine="720"/>
      </w:pPr>
      <w:r>
        <w:rPr>
          <w:rFonts w:ascii="Times New Roman" w:hAnsi="Times New Roman" w:eastAsia="Times New Roman"/>
          <w:b w:val="0"/>
          <w:i w:val="0"/>
          <w:color w:val="000000"/>
          <w:sz w:val="24"/>
        </w:rPr>
        <w:t>We hereby certify that this project report was prepared under our supervision and is recommended for examination in partial fulfilment of the requirements for the award of the B.Sc. Computer Science degree.</w:t>
      </w:r>
    </w:p>
    <w:p>
      <w:r>
        <w:rPr>
          <w:rFonts w:ascii="Times New Roman" w:hAnsi="Times New Roman" w:eastAsia="Times New Roman"/>
          <w:b w:val="0"/>
          <w:i w:val="0"/>
          <w:color w:val="000000"/>
          <w:sz w:val="24"/>
        </w:rPr>
        <w:t>Dr Peter Nimbe    (Supervisor)    Signature: __________    Date: ______</w:t>
      </w:r>
    </w:p>
    <w:p>
      <w:r>
        <w:rPr>
          <w:rFonts w:ascii="Times New Roman" w:hAnsi="Times New Roman" w:eastAsia="Times New Roman"/>
          <w:b w:val="0"/>
          <w:i w:val="0"/>
          <w:color w:val="000000"/>
          <w:sz w:val="24"/>
        </w:rPr>
        <w:t>Head of Department    Signature: __________    Date: ______</w:t>
      </w:r>
    </w:p>
    <w:p>
      <w:r>
        <w:rPr>
          <w:rFonts w:ascii="Times New Roman" w:hAnsi="Times New Roman" w:eastAsia="Times New Roman"/>
          <w:b w:val="0"/>
          <w:i w:val="0"/>
          <w:color w:val="000000"/>
          <w:sz w:val="24"/>
        </w:rPr>
        <w:t>External Examiner    Signature: __________    Date: ______</w:t>
      </w:r>
    </w:p>
    <w:p>
      <w:pPr>
        <w:pStyle w:val="Heading1"/>
      </w:pPr>
      <w:r>
        <w:rPr>
          <w:rFonts w:ascii="Times New Roman" w:hAnsi="Times New Roman" w:eastAsia="Times New Roman"/>
          <w:b/>
          <w:i w:val="0"/>
          <w:color w:val="000000"/>
          <w:sz w:val="28"/>
        </w:rPr>
        <w:t>Acknowledgements</w:t>
      </w:r>
    </w:p>
    <w:p>
      <w:pPr>
        <w:ind w:firstLine="720"/>
      </w:pPr>
      <w:r>
        <w:rPr>
          <w:rFonts w:ascii="Times New Roman" w:hAnsi="Times New Roman" w:eastAsia="Times New Roman"/>
          <w:b w:val="0"/>
          <w:i w:val="0"/>
          <w:color w:val="000000"/>
          <w:sz w:val="24"/>
        </w:rPr>
        <w:t>We express our gratitude to Almighty God for guidance throughout this academic program. We extend our sincere appreciation to our supervisor, Dr Peter Nimbe, for his invaluable technical guidance, constructive reviews, and encouragement during system development and report writing. We also thank the faculty and staff of the Department of Computer Science and Informatics at UENR for providing hardware resources and support. Finally, we thank our families and peers for their constant support.</w:t>
      </w:r>
    </w:p>
    <w:p>
      <w:pPr>
        <w:pStyle w:val="Heading1"/>
      </w:pPr>
      <w:r>
        <w:rPr>
          <w:rFonts w:ascii="Times New Roman" w:hAnsi="Times New Roman" w:eastAsia="Times New Roman"/>
          <w:b/>
          <w:i w:val="0"/>
          <w:color w:val="000000"/>
          <w:sz w:val="28"/>
        </w:rPr>
        <w:t>Abstract</w:t>
      </w:r>
    </w:p>
    <w:p>
      <w:pPr>
        <w:ind w:firstLine="720"/>
      </w:pPr>
      <w:r>
        <w:rPr>
          <w:rFonts w:ascii="Times New Roman" w:hAnsi="Times New Roman" w:eastAsia="Times New Roman"/>
          <w:b w:val="0"/>
          <w:i w:val="0"/>
          <w:color w:val="000000"/>
          <w:sz w:val="24"/>
        </w:rPr>
        <w:t>In universities today, academic communication between students and faculty suffers from critical structural bottlenecks. Lacking a dedicated, institution-wide scholarly discussion platform, students seeking coursework clarification or project guidance are forced to call lecturers' personal phone numbers or physically queue outside faculty offices. This practice intrudes on faculty privacy, causes scheduling delays, and silos valuable explanations in private 1-on-1 exchanges where peer students cannot benefit. This project developed QCampus Connect, an institutional, role-verified academic Q&amp;A platform for universities. The platform enables students to post coursework inquiries classified by department, while verified lecturers distinguished by academic ranks (Doctor, Professor, Engineer) provide authoritative answers. Real-time notifications alert lecturers to incoming departmental questions, while multi-format attachment tools support research documents, code, and diagrams. One-on-one direct messaging is provided as an auxiliary, encrypted channel for private consultations. To guarantee non-repudiation, SHA-256 payload digests are committed asynchronously to a local Hyperledger Besu blockchain running QBFT consensus via the MessageVerifier.sol smart contract. Client encryption is handled via the W3C Web Crypto API (RSA-OAEP 2048 and AES-GCM-256), supplemented by a simulated BB84 quantum key distribution module enforcing an 11% QBER abort threshold (Bennett &amp; Brassard, 2014/1984). Empirical benchmarks demonstrated mean message delivery latencies of ~50 ms and blockchain hash confirmation in ~0.35 s. QCampus Connect provides an accessible, audit-ready framework that eliminates personal channel intrusion and democratizes academic knowledge across campuses.</w:t>
      </w:r>
    </w:p>
    <w:p>
      <w:pPr>
        <w:pStyle w:val="Heading1"/>
      </w:pPr>
      <w:r>
        <w:rPr>
          <w:rFonts w:ascii="Times New Roman" w:hAnsi="Times New Roman" w:eastAsia="Times New Roman"/>
          <w:b/>
          <w:i w:val="0"/>
          <w:color w:val="000000"/>
          <w:sz w:val="28"/>
        </w:rPr>
        <w:t>Table of Contents</w:t>
      </w:r>
    </w:p>
    <w:p>
      <w:pPr>
        <w:pStyle w:val="ListBullet"/>
      </w:pPr>
      <w:r>
        <w:rPr>
          <w:rFonts w:ascii="Times New Roman" w:hAnsi="Times New Roman" w:eastAsia="Times New Roman"/>
          <w:b w:val="0"/>
          <w:i w:val="0"/>
          <w:color w:val="000000"/>
          <w:sz w:val="24"/>
        </w:rPr>
        <w:t>Preliminary Pages — Title, Declaration, Certification, Acknowledgements, Abstract</w:t>
      </w:r>
    </w:p>
    <w:p>
      <w:pPr>
        <w:pStyle w:val="ListBullet"/>
      </w:pPr>
      <w:r>
        <w:rPr>
          <w:rFonts w:ascii="Times New Roman" w:hAnsi="Times New Roman" w:eastAsia="Times New Roman"/>
          <w:b w:val="0"/>
          <w:i w:val="0"/>
          <w:color w:val="000000"/>
          <w:sz w:val="24"/>
        </w:rPr>
        <w:t>Chapter 1 — Introduction</w:t>
      </w:r>
    </w:p>
    <w:p>
      <w:pPr>
        <w:pStyle w:val="ListBullet"/>
      </w:pPr>
      <w:r>
        <w:rPr>
          <w:rFonts w:ascii="Times New Roman" w:hAnsi="Times New Roman" w:eastAsia="Times New Roman"/>
          <w:b w:val="0"/>
          <w:i w:val="0"/>
          <w:color w:val="000000"/>
          <w:sz w:val="24"/>
        </w:rPr>
        <w:t>Chapter 2 — Literature Review</w:t>
      </w:r>
    </w:p>
    <w:p>
      <w:pPr>
        <w:pStyle w:val="ListBullet"/>
      </w:pPr>
      <w:r>
        <w:rPr>
          <w:rFonts w:ascii="Times New Roman" w:hAnsi="Times New Roman" w:eastAsia="Times New Roman"/>
          <w:b w:val="0"/>
          <w:i w:val="0"/>
          <w:color w:val="000000"/>
          <w:sz w:val="24"/>
        </w:rPr>
        <w:t>Chapter 3 — Methodology and System Design</w:t>
      </w:r>
    </w:p>
    <w:p>
      <w:pPr>
        <w:pStyle w:val="ListBullet"/>
      </w:pPr>
      <w:r>
        <w:rPr>
          <w:rFonts w:ascii="Times New Roman" w:hAnsi="Times New Roman" w:eastAsia="Times New Roman"/>
          <w:b w:val="0"/>
          <w:i w:val="0"/>
          <w:color w:val="000000"/>
          <w:sz w:val="24"/>
        </w:rPr>
        <w:t>Chapter 4 — Implementation, Testing, and Results</w:t>
      </w:r>
    </w:p>
    <w:p>
      <w:pPr>
        <w:pStyle w:val="ListBullet"/>
      </w:pPr>
      <w:r>
        <w:rPr>
          <w:rFonts w:ascii="Times New Roman" w:hAnsi="Times New Roman" w:eastAsia="Times New Roman"/>
          <w:b w:val="0"/>
          <w:i w:val="0"/>
          <w:color w:val="000000"/>
          <w:sz w:val="24"/>
        </w:rPr>
        <w:t>Chapter 5 — Conclusion and Recommendations</w:t>
      </w:r>
    </w:p>
    <w:p>
      <w:pPr>
        <w:pStyle w:val="ListBullet"/>
      </w:pPr>
      <w:r>
        <w:rPr>
          <w:rFonts w:ascii="Times New Roman" w:hAnsi="Times New Roman" w:eastAsia="Times New Roman"/>
          <w:b w:val="0"/>
          <w:i w:val="0"/>
          <w:color w:val="000000"/>
          <w:sz w:val="24"/>
        </w:rPr>
        <w:t>References (APA 7th Edition)</w:t>
      </w:r>
    </w:p>
    <w:p>
      <w:pPr>
        <w:pStyle w:val="ListBullet"/>
      </w:pPr>
      <w:r>
        <w:rPr>
          <w:rFonts w:ascii="Times New Roman" w:hAnsi="Times New Roman" w:eastAsia="Times New Roman"/>
          <w:b w:val="0"/>
          <w:i w:val="0"/>
          <w:color w:val="000000"/>
          <w:sz w:val="24"/>
        </w:rPr>
        <w:t>Appendix A — Selected Application Source Code</w:t>
      </w:r>
    </w:p>
    <w:p>
      <w:pPr>
        <w:pStyle w:val="ListBullet"/>
      </w:pPr>
      <w:r>
        <w:rPr>
          <w:rFonts w:ascii="Times New Roman" w:hAnsi="Times New Roman" w:eastAsia="Times New Roman"/>
          <w:b w:val="0"/>
          <w:i w:val="0"/>
          <w:color w:val="000000"/>
          <w:sz w:val="24"/>
        </w:rPr>
        <w:t>Appendix B — MessageVerifier.sol Smart Contract</w:t>
      </w:r>
    </w:p>
    <w:p>
      <w:pPr>
        <w:pStyle w:val="ListBullet"/>
      </w:pPr>
      <w:r>
        <w:rPr>
          <w:rFonts w:ascii="Times New Roman" w:hAnsi="Times New Roman" w:eastAsia="Times New Roman"/>
          <w:b w:val="0"/>
          <w:i w:val="0"/>
          <w:color w:val="000000"/>
          <w:sz w:val="24"/>
        </w:rPr>
        <w:t>Appendix C — BB84 Simulation Module</w:t>
      </w:r>
    </w:p>
    <w:p>
      <w:pPr>
        <w:pStyle w:val="ListBullet"/>
      </w:pPr>
      <w:r>
        <w:rPr>
          <w:rFonts w:ascii="Times New Roman" w:hAnsi="Times New Roman" w:eastAsia="Times New Roman"/>
          <w:b w:val="0"/>
          <w:i w:val="0"/>
          <w:color w:val="000000"/>
          <w:sz w:val="24"/>
        </w:rPr>
        <w:t>Appendix D — User Acceptance Walk-Through Records</w:t>
      </w:r>
    </w:p>
    <w:p>
      <w:pPr>
        <w:pStyle w:val="ListBullet"/>
      </w:pPr>
      <w:r>
        <w:rPr>
          <w:rFonts w:ascii="Times New Roman" w:hAnsi="Times New Roman" w:eastAsia="Times New Roman"/>
          <w:b w:val="0"/>
          <w:i w:val="0"/>
          <w:color w:val="000000"/>
          <w:sz w:val="24"/>
        </w:rPr>
        <w:t>Appendix E — Project Sprint Timeline</w:t>
      </w:r>
    </w:p>
    <w:p>
      <w:pPr>
        <w:pStyle w:val="Heading1"/>
      </w:pPr>
      <w:r>
        <w:rPr>
          <w:rFonts w:ascii="Times New Roman" w:hAnsi="Times New Roman" w:eastAsia="Times New Roman"/>
          <w:b/>
          <w:i w:val="0"/>
          <w:color w:val="000000"/>
          <w:sz w:val="28"/>
        </w:rPr>
        <w:t>List of Tables</w:t>
      </w:r>
    </w:p>
    <w:p>
      <w:pPr>
        <w:pStyle w:val="ListBullet"/>
      </w:pPr>
      <w:r>
        <w:rPr>
          <w:rFonts w:ascii="Times New Roman" w:hAnsi="Times New Roman" w:eastAsia="Times New Roman"/>
          <w:b w:val="0"/>
          <w:i w:val="0"/>
          <w:color w:val="000000"/>
          <w:sz w:val="24"/>
        </w:rPr>
        <w:t>Table 2.1 Comparative Analysis of Academic Communication Platforms</w:t>
      </w:r>
    </w:p>
    <w:p>
      <w:pPr>
        <w:pStyle w:val="ListBullet"/>
      </w:pPr>
      <w:r>
        <w:rPr>
          <w:rFonts w:ascii="Times New Roman" w:hAnsi="Times New Roman" w:eastAsia="Times New Roman"/>
          <w:b w:val="0"/>
          <w:i w:val="0"/>
          <w:color w:val="000000"/>
          <w:sz w:val="24"/>
        </w:rPr>
        <w:t>Table 3.1 Convex Database Collections &amp; Indexing Strategies</w:t>
      </w:r>
    </w:p>
    <w:p>
      <w:pPr>
        <w:pStyle w:val="ListBullet"/>
      </w:pPr>
      <w:r>
        <w:rPr>
          <w:rFonts w:ascii="Times New Roman" w:hAnsi="Times New Roman" w:eastAsia="Times New Roman"/>
          <w:b w:val="0"/>
          <w:i w:val="0"/>
          <w:color w:val="000000"/>
          <w:sz w:val="24"/>
        </w:rPr>
        <w:t>Table 3.2 System Threat Matrix and Mitigations</w:t>
      </w:r>
    </w:p>
    <w:p>
      <w:pPr>
        <w:pStyle w:val="ListBullet"/>
      </w:pPr>
      <w:r>
        <w:rPr>
          <w:rFonts w:ascii="Times New Roman" w:hAnsi="Times New Roman" w:eastAsia="Times New Roman"/>
          <w:b w:val="0"/>
          <w:i w:val="0"/>
          <w:color w:val="000000"/>
          <w:sz w:val="24"/>
        </w:rPr>
        <w:t>Table 4.1 Development Tooling and Subsystem Versions</w:t>
      </w:r>
    </w:p>
    <w:p>
      <w:pPr>
        <w:pStyle w:val="ListBullet"/>
      </w:pPr>
      <w:r>
        <w:rPr>
          <w:rFonts w:ascii="Times New Roman" w:hAnsi="Times New Roman" w:eastAsia="Times New Roman"/>
          <w:b w:val="0"/>
          <w:i w:val="0"/>
          <w:color w:val="000000"/>
          <w:sz w:val="24"/>
        </w:rPr>
        <w:t>Table 4.2 Functional Verification Test Suite</w:t>
      </w:r>
    </w:p>
    <w:p>
      <w:pPr>
        <w:pStyle w:val="ListBullet"/>
      </w:pPr>
      <w:r>
        <w:rPr>
          <w:rFonts w:ascii="Times New Roman" w:hAnsi="Times New Roman" w:eastAsia="Times New Roman"/>
          <w:b w:val="0"/>
          <w:i w:val="0"/>
          <w:color w:val="000000"/>
          <w:sz w:val="24"/>
        </w:rPr>
        <w:t>Table 4.3 User Acceptance Testing Walk-Throughs</w:t>
      </w:r>
    </w:p>
    <w:p>
      <w:pPr>
        <w:pStyle w:val="ListBullet"/>
      </w:pPr>
      <w:r>
        <w:rPr>
          <w:rFonts w:ascii="Times New Roman" w:hAnsi="Times New Roman" w:eastAsia="Times New Roman"/>
          <w:b w:val="0"/>
          <w:i w:val="0"/>
          <w:color w:val="000000"/>
          <w:sz w:val="24"/>
        </w:rPr>
        <w:t>Table 4.4 Localhost Latency Benchmarks</w:t>
      </w:r>
    </w:p>
    <w:p>
      <w:pPr>
        <w:pStyle w:val="Heading1"/>
      </w:pPr>
      <w:r>
        <w:rPr>
          <w:rFonts w:ascii="Times New Roman" w:hAnsi="Times New Roman" w:eastAsia="Times New Roman"/>
          <w:b/>
          <w:i w:val="0"/>
          <w:color w:val="000000"/>
          <w:sz w:val="28"/>
        </w:rPr>
        <w:t>List of Abbreviations</w:t>
      </w:r>
    </w:p>
    <w:p>
      <w:pPr>
        <w:pStyle w:val="ListBullet"/>
      </w:pPr>
      <w:r>
        <w:rPr>
          <w:rFonts w:ascii="Times New Roman" w:hAnsi="Times New Roman" w:eastAsia="Times New Roman"/>
          <w:b w:val="0"/>
          <w:i w:val="0"/>
          <w:color w:val="000000"/>
          <w:sz w:val="24"/>
        </w:rPr>
        <w:t>AES-GCM — Advanced Encryption Standard Galois/Counter Mode</w:t>
      </w:r>
    </w:p>
    <w:p>
      <w:pPr>
        <w:pStyle w:val="ListBullet"/>
      </w:pPr>
      <w:r>
        <w:rPr>
          <w:rFonts w:ascii="Times New Roman" w:hAnsi="Times New Roman" w:eastAsia="Times New Roman"/>
          <w:b w:val="0"/>
          <w:i w:val="0"/>
          <w:color w:val="000000"/>
          <w:sz w:val="24"/>
        </w:rPr>
        <w:t>API — Application Programming Interface</w:t>
      </w:r>
    </w:p>
    <w:p>
      <w:pPr>
        <w:pStyle w:val="ListBullet"/>
      </w:pPr>
      <w:r>
        <w:rPr>
          <w:rFonts w:ascii="Times New Roman" w:hAnsi="Times New Roman" w:eastAsia="Times New Roman"/>
          <w:b w:val="0"/>
          <w:i w:val="0"/>
          <w:color w:val="000000"/>
          <w:sz w:val="24"/>
        </w:rPr>
        <w:t>BB84 — Bennett and Brassard 1984 Quantum Key Distribution Protocol</w:t>
      </w:r>
    </w:p>
    <w:p>
      <w:pPr>
        <w:pStyle w:val="ListBullet"/>
      </w:pPr>
      <w:r>
        <w:rPr>
          <w:rFonts w:ascii="Times New Roman" w:hAnsi="Times New Roman" w:eastAsia="Times New Roman"/>
          <w:b w:val="0"/>
          <w:i w:val="0"/>
          <w:color w:val="000000"/>
          <w:sz w:val="24"/>
        </w:rPr>
        <w:t>LLM — Large Language Model</w:t>
      </w:r>
    </w:p>
    <w:p>
      <w:pPr>
        <w:pStyle w:val="ListBullet"/>
      </w:pPr>
      <w:r>
        <w:rPr>
          <w:rFonts w:ascii="Times New Roman" w:hAnsi="Times New Roman" w:eastAsia="Times New Roman"/>
          <w:b w:val="0"/>
          <w:i w:val="0"/>
          <w:color w:val="000000"/>
          <w:sz w:val="24"/>
        </w:rPr>
        <w:t>LMS — Learning Management System</w:t>
      </w:r>
    </w:p>
    <w:p>
      <w:pPr>
        <w:pStyle w:val="ListBullet"/>
      </w:pPr>
      <w:r>
        <w:rPr>
          <w:rFonts w:ascii="Times New Roman" w:hAnsi="Times New Roman" w:eastAsia="Times New Roman"/>
          <w:b w:val="0"/>
          <w:i w:val="0"/>
          <w:color w:val="000000"/>
          <w:sz w:val="24"/>
        </w:rPr>
        <w:t>QBER — Quantum Bit Error Rate</w:t>
      </w:r>
    </w:p>
    <w:p>
      <w:pPr>
        <w:pStyle w:val="ListBullet"/>
      </w:pPr>
      <w:r>
        <w:rPr>
          <w:rFonts w:ascii="Times New Roman" w:hAnsi="Times New Roman" w:eastAsia="Times New Roman"/>
          <w:b w:val="0"/>
          <w:i w:val="0"/>
          <w:color w:val="000000"/>
          <w:sz w:val="24"/>
        </w:rPr>
        <w:t>QKD — Quantum Key Distribution</w:t>
      </w:r>
    </w:p>
    <w:p>
      <w:pPr>
        <w:pStyle w:val="ListBullet"/>
      </w:pPr>
      <w:r>
        <w:rPr>
          <w:rFonts w:ascii="Times New Roman" w:hAnsi="Times New Roman" w:eastAsia="Times New Roman"/>
          <w:b w:val="0"/>
          <w:i w:val="0"/>
          <w:color w:val="000000"/>
          <w:sz w:val="24"/>
        </w:rPr>
        <w:t>QBFT — Quorum Byzantine Fault Tolerance</w:t>
      </w:r>
    </w:p>
    <w:p>
      <w:pPr>
        <w:pStyle w:val="ListBullet"/>
      </w:pPr>
      <w:r>
        <w:rPr>
          <w:rFonts w:ascii="Times New Roman" w:hAnsi="Times New Roman" w:eastAsia="Times New Roman"/>
          <w:b w:val="0"/>
          <w:i w:val="0"/>
          <w:color w:val="000000"/>
          <w:sz w:val="24"/>
        </w:rPr>
        <w:t>RBAC — Role-Based Access Control</w:t>
      </w:r>
    </w:p>
    <w:p>
      <w:pPr>
        <w:pStyle w:val="ListBullet"/>
      </w:pPr>
      <w:r>
        <w:rPr>
          <w:rFonts w:ascii="Times New Roman" w:hAnsi="Times New Roman" w:eastAsia="Times New Roman"/>
          <w:b w:val="0"/>
          <w:i w:val="0"/>
          <w:color w:val="000000"/>
          <w:sz w:val="24"/>
        </w:rPr>
        <w:t>SPKI — Subject Public Key Info</w:t>
      </w:r>
    </w:p>
    <w:p>
      <w:pPr>
        <w:pStyle w:val="ListBullet"/>
      </w:pPr>
      <w:r>
        <w:rPr>
          <w:rFonts w:ascii="Times New Roman" w:hAnsi="Times New Roman" w:eastAsia="Times New Roman"/>
          <w:b w:val="0"/>
          <w:i w:val="0"/>
          <w:color w:val="000000"/>
          <w:sz w:val="24"/>
        </w:rPr>
        <w:t>UAT — User Acceptance Testing</w:t>
      </w:r>
    </w:p>
    <w:p>
      <w:pPr>
        <w:pStyle w:val="ListBullet"/>
      </w:pPr>
      <w:r>
        <w:rPr>
          <w:rFonts w:ascii="Times New Roman" w:hAnsi="Times New Roman" w:eastAsia="Times New Roman"/>
          <w:b w:val="0"/>
          <w:i w:val="0"/>
          <w:color w:val="000000"/>
          <w:sz w:val="24"/>
        </w:rPr>
        <w:t>W3C — World Wide Web Consortium</w:t>
      </w:r>
    </w:p>
    <w:p>
      <w:pPr>
        <w:pStyle w:val="Heading1"/>
      </w:pPr>
      <w:r>
        <w:rPr>
          <w:rFonts w:ascii="Times New Roman" w:hAnsi="Times New Roman" w:eastAsia="Times New Roman"/>
          <w:b/>
          <w:i w:val="0"/>
          <w:color w:val="000000"/>
          <w:sz w:val="28"/>
        </w:rPr>
        <w:t>References</w:t>
      </w:r>
    </w:p>
    <w:p>
      <w:r>
        <w:rPr>
          <w:rFonts w:ascii="Times New Roman" w:hAnsi="Times New Roman" w:eastAsia="Times New Roman"/>
          <w:b w:val="0"/>
          <w:i/>
          <w:color w:val="000000"/>
          <w:sz w:val="22"/>
        </w:rPr>
        <w:t>Entries follow APA 7th edition formatting. Online technical documentation and standards are listed with retrieval dates spanning 2024–2026.</w:t>
      </w:r>
    </w:p>
    <w:p>
      <w:pPr>
        <w:ind w:left="720" w:hanging="720"/>
      </w:pPr>
      <w:r>
        <w:rPr>
          <w:rFonts w:ascii="Times New Roman" w:hAnsi="Times New Roman" w:eastAsia="Times New Roman"/>
          <w:b w:val="0"/>
          <w:i w:val="0"/>
          <w:color w:val="000000"/>
          <w:sz w:val="24"/>
        </w:rPr>
        <w:t>Bennett, C. H., &amp; Brassard, G. (2014). Quantum cryptography: Public key distribution and coin tossing. Theoretical Computer Science, 560, 7–11. https://doi.org/10.1016/j.tcs.2014.05.025 (Original work published 1984)</w:t>
      </w:r>
    </w:p>
    <w:p>
      <w:pPr>
        <w:ind w:left="720" w:hanging="720"/>
      </w:pPr>
      <w:r>
        <w:rPr>
          <w:rFonts w:ascii="Times New Roman" w:hAnsi="Times New Roman" w:eastAsia="Times New Roman"/>
          <w:b w:val="0"/>
          <w:i w:val="0"/>
          <w:color w:val="000000"/>
          <w:sz w:val="24"/>
        </w:rPr>
        <w:t>Bernstein, D. J., &amp; Lange, T. (2017). Post-quantum cryptography. Nature, 549(7671), 188–194. https://doi.org/10.1038/nature23461</w:t>
      </w:r>
    </w:p>
    <w:p>
      <w:pPr>
        <w:ind w:left="720" w:hanging="720"/>
      </w:pPr>
      <w:r>
        <w:rPr>
          <w:rFonts w:ascii="Times New Roman" w:hAnsi="Times New Roman" w:eastAsia="Times New Roman"/>
          <w:b w:val="0"/>
          <w:i w:val="0"/>
          <w:color w:val="000000"/>
          <w:sz w:val="24"/>
        </w:rPr>
        <w:t>Castro, M., &amp; Liskov, B. (2002). Practical Byzantine fault tolerance and proactive recovery. ACM Transactions on Computer Systems, 20(4), 398–461. https://doi.org/10.1145/571637.571640</w:t>
      </w:r>
    </w:p>
    <w:p>
      <w:pPr>
        <w:ind w:left="720" w:hanging="720"/>
      </w:pPr>
      <w:r>
        <w:rPr>
          <w:rFonts w:ascii="Times New Roman" w:hAnsi="Times New Roman" w:eastAsia="Times New Roman"/>
          <w:b w:val="0"/>
          <w:i w:val="0"/>
          <w:color w:val="000000"/>
          <w:sz w:val="24"/>
        </w:rPr>
        <w:t>Convex Development Team. (2024). Convex documentation. https://docs.convex.dev</w:t>
      </w:r>
    </w:p>
    <w:p>
      <w:pPr>
        <w:ind w:left="720" w:hanging="720"/>
      </w:pPr>
      <w:r>
        <w:rPr>
          <w:rFonts w:ascii="Times New Roman" w:hAnsi="Times New Roman" w:eastAsia="Times New Roman"/>
          <w:b w:val="0"/>
          <w:i w:val="0"/>
          <w:color w:val="000000"/>
          <w:sz w:val="24"/>
        </w:rPr>
        <w:t>Diffie, W., &amp; Hellman, M. (1976). New directions in cryptography. IEEE Transactions on Information Theory, 22(6), 644–654. https://doi.org/10.1109/TIT.1976.1055638</w:t>
      </w:r>
    </w:p>
    <w:p>
      <w:pPr>
        <w:ind w:left="720" w:hanging="720"/>
      </w:pPr>
      <w:r>
        <w:rPr>
          <w:rFonts w:ascii="Times New Roman" w:hAnsi="Times New Roman" w:eastAsia="Times New Roman"/>
          <w:b w:val="0"/>
          <w:i w:val="0"/>
          <w:color w:val="000000"/>
          <w:sz w:val="24"/>
        </w:rPr>
        <w:t>Ethereum Foundation. (2024). Solidity documentation (Version 0.8.20). https://docs.soliditylang.org</w:t>
      </w:r>
    </w:p>
    <w:p>
      <w:pPr>
        <w:ind w:left="720" w:hanging="720"/>
      </w:pPr>
      <w:r>
        <w:rPr>
          <w:rFonts w:ascii="Times New Roman" w:hAnsi="Times New Roman" w:eastAsia="Times New Roman"/>
          <w:b w:val="0"/>
          <w:i w:val="0"/>
          <w:color w:val="000000"/>
          <w:sz w:val="24"/>
        </w:rPr>
        <w:t>Ethers.js Contributors. (2024). Ethers.js v6 documentation. https://docs.ethers.org/v6</w:t>
      </w:r>
    </w:p>
    <w:p>
      <w:pPr>
        <w:ind w:left="720" w:hanging="720"/>
      </w:pPr>
      <w:r>
        <w:rPr>
          <w:rFonts w:ascii="Times New Roman" w:hAnsi="Times New Roman" w:eastAsia="Times New Roman"/>
          <w:b w:val="0"/>
          <w:i w:val="0"/>
          <w:color w:val="000000"/>
          <w:sz w:val="24"/>
        </w:rPr>
        <w:t>Gisin, N., Ribordy, G., Tittel, W., &amp; Zbinden, H. (2002). Quantum cryptography. Reviews of Modern Physics, 74(1), 145–195. https://doi.org/10.1103/RevModPhys.74.145</w:t>
      </w:r>
    </w:p>
    <w:p>
      <w:pPr>
        <w:ind w:left="720" w:hanging="720"/>
      </w:pPr>
      <w:r>
        <w:rPr>
          <w:rFonts w:ascii="Times New Roman" w:hAnsi="Times New Roman" w:eastAsia="Times New Roman"/>
          <w:b w:val="0"/>
          <w:i w:val="0"/>
          <w:color w:val="000000"/>
          <w:sz w:val="24"/>
        </w:rPr>
        <w:t>Hyperledger Foundation. (2024). Hyperledger Besu documentation. https://besu.hyperledger.org</w:t>
      </w:r>
    </w:p>
    <w:p>
      <w:pPr>
        <w:ind w:left="720" w:hanging="720"/>
      </w:pPr>
      <w:r>
        <w:rPr>
          <w:rFonts w:ascii="Times New Roman" w:hAnsi="Times New Roman" w:eastAsia="Times New Roman"/>
          <w:b w:val="0"/>
          <w:i w:val="0"/>
          <w:color w:val="000000"/>
          <w:sz w:val="24"/>
        </w:rPr>
        <w:t>Inception Labs. (2025). Mercury 2 API documentation. https://docs.inceptionlabs.ai</w:t>
      </w:r>
    </w:p>
    <w:p>
      <w:pPr>
        <w:ind w:left="720" w:hanging="720"/>
      </w:pPr>
      <w:r>
        <w:rPr>
          <w:rFonts w:ascii="Times New Roman" w:hAnsi="Times New Roman" w:eastAsia="Times New Roman"/>
          <w:b w:val="0"/>
          <w:i w:val="0"/>
          <w:color w:val="000000"/>
          <w:sz w:val="24"/>
        </w:rPr>
        <w:t>Marlinspike, M., &amp; Perrin, T. (2016). The X3DH key agreement protocol. Signal Foundation. https://signal.org/docs/specifications/x3dh/</w:t>
      </w:r>
    </w:p>
    <w:p>
      <w:pPr>
        <w:ind w:left="720" w:hanging="720"/>
      </w:pPr>
      <w:r>
        <w:rPr>
          <w:rFonts w:ascii="Times New Roman" w:hAnsi="Times New Roman" w:eastAsia="Times New Roman"/>
          <w:b w:val="0"/>
          <w:i w:val="0"/>
          <w:color w:val="000000"/>
          <w:sz w:val="24"/>
        </w:rPr>
        <w:t>Meta. (2023). WhatsApp encryption overview (Technical white paper). https://www.whatsapp.com/security/WhatsApp-Security-Whitepaper.pdf</w:t>
      </w:r>
    </w:p>
    <w:p>
      <w:pPr>
        <w:ind w:left="720" w:hanging="720"/>
      </w:pPr>
      <w:r>
        <w:rPr>
          <w:rFonts w:ascii="Times New Roman" w:hAnsi="Times New Roman" w:eastAsia="Times New Roman"/>
          <w:b w:val="0"/>
          <w:i w:val="0"/>
          <w:color w:val="000000"/>
          <w:sz w:val="24"/>
        </w:rPr>
        <w:t>Mozilla Developer Network. (2024). Web Crypto API. https://developer.mozilla.org/en-US/docs/Web/API/Web_Crypto_API</w:t>
      </w:r>
    </w:p>
    <w:p>
      <w:pPr>
        <w:ind w:left="720" w:hanging="720"/>
      </w:pPr>
      <w:r>
        <w:rPr>
          <w:rFonts w:ascii="Times New Roman" w:hAnsi="Times New Roman" w:eastAsia="Times New Roman"/>
          <w:b w:val="0"/>
          <w:i w:val="0"/>
          <w:color w:val="000000"/>
          <w:sz w:val="24"/>
        </w:rPr>
        <w:t>Nakamoto, S. (2008). Bitcoin: A peer-to-peer electronic cash system. https://bitcoin.org/bitcoin.pdf</w:t>
      </w:r>
    </w:p>
    <w:p>
      <w:pPr>
        <w:ind w:left="720" w:hanging="720"/>
      </w:pPr>
      <w:r>
        <w:rPr>
          <w:rFonts w:ascii="Times New Roman" w:hAnsi="Times New Roman" w:eastAsia="Times New Roman"/>
          <w:b w:val="0"/>
          <w:i w:val="0"/>
          <w:color w:val="000000"/>
          <w:sz w:val="24"/>
        </w:rPr>
        <w:t>National Institute of Standards and Technology. (2001). Announcing the Advanced Encryption Standard (AES) (FIPS PUB 197). https://doi.org/10.6028/NIST.FIPS.197</w:t>
      </w:r>
    </w:p>
    <w:p>
      <w:pPr>
        <w:ind w:left="720" w:hanging="720"/>
      </w:pPr>
      <w:r>
        <w:rPr>
          <w:rFonts w:ascii="Times New Roman" w:hAnsi="Times New Roman" w:eastAsia="Times New Roman"/>
          <w:b w:val="0"/>
          <w:i w:val="0"/>
          <w:color w:val="000000"/>
          <w:sz w:val="24"/>
        </w:rPr>
        <w:t>Newman, N., Fletcher, R., Eddy, K., Robertson, C. T., &amp; Nielsen, R. K. (2023). Reuters Institute digital news report 2023. Reuters Institute for the Study of Journalism. https://reutersinstitute.politics.ox.ac.uk/digital-news-report/2023</w:t>
      </w:r>
    </w:p>
    <w:p>
      <w:pPr>
        <w:ind w:left="720" w:hanging="720"/>
      </w:pPr>
      <w:r>
        <w:rPr>
          <w:rFonts w:ascii="Times New Roman" w:hAnsi="Times New Roman" w:eastAsia="Times New Roman"/>
          <w:b w:val="0"/>
          <w:i w:val="0"/>
          <w:color w:val="000000"/>
          <w:sz w:val="24"/>
        </w:rPr>
        <w:t>Nielsen, M. A., &amp; Chuang, I. L. (2010). Quantum computation and quantum information (10th anniversary ed.). Cambridge University Press.</w:t>
      </w:r>
    </w:p>
    <w:p>
      <w:pPr>
        <w:ind w:left="720" w:hanging="720"/>
      </w:pPr>
      <w:r>
        <w:rPr>
          <w:rFonts w:ascii="Times New Roman" w:hAnsi="Times New Roman" w:eastAsia="Times New Roman"/>
          <w:b w:val="0"/>
          <w:i w:val="0"/>
          <w:color w:val="000000"/>
          <w:sz w:val="24"/>
        </w:rPr>
        <w:t>Piazza Technologies. (2024). Piazza platform overview for higher education. https://piazza.com</w:t>
      </w:r>
    </w:p>
    <w:p>
      <w:pPr>
        <w:ind w:left="720" w:hanging="720"/>
      </w:pPr>
      <w:r>
        <w:rPr>
          <w:rFonts w:ascii="Times New Roman" w:hAnsi="Times New Roman" w:eastAsia="Times New Roman"/>
          <w:b w:val="0"/>
          <w:i w:val="0"/>
          <w:color w:val="000000"/>
          <w:sz w:val="24"/>
        </w:rPr>
        <w:t>Reddit, Inc. (2024). Transparency report 2023. https://www.redditinc.com/policies/transparency-report-2023</w:t>
      </w:r>
    </w:p>
    <w:p>
      <w:pPr>
        <w:ind w:left="720" w:hanging="720"/>
      </w:pPr>
      <w:r>
        <w:rPr>
          <w:rFonts w:ascii="Times New Roman" w:hAnsi="Times New Roman" w:eastAsia="Times New Roman"/>
          <w:b w:val="0"/>
          <w:i w:val="0"/>
          <w:color w:val="000000"/>
          <w:sz w:val="24"/>
        </w:rPr>
        <w:t>Rivest, R. L., Shamir, A., &amp; Adleman, L. (1978). A method for obtaining digital signatures and public-key cryptosystems. Communications of the ACM, 21(2), 120–126. https://doi.org/10.1145/359340.359342</w:t>
      </w:r>
    </w:p>
    <w:p>
      <w:pPr>
        <w:ind w:left="720" w:hanging="720"/>
      </w:pPr>
      <w:r>
        <w:rPr>
          <w:rFonts w:ascii="Times New Roman" w:hAnsi="Times New Roman" w:eastAsia="Times New Roman"/>
          <w:b w:val="0"/>
          <w:i w:val="0"/>
          <w:color w:val="000000"/>
          <w:sz w:val="24"/>
        </w:rPr>
        <w:t>Scarani, V., Bechmann-Pasquinucci, H., Cerf, N. J., Dušek, M., Lütkenhaus, N., &amp; Peev, M. (2009). The security of practical quantum key distribution. Reviews of Modern Physics, 81(3), 1301–1350. https://doi.org/10.1103/RevModPhys.81.1301</w:t>
      </w:r>
    </w:p>
    <w:p>
      <w:pPr>
        <w:ind w:left="720" w:hanging="720"/>
      </w:pPr>
      <w:r>
        <w:rPr>
          <w:rFonts w:ascii="Times New Roman" w:hAnsi="Times New Roman" w:eastAsia="Times New Roman"/>
          <w:b w:val="0"/>
          <w:i w:val="0"/>
          <w:color w:val="000000"/>
          <w:sz w:val="24"/>
        </w:rPr>
        <w:t>Shor, P. W. (1994). Algorithms for quantum computation: Discrete logarithms and factoring. In Proceedings of the 35th Annual Symposium on Foundations of Computer Science (pp. 124–134). IEEE. https://doi.org/10.1109/SFCS.1994.365700</w:t>
      </w:r>
    </w:p>
    <w:p>
      <w:pPr>
        <w:ind w:left="720" w:hanging="720"/>
      </w:pPr>
      <w:r>
        <w:rPr>
          <w:rFonts w:ascii="Times New Roman" w:hAnsi="Times New Roman" w:eastAsia="Times New Roman"/>
          <w:b w:val="0"/>
          <w:i w:val="0"/>
          <w:color w:val="000000"/>
          <w:sz w:val="24"/>
        </w:rPr>
        <w:t>Shor, P. W., &amp; Preskill, J. (2000). Simple proof of security of the BB84 quantum key distribution protocol. Physical Review Letters, 85(2), 441–444. https://doi.org/10.1103/PhysRevLett.85.441</w:t>
      </w:r>
    </w:p>
    <w:p>
      <w:pPr>
        <w:ind w:left="720" w:hanging="720"/>
      </w:pPr>
      <w:r>
        <w:rPr>
          <w:rFonts w:ascii="Times New Roman" w:hAnsi="Times New Roman" w:eastAsia="Times New Roman"/>
          <w:b w:val="0"/>
          <w:i w:val="0"/>
          <w:color w:val="000000"/>
          <w:sz w:val="24"/>
        </w:rPr>
        <w:t>Wood, G. (2014). Ethereum: A secure decentralised generalised transaction ledger (Yellow Paper). Ethereum Project.</w:t>
      </w:r>
    </w:p>
    <w:p>
      <w:pPr>
        <w:pStyle w:val="Heading1"/>
      </w:pPr>
      <w:r>
        <w:rPr>
          <w:rFonts w:ascii="Times New Roman" w:hAnsi="Times New Roman" w:eastAsia="Times New Roman"/>
          <w:b/>
          <w:i w:val="0"/>
          <w:color w:val="000000"/>
          <w:sz w:val="28"/>
        </w:rPr>
        <w:t>Appendix A — Selected Application Source Code</w:t>
      </w:r>
    </w:p>
    <w:p>
      <w:pPr>
        <w:ind w:firstLine="720"/>
      </w:pPr>
      <w:r>
        <w:rPr>
          <w:rFonts w:ascii="Times New Roman" w:hAnsi="Times New Roman" w:eastAsia="Times New Roman"/>
          <w:b w:val="0"/>
          <w:i w:val="0"/>
          <w:color w:val="000000"/>
          <w:sz w:val="24"/>
        </w:rPr>
        <w:t>Source code for QCampus Connect is maintained in the project repository. Key client gatekeeper functions, department routing queries, and cryptography helpers are detailed in Chapter 4.</w:t>
      </w:r>
    </w:p>
    <w:p>
      <w:pPr>
        <w:pStyle w:val="Heading1"/>
      </w:pPr>
      <w:r>
        <w:rPr>
          <w:rFonts w:ascii="Times New Roman" w:hAnsi="Times New Roman" w:eastAsia="Times New Roman"/>
          <w:b/>
          <w:i w:val="0"/>
          <w:color w:val="000000"/>
          <w:sz w:val="28"/>
        </w:rPr>
        <w:t>Appendix B — MessageVerifier.sol Smart Contract</w:t>
      </w:r>
    </w:p>
    <w:p>
      <w:pPr>
        <w:ind w:firstLine="720"/>
      </w:pPr>
      <w:r>
        <w:rPr>
          <w:rFonts w:ascii="Times New Roman" w:hAnsi="Times New Roman" w:eastAsia="Times New Roman"/>
          <w:b w:val="0"/>
          <w:i w:val="0"/>
          <w:color w:val="000000"/>
          <w:sz w:val="24"/>
        </w:rPr>
        <w:t>Contract Path: contract/contracts/MessageVerifier.sol. Compiled with Solidity 0.8.20 under the MIT license. Provides recordHash, verifyHash, verifyUser, and getUserRole methods.</w:t>
      </w:r>
    </w:p>
    <w:p>
      <w:pPr>
        <w:pStyle w:val="Heading1"/>
      </w:pPr>
      <w:r>
        <w:rPr>
          <w:rFonts w:ascii="Times New Roman" w:hAnsi="Times New Roman" w:eastAsia="Times New Roman"/>
          <w:b/>
          <w:i w:val="0"/>
          <w:color w:val="000000"/>
          <w:sz w:val="28"/>
        </w:rPr>
        <w:t>Appendix C — BB84 Simulation Module Summary</w:t>
      </w:r>
    </w:p>
    <w:p>
      <w:pPr>
        <w:ind w:firstLine="720"/>
      </w:pPr>
      <w:r>
        <w:rPr>
          <w:rFonts w:ascii="Times New Roman" w:hAnsi="Times New Roman" w:eastAsia="Times New Roman"/>
          <w:b w:val="0"/>
          <w:i w:val="0"/>
          <w:color w:val="000000"/>
          <w:sz w:val="24"/>
        </w:rPr>
        <w:t>Module Path: src/lib/bb84.ts. Software simulation utilizing window.crypto.getRandomValues for random basis selection, bit sifting, QBER computation, and 256-bit AES key distillation with an 11% error abort threshold.</w:t>
      </w:r>
    </w:p>
    <w:p>
      <w:pPr>
        <w:pStyle w:val="Heading1"/>
      </w:pPr>
      <w:r>
        <w:rPr>
          <w:rFonts w:ascii="Times New Roman" w:hAnsi="Times New Roman" w:eastAsia="Times New Roman"/>
          <w:b/>
          <w:i w:val="0"/>
          <w:color w:val="000000"/>
          <w:sz w:val="28"/>
        </w:rPr>
        <w:t>Appendix D — Walk-Through Scenario Notes</w:t>
      </w:r>
    </w:p>
    <w:p>
      <w:pPr>
        <w:ind w:firstLine="720"/>
      </w:pPr>
      <w:r>
        <w:rPr>
          <w:rFonts w:ascii="Times New Roman" w:hAnsi="Times New Roman" w:eastAsia="Times New Roman"/>
          <w:b w:val="0"/>
          <w:i w:val="0"/>
          <w:color w:val="000000"/>
          <w:sz w:val="24"/>
        </w:rPr>
        <w:t>Walk-through test notes confirmed that message payload hashes successfully committed to the Besu node when the Podman container was active, and gracefully alerted the interface when the ledger node was offline.</w:t>
      </w:r>
    </w:p>
    <w:p>
      <w:pPr>
        <w:pStyle w:val="Heading1"/>
      </w:pPr>
      <w:r>
        <w:rPr>
          <w:rFonts w:ascii="Times New Roman" w:hAnsi="Times New Roman" w:eastAsia="Times New Roman"/>
          <w:b/>
          <w:i w:val="0"/>
          <w:color w:val="000000"/>
          <w:sz w:val="28"/>
        </w:rPr>
        <w:t>Appendix E — Ten-Week Sprint Timeline</w:t>
      </w:r>
    </w:p>
    <w:tbl>
      <w:tblPr>
        <w:tblStyle w:val="TableGrid"/>
        <w:tblW w:type="auto" w:w="0"/>
        <w:tblLook w:firstColumn="1" w:firstRow="1" w:lastColumn="0" w:lastRow="0" w:noHBand="0" w:noVBand="1" w:val="04A0"/>
      </w:tblPr>
      <w:tblGrid>
        <w:gridCol w:w="3000"/>
        <w:gridCol w:w="3000"/>
        <w:gridCol w:w="3000"/>
      </w:tblGrid>
      <w:tr>
        <w:tc>
          <w:tcPr>
            <w:tcW w:type="dxa" w:w="3000"/>
          </w:tcPr>
          <w:p>
            <w:r/>
            <w:r>
              <w:rPr>
                <w:rFonts w:ascii="Times New Roman" w:hAnsi="Times New Roman" w:eastAsia="Times New Roman"/>
                <w:b/>
                <w:i w:val="0"/>
                <w:color w:val="000000"/>
                <w:sz w:val="20"/>
              </w:rPr>
              <w:t>Sprint Phase</w:t>
            </w:r>
          </w:p>
        </w:tc>
        <w:tc>
          <w:tcPr>
            <w:tcW w:type="dxa" w:w="3000"/>
          </w:tcPr>
          <w:p>
            <w:r/>
            <w:r>
              <w:rPr>
                <w:rFonts w:ascii="Times New Roman" w:hAnsi="Times New Roman" w:eastAsia="Times New Roman"/>
                <w:b/>
                <w:i w:val="0"/>
                <w:color w:val="000000"/>
                <w:sz w:val="20"/>
              </w:rPr>
              <w:t>Duration</w:t>
            </w:r>
          </w:p>
        </w:tc>
        <w:tc>
          <w:tcPr>
            <w:tcW w:type="dxa" w:w="3000"/>
          </w:tcPr>
          <w:p>
            <w:r/>
            <w:r>
              <w:rPr>
                <w:rFonts w:ascii="Times New Roman" w:hAnsi="Times New Roman" w:eastAsia="Times New Roman"/>
                <w:b/>
                <w:i w:val="0"/>
                <w:color w:val="000000"/>
                <w:sz w:val="20"/>
              </w:rPr>
              <w:t>Completion Status</w:t>
            </w:r>
          </w:p>
        </w:tc>
      </w:tr>
      <w:tr>
        <w:tc>
          <w:tcPr>
            <w:tcW w:type="dxa" w:w="3000"/>
          </w:tcPr>
          <w:p>
            <w:r/>
            <w:r>
              <w:rPr>
                <w:rFonts w:ascii="Times New Roman" w:hAnsi="Times New Roman" w:eastAsia="Times New Roman"/>
                <w:b w:val="0"/>
                <w:i w:val="0"/>
                <w:color w:val="000000"/>
                <w:sz w:val="20"/>
              </w:rPr>
              <w:t>UI Shell &amp; Routes</w:t>
            </w:r>
          </w:p>
        </w:tc>
        <w:tc>
          <w:tcPr>
            <w:tcW w:type="dxa" w:w="3000"/>
          </w:tcPr>
          <w:p>
            <w:r/>
            <w:r>
              <w:rPr>
                <w:rFonts w:ascii="Times New Roman" w:hAnsi="Times New Roman" w:eastAsia="Times New Roman"/>
                <w:b w:val="0"/>
                <w:i w:val="0"/>
                <w:color w:val="000000"/>
                <w:sz w:val="20"/>
              </w:rPr>
              <w:t>Weeks 1–2</w:t>
            </w:r>
          </w:p>
        </w:tc>
        <w:tc>
          <w:tcPr>
            <w:tcW w:type="dxa" w:w="3000"/>
          </w:tcPr>
          <w:p>
            <w:r/>
            <w:r>
              <w:rPr>
                <w:rFonts w:ascii="Times New Roman" w:hAnsi="Times New Roman" w:eastAsia="Times New Roman"/>
                <w:b w:val="0"/>
                <w:i w:val="0"/>
                <w:color w:val="000000"/>
                <w:sz w:val="20"/>
              </w:rPr>
              <w:t>Completed</w:t>
            </w:r>
          </w:p>
        </w:tc>
      </w:tr>
      <w:tr>
        <w:tc>
          <w:tcPr>
            <w:tcW w:type="dxa" w:w="3000"/>
          </w:tcPr>
          <w:p>
            <w:r/>
            <w:r>
              <w:rPr>
                <w:rFonts w:ascii="Times New Roman" w:hAnsi="Times New Roman" w:eastAsia="Times New Roman"/>
                <w:b w:val="0"/>
                <w:i w:val="0"/>
                <w:color w:val="000000"/>
                <w:sz w:val="20"/>
              </w:rPr>
              <w:t>Convex Backend &amp; Q&amp;A</w:t>
            </w:r>
          </w:p>
        </w:tc>
        <w:tc>
          <w:tcPr>
            <w:tcW w:type="dxa" w:w="3000"/>
          </w:tcPr>
          <w:p>
            <w:r/>
            <w:r>
              <w:rPr>
                <w:rFonts w:ascii="Times New Roman" w:hAnsi="Times New Roman" w:eastAsia="Times New Roman"/>
                <w:b w:val="0"/>
                <w:i w:val="0"/>
                <w:color w:val="000000"/>
                <w:sz w:val="20"/>
              </w:rPr>
              <w:t>Weeks 3–4</w:t>
            </w:r>
          </w:p>
        </w:tc>
        <w:tc>
          <w:tcPr>
            <w:tcW w:type="dxa" w:w="3000"/>
          </w:tcPr>
          <w:p>
            <w:r/>
            <w:r>
              <w:rPr>
                <w:rFonts w:ascii="Times New Roman" w:hAnsi="Times New Roman" w:eastAsia="Times New Roman"/>
                <w:b w:val="0"/>
                <w:i w:val="0"/>
                <w:color w:val="000000"/>
                <w:sz w:val="20"/>
              </w:rPr>
              <w:t>Completed</w:t>
            </w:r>
          </w:p>
        </w:tc>
      </w:tr>
      <w:tr>
        <w:tc>
          <w:tcPr>
            <w:tcW w:type="dxa" w:w="3000"/>
          </w:tcPr>
          <w:p>
            <w:r/>
            <w:r>
              <w:rPr>
                <w:rFonts w:ascii="Times New Roman" w:hAnsi="Times New Roman" w:eastAsia="Times New Roman"/>
                <w:b w:val="0"/>
                <w:i w:val="0"/>
                <w:color w:val="000000"/>
                <w:sz w:val="20"/>
              </w:rPr>
              <w:t>Crypto &amp; BB84 Engine</w:t>
            </w:r>
          </w:p>
        </w:tc>
        <w:tc>
          <w:tcPr>
            <w:tcW w:type="dxa" w:w="3000"/>
          </w:tcPr>
          <w:p>
            <w:r/>
            <w:r>
              <w:rPr>
                <w:rFonts w:ascii="Times New Roman" w:hAnsi="Times New Roman" w:eastAsia="Times New Roman"/>
                <w:b w:val="0"/>
                <w:i w:val="0"/>
                <w:color w:val="000000"/>
                <w:sz w:val="20"/>
              </w:rPr>
              <w:t>Weeks 5–6</w:t>
            </w:r>
          </w:p>
        </w:tc>
        <w:tc>
          <w:tcPr>
            <w:tcW w:type="dxa" w:w="3000"/>
          </w:tcPr>
          <w:p>
            <w:r/>
            <w:r>
              <w:rPr>
                <w:rFonts w:ascii="Times New Roman" w:hAnsi="Times New Roman" w:eastAsia="Times New Roman"/>
                <w:b w:val="0"/>
                <w:i w:val="0"/>
                <w:color w:val="000000"/>
                <w:sz w:val="20"/>
              </w:rPr>
              <w:t>Completed</w:t>
            </w:r>
          </w:p>
        </w:tc>
      </w:tr>
      <w:tr>
        <w:tc>
          <w:tcPr>
            <w:tcW w:type="dxa" w:w="3000"/>
          </w:tcPr>
          <w:p>
            <w:r/>
            <w:r>
              <w:rPr>
                <w:rFonts w:ascii="Times New Roman" w:hAnsi="Times New Roman" w:eastAsia="Times New Roman"/>
                <w:b w:val="0"/>
                <w:i w:val="0"/>
                <w:color w:val="000000"/>
                <w:sz w:val="20"/>
              </w:rPr>
              <w:t>Besu Smart Contract</w:t>
            </w:r>
          </w:p>
        </w:tc>
        <w:tc>
          <w:tcPr>
            <w:tcW w:type="dxa" w:w="3000"/>
          </w:tcPr>
          <w:p>
            <w:r/>
            <w:r>
              <w:rPr>
                <w:rFonts w:ascii="Times New Roman" w:hAnsi="Times New Roman" w:eastAsia="Times New Roman"/>
                <w:b w:val="0"/>
                <w:i w:val="0"/>
                <w:color w:val="000000"/>
                <w:sz w:val="20"/>
              </w:rPr>
              <w:t>Weeks 7–8</w:t>
            </w:r>
          </w:p>
        </w:tc>
        <w:tc>
          <w:tcPr>
            <w:tcW w:type="dxa" w:w="3000"/>
          </w:tcPr>
          <w:p>
            <w:r/>
            <w:r>
              <w:rPr>
                <w:rFonts w:ascii="Times New Roman" w:hAnsi="Times New Roman" w:eastAsia="Times New Roman"/>
                <w:b w:val="0"/>
                <w:i w:val="0"/>
                <w:color w:val="000000"/>
                <w:sz w:val="20"/>
              </w:rPr>
              <w:t>Completed</w:t>
            </w:r>
          </w:p>
        </w:tc>
      </w:tr>
      <w:tr>
        <w:tc>
          <w:tcPr>
            <w:tcW w:type="dxa" w:w="3000"/>
          </w:tcPr>
          <w:p>
            <w:r/>
            <w:r>
              <w:rPr>
                <w:rFonts w:ascii="Times New Roman" w:hAnsi="Times New Roman" w:eastAsia="Times New Roman"/>
                <w:b w:val="0"/>
                <w:i w:val="0"/>
                <w:color w:val="000000"/>
                <w:sz w:val="20"/>
              </w:rPr>
              <w:t>Verification &amp; Department Features</w:t>
            </w:r>
          </w:p>
        </w:tc>
        <w:tc>
          <w:tcPr>
            <w:tcW w:type="dxa" w:w="3000"/>
          </w:tcPr>
          <w:p>
            <w:r/>
            <w:r>
              <w:rPr>
                <w:rFonts w:ascii="Times New Roman" w:hAnsi="Times New Roman" w:eastAsia="Times New Roman"/>
                <w:b w:val="0"/>
                <w:i w:val="0"/>
                <w:color w:val="000000"/>
                <w:sz w:val="20"/>
              </w:rPr>
              <w:t>Weeks 9–10</w:t>
            </w:r>
          </w:p>
        </w:tc>
        <w:tc>
          <w:tcPr>
            <w:tcW w:type="dxa" w:w="3000"/>
          </w:tcPr>
          <w:p>
            <w:r/>
            <w:r>
              <w:rPr>
                <w:rFonts w:ascii="Times New Roman" w:hAnsi="Times New Roman" w:eastAsia="Times New Roman"/>
                <w:b w:val="0"/>
                <w:i w:val="0"/>
                <w:color w:val="000000"/>
                <w:sz w:val="20"/>
              </w:rPr>
              <w:t>Completed</w:t>
            </w:r>
          </w:p>
        </w:tc>
      </w:tr>
    </w:tbl>
    <w:p/>
    <w:sectPr w:rsidR="00FC693F" w:rsidRPr="0006063C" w:rsidSect="00034616">
      <w:pgSz w:w="12240" w:h="15840"/>
      <w:pgMar w:top="1440" w:right="144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6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