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color w:val="003366"/>
          <w:sz w:val="36"/>
        </w:rPr>
        <w:t>CHAPTER 2</w:t>
      </w:r>
    </w:p>
    <w:p>
      <w:pPr>
        <w:spacing w:before="0" w:after="240"/>
        <w:jc w:val="center"/>
      </w:pPr>
      <w:r>
        <w:rPr>
          <w:rFonts w:ascii="Times New Roman" w:hAnsi="Times New Roman"/>
          <w:b/>
          <w:i w:val="0"/>
          <w:color w:val="1F497D"/>
          <w:sz w:val="32"/>
        </w:rPr>
        <w:t>LITERATURE REVIEW</w:t>
      </w:r>
    </w:p>
    <w:p>
      <w:pPr>
        <w:spacing w:before="40" w:after="40"/>
        <w:pBdr>
          <w:bottom w:val="single" w:sz="6" w:space="1" w:color="1F497D"/>
        </w:pBdr>
      </w:pPr>
    </w:p>
    <w:p>
      <w:pPr>
        <w:spacing w:before="0" w:after="240"/>
        <w:jc w:val="left"/>
      </w:pPr>
    </w:p>
    <w:p>
      <w:pPr>
        <w:spacing w:before="360" w:after="120"/>
        <w:jc w:val="left"/>
      </w:pPr>
      <w:r>
        <w:rPr>
          <w:rFonts w:ascii="Times New Roman" w:hAnsi="Times New Roman"/>
          <w:b/>
          <w:i w:val="0"/>
          <w:color w:val="003366"/>
          <w:sz w:val="32"/>
        </w:rPr>
        <w:t>2.1  Conceptual Review</w:t>
      </w:r>
    </w:p>
    <w:p>
      <w:pPr>
        <w:spacing w:before="0" w:after="160"/>
        <w:jc w:val="both"/>
      </w:pPr>
      <w:r>
        <w:rPr>
          <w:rFonts w:ascii="Times New Roman" w:hAnsi="Times New Roman"/>
          <w:b w:val="0"/>
          <w:i w:val="0"/>
          <w:sz w:val="24"/>
        </w:rPr>
        <w:t>To establish a rigorous theoretical foundation for QChat, this section reviews the core concepts that underpin modern software communication, cryptography, blockchain verification, and quantum-inspired key exchange protocols.</w:t>
      </w:r>
    </w:p>
    <w:p>
      <w:pPr>
        <w:spacing w:before="240" w:after="80"/>
        <w:jc w:val="left"/>
      </w:pPr>
      <w:r>
        <w:rPr>
          <w:rFonts w:ascii="Times New Roman" w:hAnsi="Times New Roman"/>
          <w:b/>
          <w:i w:val="0"/>
          <w:color w:val="1F497D"/>
          <w:sz w:val="28"/>
        </w:rPr>
        <w:t>2.1.1  Real-Time Communication Architectures</w:t>
      </w:r>
    </w:p>
    <w:p>
      <w:pPr>
        <w:spacing w:before="0" w:after="160"/>
        <w:jc w:val="both"/>
      </w:pPr>
      <w:r>
        <w:rPr>
          <w:rFonts w:ascii="Times New Roman" w:hAnsi="Times New Roman"/>
          <w:b w:val="0"/>
          <w:i w:val="0"/>
          <w:sz w:val="24"/>
        </w:rPr>
        <w:t>Real-time web applications require protocols capable of delivering bi-directional data flow with minimal latency. Traditional HTTP architectures rely on client-initiated request-response cycles, which introduce significant latency overheads when applied to instant messaging. To simulate real-time interactions, early web platforms employed short-polling or long-polling mechanisms. In short-polling, the client periodically sends HTTP requests to the server at fixed intervals, resulting in high network bandwidth consumption and redundant server processing when no new data is available. Long-polling improves upon this by keeping the request open until the server has new content to return; however, it still suffers from connection setup overheads and resource exhaustion under heavy traffic.</w:t>
      </w:r>
    </w:p>
    <w:p>
      <w:pPr>
        <w:spacing w:before="0" w:after="160"/>
        <w:jc w:val="both"/>
      </w:pPr>
      <w:r>
        <w:rPr>
          <w:rFonts w:ascii="Times New Roman" w:hAnsi="Times New Roman"/>
          <w:b w:val="0"/>
          <w:i w:val="0"/>
          <w:sz w:val="24"/>
        </w:rPr>
        <w:t>Modern real-time systems utilize persistent WebSocket connections or serverless event-driven data streams. WebSockets establish a single, full-duplex TCP connection over which both the client and server can push messages instantly. In cloud-native backend environments such as Convex, reactive database subscriptions automatically push data updates to connected clients whenever a database mutation occurs. This event-driven model removes the need for manual connection management while maintaining instant synchronization across user interfaces.</w:t>
      </w:r>
    </w:p>
    <w:p>
      <w:pPr>
        <w:spacing w:before="240" w:after="80"/>
        <w:jc w:val="left"/>
      </w:pPr>
      <w:r>
        <w:rPr>
          <w:rFonts w:ascii="Times New Roman" w:hAnsi="Times New Roman"/>
          <w:b/>
          <w:i w:val="0"/>
          <w:color w:val="1F497D"/>
          <w:sz w:val="28"/>
        </w:rPr>
        <w:t>2.1.2  Symmetric vs. Asymmetric Data Protection Mechanisms</w:t>
      </w:r>
    </w:p>
    <w:p>
      <w:pPr>
        <w:spacing w:before="0" w:after="160"/>
        <w:jc w:val="both"/>
      </w:pPr>
      <w:r>
        <w:rPr>
          <w:rFonts w:ascii="Times New Roman" w:hAnsi="Times New Roman"/>
          <w:b w:val="0"/>
          <w:i w:val="0"/>
          <w:sz w:val="24"/>
        </w:rPr>
        <w:t>Data protection mechanisms in modern software engineering fall into two principal paradigms: symmetric key protection and asymmetric key pair systems.</w:t>
      </w:r>
    </w:p>
    <w:p>
      <w:pPr>
        <w:spacing w:before="0" w:after="160"/>
        <w:jc w:val="both"/>
      </w:pPr>
      <w:r>
        <w:rPr>
          <w:rFonts w:ascii="Times New Roman" w:hAnsi="Times New Roman"/>
          <w:b w:val="0"/>
          <w:i w:val="0"/>
          <w:sz w:val="24"/>
        </w:rPr>
        <w:t>Symmetric key mechanisms utilize a single shared key to perform both the transformation of plain text into protected data and the reverse restoration process. Because symmetric algorithms operate through efficient bitwise transformations, they are computationally fast and well-suited for protecting bulk data, such as long chat messages and large document files. However, symmetric protection presents a key distribution challenge: two communicating parties must somehow share the symmetric key in advance without allowing unauthorized parties to intercept it.</w:t>
      </w:r>
    </w:p>
    <w:p>
      <w:pPr>
        <w:spacing w:before="0" w:after="160"/>
        <w:jc w:val="both"/>
      </w:pPr>
      <w:r>
        <w:rPr>
          <w:rFonts w:ascii="Times New Roman" w:hAnsi="Times New Roman"/>
          <w:b w:val="0"/>
          <w:i w:val="0"/>
          <w:sz w:val="24"/>
        </w:rPr>
        <w:t>Asymmetric key pair systems resolve the key distribution problem by employing mathematical key pairs: a public key that can be freely shared across the network and a private key that remains exclusively on the user's local device. Data protected with a user's public key can only be restored using that user's corresponding private key. However, asymmetric algorithms are computationally intensive and inefficient for large data payloads. Consequently, hybrid protection architectures combine both approaches: a fast symmetric session key is generated to protect message content, while asymmetric key pairs (or quantum-inspired key exchange protocols) are used exclusively to exchange the symmetric key.</w:t>
      </w:r>
    </w:p>
    <w:p>
      <w:pPr>
        <w:spacing w:before="240" w:after="80"/>
        <w:jc w:val="left"/>
      </w:pPr>
      <w:r>
        <w:rPr>
          <w:rFonts w:ascii="Times New Roman" w:hAnsi="Times New Roman"/>
          <w:b/>
          <w:i w:val="0"/>
          <w:color w:val="1F497D"/>
          <w:sz w:val="28"/>
        </w:rPr>
        <w:t>2.1.3  Distributed Ledgers and Smart Contracts in Institutional Auditability</w:t>
      </w:r>
    </w:p>
    <w:p>
      <w:pPr>
        <w:spacing w:before="0" w:after="160"/>
        <w:jc w:val="both"/>
      </w:pPr>
      <w:r>
        <w:rPr>
          <w:rFonts w:ascii="Times New Roman" w:hAnsi="Times New Roman"/>
          <w:b w:val="0"/>
          <w:i w:val="0"/>
          <w:sz w:val="24"/>
        </w:rPr>
        <w:t>A distributed ledger is a decentralized database maintained across multiple nodes without a single central administrator. In a blockchain, transactions are grouped into sequential blocks linked together via cryptographic hash references, forming a chronological chain. Once recorded, data within a block cannot be modified retroactively without invalidating all subsequent blocks, providing a tamper-evident audit trail.</w:t>
      </w:r>
    </w:p>
    <w:p>
      <w:pPr>
        <w:spacing w:before="0" w:after="160"/>
        <w:jc w:val="both"/>
      </w:pPr>
      <w:r>
        <w:rPr>
          <w:rFonts w:ascii="Times New Roman" w:hAnsi="Times New Roman"/>
          <w:b w:val="0"/>
          <w:i w:val="0"/>
          <w:sz w:val="24"/>
        </w:rPr>
        <w:t>Smart contracts are self-executing software programs deployed directly onto a blockchain network. They execute predefined logic automatically when triggered by network transactions. In institutional settings, smart contracts can record digital fingerprints of documents or messages and enforce role-based permissions without relying on central database administrators. While public blockchains (such as Ethereum) require variable gas fees and exhibit high transaction latency, permissioned enterprise blockchains (such as Hyperledger Besu) operate under specialized consensus rules (such as QBFT) that eliminate transaction fees and provide predictable, local block finality.</w:t>
      </w:r>
    </w:p>
    <w:p>
      <w:pPr>
        <w:spacing w:before="240" w:after="80"/>
        <w:jc w:val="left"/>
      </w:pPr>
      <w:r>
        <w:rPr>
          <w:rFonts w:ascii="Times New Roman" w:hAnsi="Times New Roman"/>
          <w:b/>
          <w:i w:val="0"/>
          <w:color w:val="1F497D"/>
          <w:sz w:val="28"/>
        </w:rPr>
        <w:t>2.1.4  Quantum Key Distribution and the BB84 Protocol</w:t>
      </w:r>
    </w:p>
    <w:p>
      <w:pPr>
        <w:spacing w:before="0" w:after="160"/>
        <w:jc w:val="both"/>
      </w:pPr>
      <w:r>
        <w:rPr>
          <w:rFonts w:ascii="Times New Roman" w:hAnsi="Times New Roman"/>
          <w:b w:val="0"/>
          <w:i w:val="0"/>
          <w:sz w:val="24"/>
        </w:rPr>
        <w:t>Quantum Key Distribution (QKD) represents a paradigm shift from mathematical cryptography to physics-based data protection. Traditional key distribution methods rely on computational hardness assumptions that are vulnerable to future quantum computing algorithms. QKD leverages the fundamental principles of quantum mechanics to enable two parties — conventionally named Alice and Bob — to produce a shared, random secret key.</w:t>
      </w:r>
    </w:p>
    <w:p>
      <w:pPr>
        <w:spacing w:before="0" w:after="160"/>
        <w:jc w:val="both"/>
      </w:pPr>
      <w:r>
        <w:rPr>
          <w:rFonts w:ascii="Times New Roman" w:hAnsi="Times New Roman"/>
          <w:b w:val="0"/>
          <w:i w:val="0"/>
          <w:sz w:val="24"/>
        </w:rPr>
        <w:t>The BB84 protocol, formulated by Bennett and Brassard in 1984, operates through photon state transmissions: Alice prepares photons in randomly selected quantum bases (such as rectilinear or diagonal orientations) representing binary bits. Bob measures the incoming photons using his own randomly chosen bases. During the sifting phase, Alice and Bob communicate over a public channel to compare their basis choices, retaining only those bits where their bases matched. If an eavesdropper attempts to measure the quantum transmission, the physical measurement alters the quantum states, introducing detectable errors measured as the Quantum Bit Error Rate (QBER). If QBER remains below a defined threshold, the sifted bits are accepted to form the symmetric session key.</w:t>
      </w:r>
    </w:p>
    <w:p>
      <w:pPr>
        <w:spacing w:before="240" w:after="80"/>
        <w:jc w:val="left"/>
      </w:pPr>
      <w:r>
        <w:rPr>
          <w:rFonts w:ascii="Times New Roman" w:hAnsi="Times New Roman"/>
          <w:b/>
          <w:i w:val="0"/>
          <w:color w:val="1F497D"/>
          <w:sz w:val="28"/>
        </w:rPr>
        <w:t>2.1.5  Role-Based Access Control and Identity Verification</w:t>
      </w:r>
    </w:p>
    <w:p>
      <w:pPr>
        <w:spacing w:before="0" w:after="160"/>
        <w:jc w:val="both"/>
      </w:pPr>
      <w:r>
        <w:rPr>
          <w:rFonts w:ascii="Times New Roman" w:hAnsi="Times New Roman"/>
          <w:b w:val="0"/>
          <w:i w:val="0"/>
          <w:sz w:val="24"/>
        </w:rPr>
        <w:t>Role-Based Access Control (RBAC) is an authorization mechanism that restricts system access based on user roles within an organization. In higher education software, RBAC enforces distinct permissions for students, lecturers, and system administrators. Identity verification workflows ensure that users submit institutional credential evidence before receiving verified status, preventing unauthorized identity spoofing across sensitive academic communications.</w:t>
      </w:r>
    </w:p>
    <w:p>
      <w:pPr>
        <w:spacing w:before="360" w:after="120"/>
        <w:jc w:val="left"/>
      </w:pPr>
      <w:r>
        <w:rPr>
          <w:rFonts w:ascii="Times New Roman" w:hAnsi="Times New Roman"/>
          <w:b/>
          <w:i w:val="0"/>
          <w:color w:val="003366"/>
          <w:sz w:val="32"/>
        </w:rPr>
        <w:t>2.2  Theoretical Framework</w:t>
      </w:r>
    </w:p>
    <w:p>
      <w:pPr>
        <w:spacing w:before="0" w:after="160"/>
        <w:jc w:val="both"/>
      </w:pPr>
      <w:r>
        <w:rPr>
          <w:rFonts w:ascii="Times New Roman" w:hAnsi="Times New Roman"/>
          <w:b w:val="0"/>
          <w:i w:val="0"/>
          <w:sz w:val="24"/>
        </w:rPr>
        <w:t>The engineering of QChat is supported by four core theoretical frameworks: Client-Side Data Protection Theory, Public-Key Infrastructure Theory, Blockchain Immutability and Fingerprinting Theory, and Quantum Physics Principles in Cryptography.</w:t>
      </w:r>
    </w:p>
    <w:p>
      <w:pPr>
        <w:spacing w:before="240" w:after="80"/>
        <w:jc w:val="left"/>
      </w:pPr>
      <w:r>
        <w:rPr>
          <w:rFonts w:ascii="Times New Roman" w:hAnsi="Times New Roman"/>
          <w:b/>
          <w:i w:val="0"/>
          <w:color w:val="1F497D"/>
          <w:sz w:val="28"/>
        </w:rPr>
        <w:t>2.2.1  Client-Side Data Protection Theory (Signal Protocol Inspiration)</w:t>
      </w:r>
    </w:p>
    <w:p>
      <w:pPr>
        <w:spacing w:before="0" w:after="160"/>
        <w:jc w:val="both"/>
      </w:pPr>
      <w:r>
        <w:rPr>
          <w:rFonts w:ascii="Times New Roman" w:hAnsi="Times New Roman"/>
          <w:b w:val="0"/>
          <w:i w:val="0"/>
          <w:sz w:val="24"/>
        </w:rPr>
        <w:t>In traditional client-server applications, data is transmitted in plain text to the server, which protects it only during storage or in transit. This leaves data vulnerable to insider threats or server compromise. Client-side data protection theory dictates that data must be protected on the sender's device before transmission and remain protected until it reaches the intended recipient's device. Inspired by the Signal Protocol, QChat enforces client-side session key derivation so that intermediate servers acting as message relays store only blob payloads without possessing key material.</w:t>
      </w:r>
    </w:p>
    <w:p>
      <w:pPr>
        <w:spacing w:before="240" w:after="80"/>
        <w:jc w:val="left"/>
      </w:pPr>
      <w:r>
        <w:rPr>
          <w:rFonts w:ascii="Times New Roman" w:hAnsi="Times New Roman"/>
          <w:b/>
          <w:i w:val="0"/>
          <w:color w:val="1F497D"/>
          <w:sz w:val="28"/>
        </w:rPr>
        <w:t>2.2.2  Public-Key Infrastructure (PKI) Theory</w:t>
      </w:r>
    </w:p>
    <w:p>
      <w:pPr>
        <w:spacing w:before="0" w:after="160"/>
        <w:jc w:val="both"/>
      </w:pPr>
      <w:r>
        <w:rPr>
          <w:rFonts w:ascii="Times New Roman" w:hAnsi="Times New Roman"/>
          <w:b w:val="0"/>
          <w:i w:val="0"/>
          <w:sz w:val="24"/>
        </w:rPr>
        <w:t>PKI theory governs the creation, distribution, and management of asymmetric public key certificates. In QChat, PKI principles are adapted for browser environments: upon user registration, the user's browser generates a public-private key pair. The public key is published to the Convex database, enabling peer users to retrieve it and verify identity signatures, while the private key is held non-extractably within local browser memory.</w:t>
      </w:r>
    </w:p>
    <w:p>
      <w:pPr>
        <w:spacing w:before="240" w:after="80"/>
        <w:jc w:val="left"/>
      </w:pPr>
      <w:r>
        <w:rPr>
          <w:rFonts w:ascii="Times New Roman" w:hAnsi="Times New Roman"/>
          <w:b/>
          <w:i w:val="0"/>
          <w:color w:val="1F497D"/>
          <w:sz w:val="28"/>
        </w:rPr>
        <w:t>2.2.3  Blockchain Immutability and Hash Fingerprinting Theory</w:t>
      </w:r>
    </w:p>
    <w:p>
      <w:pPr>
        <w:spacing w:before="0" w:after="160"/>
        <w:jc w:val="both"/>
      </w:pPr>
      <w:r>
        <w:rPr>
          <w:rFonts w:ascii="Times New Roman" w:hAnsi="Times New Roman"/>
          <w:b w:val="0"/>
          <w:i w:val="0"/>
          <w:sz w:val="24"/>
        </w:rPr>
        <w:t>The theoretical foundation for blockchain verification rests on cryptographic one-way hash functions. A hash function maps arbitrary data into a fixed-length hex string (a digital fingerprint). Hash functions possess two critical properties: pre-image resistance (it is computationally impossible to reverse the hash to obtain the original message) and collision resistance (no two distinct inputs produce the same hash output). By storing the digital fingerprint of a message on a permissioned Hyperledger Besu ledger via smart contract, QChat creates an undeniable proof of content state. If a message is subsequently altered in the database, re-computing its hash yields a mismatch against the on-chain record, exposing the modification.</w:t>
      </w:r>
    </w:p>
    <w:p>
      <w:pPr>
        <w:spacing w:before="240" w:after="80"/>
        <w:jc w:val="left"/>
      </w:pPr>
      <w:r>
        <w:rPr>
          <w:rFonts w:ascii="Times New Roman" w:hAnsi="Times New Roman"/>
          <w:b/>
          <w:i w:val="0"/>
          <w:color w:val="1F497D"/>
          <w:sz w:val="28"/>
        </w:rPr>
        <w:t>2.2.4  Quantum Physics Principles in Cryptography</w:t>
      </w:r>
    </w:p>
    <w:p>
      <w:pPr>
        <w:spacing w:before="0" w:after="160"/>
        <w:jc w:val="both"/>
      </w:pPr>
      <w:r>
        <w:rPr>
          <w:rFonts w:ascii="Times New Roman" w:hAnsi="Times New Roman"/>
          <w:b w:val="0"/>
          <w:i w:val="0"/>
          <w:sz w:val="24"/>
        </w:rPr>
        <w:t>The theoretical foundation of the BB84 simulation relies on two fundamental principles of quantum mechanics:</w:t>
      </w:r>
    </w:p>
    <w:p>
      <w:pPr>
        <w:pStyle w:val="ListBullet"/>
        <w:spacing w:after="80"/>
        <w:ind w:left="360"/>
      </w:pPr>
      <w:r>
        <w:rPr>
          <w:rFonts w:ascii="Times New Roman" w:hAnsi="Times New Roman"/>
          <w:b w:val="0"/>
          <w:i w:val="0"/>
          <w:sz w:val="24"/>
        </w:rPr>
        <w:t>Heisenberg Uncertainty Principle: Measuring a quantum system inevitably disturbs its state. In QKD, an eavesdropper measuring a photon state introduces randomized perturbations when choosing an incorrect basis.</w:t>
      </w:r>
    </w:p>
    <w:p>
      <w:pPr>
        <w:pStyle w:val="ListBullet"/>
        <w:spacing w:after="80"/>
        <w:ind w:left="360"/>
      </w:pPr>
      <w:r>
        <w:rPr>
          <w:rFonts w:ascii="Times New Roman" w:hAnsi="Times New Roman"/>
          <w:b w:val="0"/>
          <w:i w:val="0"/>
          <w:sz w:val="24"/>
        </w:rPr>
        <w:t>No-Cloning Theorem: It is physically impossible to create an identical copy of an unknown quantum state. This prevents an eavesdropper from intercepting, copying, and retransmitting photons without detection.</w:t>
      </w:r>
    </w:p>
    <w:p>
      <w:pPr>
        <w:spacing w:before="0" w:after="160"/>
        <w:jc w:val="both"/>
      </w:pPr>
      <w:r>
        <w:rPr>
          <w:rFonts w:ascii="Times New Roman" w:hAnsi="Times New Roman"/>
          <w:b w:val="0"/>
          <w:i w:val="0"/>
          <w:sz w:val="24"/>
        </w:rPr>
        <w:t>These physical laws guarantee that eavesdropping strictly increases the Quantum Bit Error Rate (QBER). In QChat's simulation module, the sifting process computes QBER; a rate above 11% triggers an automatic session abort, demonstrating quantum-resilient session key agreement.</w:t>
      </w:r>
    </w:p>
    <w:p>
      <w:pPr>
        <w:spacing w:before="240" w:after="80"/>
        <w:jc w:val="left"/>
      </w:pPr>
      <w:r>
        <w:rPr>
          <w:rFonts w:ascii="Times New Roman" w:hAnsi="Times New Roman"/>
          <w:b/>
          <w:i w:val="0"/>
          <w:color w:val="1F497D"/>
          <w:sz w:val="28"/>
        </w:rPr>
        <w:t>2.2.5  Hybrid Web2/Web3 Architectural Balance Theory</w:t>
      </w:r>
    </w:p>
    <w:p>
      <w:pPr>
        <w:spacing w:before="0" w:after="160"/>
        <w:jc w:val="both"/>
      </w:pPr>
      <w:r>
        <w:rPr>
          <w:rFonts w:ascii="Times New Roman" w:hAnsi="Times New Roman"/>
          <w:b w:val="0"/>
          <w:i w:val="0"/>
          <w:sz w:val="24"/>
        </w:rPr>
        <w:t>System performance theory emphasizes matching technology characteristics to workload requirements. Pure Web3 architectures fail to meet real-time user expectations due to block confirmation latency. Hybrid theory proposes a division of responsibility: Web2 serverless platforms manage high-volume, low-latency data interactions, while Web3 permissioned ledgers serve strictly as immutable audit layers for high-value security checkpoints. QChat applies this balance to deliver instant UI responsiveness alongside blockchain auditability.</w:t>
      </w:r>
    </w:p>
    <w:p>
      <w:pPr>
        <w:spacing w:before="360" w:after="120"/>
        <w:jc w:val="left"/>
      </w:pPr>
      <w:r>
        <w:rPr>
          <w:rFonts w:ascii="Times New Roman" w:hAnsi="Times New Roman"/>
          <w:b/>
          <w:i w:val="0"/>
          <w:color w:val="003366"/>
          <w:sz w:val="32"/>
        </w:rPr>
        <w:t>2.3  Review of Related Work</w:t>
      </w:r>
    </w:p>
    <w:p>
      <w:pPr>
        <w:spacing w:before="0" w:after="160"/>
        <w:jc w:val="both"/>
      </w:pPr>
      <w:r>
        <w:rPr>
          <w:rFonts w:ascii="Times New Roman" w:hAnsi="Times New Roman"/>
          <w:b w:val="0"/>
          <w:i w:val="0"/>
          <w:sz w:val="24"/>
        </w:rPr>
        <w:t>To contextualize QChat's technical architecture, a comparative review of existing messaging platforms and institutional software was conducted. The table below presents a comparative analysis across key architectural criteria: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728"/>
            <w:vAlign w:val="center"/>
            <w:shd w:val="clear" w:color="auto" w:fill="1F497D"/>
          </w:tcPr>
          <w:p>
            <w:pPr>
              <w:jc w:val="center"/>
            </w:pPr>
            <w:r>
              <w:rPr>
                <w:rFonts w:ascii="Times New Roman" w:hAnsi="Times New Roman"/>
                <w:b/>
                <w:i w:val="0"/>
                <w:color w:val="FFFFFF"/>
                <w:sz w:val="20"/>
              </w:rPr>
              <w:t>Platform / System</w:t>
            </w:r>
          </w:p>
        </w:tc>
        <w:tc>
          <w:tcPr>
            <w:tcW w:type="dxa" w:w="1584"/>
            <w:vAlign w:val="center"/>
            <w:shd w:val="clear" w:color="auto" w:fill="1F497D"/>
          </w:tcPr>
          <w:p>
            <w:pPr>
              <w:jc w:val="center"/>
            </w:pPr>
            <w:r>
              <w:rPr>
                <w:rFonts w:ascii="Times New Roman" w:hAnsi="Times New Roman"/>
                <w:b/>
                <w:i w:val="0"/>
                <w:color w:val="FFFFFF"/>
                <w:sz w:val="20"/>
              </w:rPr>
              <w:t>Real-Time Chat &amp; File Sharing</w:t>
            </w:r>
          </w:p>
        </w:tc>
        <w:tc>
          <w:tcPr>
            <w:tcW w:type="dxa" w:w="1584"/>
            <w:vAlign w:val="center"/>
            <w:shd w:val="clear" w:color="auto" w:fill="1F497D"/>
          </w:tcPr>
          <w:p>
            <w:pPr>
              <w:jc w:val="center"/>
            </w:pPr>
            <w:r>
              <w:rPr>
                <w:rFonts w:ascii="Times New Roman" w:hAnsi="Times New Roman"/>
                <w:b/>
                <w:i w:val="0"/>
                <w:color w:val="FFFFFF"/>
                <w:sz w:val="20"/>
              </w:rPr>
              <w:t>Client-Side Data Protection</w:t>
            </w:r>
          </w:p>
        </w:tc>
        <w:tc>
          <w:tcPr>
            <w:tcW w:type="dxa" w:w="1584"/>
            <w:vAlign w:val="center"/>
            <w:shd w:val="clear" w:color="auto" w:fill="1F497D"/>
          </w:tcPr>
          <w:p>
            <w:pPr>
              <w:jc w:val="center"/>
            </w:pPr>
            <w:r>
              <w:rPr>
                <w:rFonts w:ascii="Times New Roman" w:hAnsi="Times New Roman"/>
                <w:b/>
                <w:i w:val="0"/>
                <w:color w:val="FFFFFF"/>
                <w:sz w:val="20"/>
              </w:rPr>
              <w:t>Blockchain Audit Log</w:t>
            </w:r>
          </w:p>
        </w:tc>
        <w:tc>
          <w:tcPr>
            <w:tcW w:type="dxa" w:w="1440"/>
            <w:vAlign w:val="center"/>
            <w:shd w:val="clear" w:color="auto" w:fill="1F497D"/>
          </w:tcPr>
          <w:p>
            <w:pPr>
              <w:jc w:val="center"/>
            </w:pPr>
            <w:r>
              <w:rPr>
                <w:rFonts w:ascii="Times New Roman" w:hAnsi="Times New Roman"/>
                <w:b/>
                <w:i w:val="0"/>
                <w:color w:val="FFFFFF"/>
                <w:sz w:val="20"/>
              </w:rPr>
              <w:t>Quantum Key Simulation</w:t>
            </w:r>
          </w:p>
        </w:tc>
        <w:tc>
          <w:tcPr>
            <w:tcW w:type="dxa" w:w="1440"/>
            <w:vAlign w:val="center"/>
            <w:shd w:val="clear" w:color="auto" w:fill="1F497D"/>
          </w:tcPr>
          <w:p>
            <w:pPr>
              <w:jc w:val="center"/>
            </w:pPr>
            <w:r>
              <w:rPr>
                <w:rFonts w:ascii="Times New Roman" w:hAnsi="Times New Roman"/>
                <w:b/>
                <w:i w:val="0"/>
                <w:color w:val="FFFFFF"/>
                <w:sz w:val="20"/>
              </w:rPr>
              <w:t>Target Environment</w:t>
            </w:r>
          </w:p>
        </w:tc>
      </w:tr>
      <w:tr>
        <w:tc>
          <w:tcPr>
            <w:tcW w:type="dxa" w:w="1728"/>
            <w:vAlign w:val="center"/>
            <w:shd w:val="clear" w:color="auto" w:fill="F2F6FC"/>
          </w:tcPr>
          <w:p>
            <w:pPr>
              <w:jc w:val="left"/>
            </w:pPr>
            <w:r>
              <w:rPr>
                <w:rFonts w:ascii="Times New Roman" w:hAnsi="Times New Roman"/>
                <w:b w:val="0"/>
                <w:i w:val="0"/>
                <w:sz w:val="20"/>
              </w:rPr>
              <w:t>WhatsApp / Signal</w:t>
            </w:r>
          </w:p>
        </w:tc>
        <w:tc>
          <w:tcPr>
            <w:tcW w:type="dxa" w:w="1584"/>
            <w:vAlign w:val="center"/>
            <w:shd w:val="clear" w:color="auto" w:fill="F2F6FC"/>
          </w:tcPr>
          <w:p>
            <w:pPr>
              <w:jc w:val="left"/>
            </w:pPr>
            <w:r>
              <w:rPr>
                <w:rFonts w:ascii="Times New Roman" w:hAnsi="Times New Roman"/>
                <w:b w:val="0"/>
                <w:i w:val="0"/>
                <w:sz w:val="20"/>
              </w:rPr>
              <w:t>Yes (Global cloud infrastructure)</w:t>
            </w:r>
          </w:p>
        </w:tc>
        <w:tc>
          <w:tcPr>
            <w:tcW w:type="dxa" w:w="1584"/>
            <w:vAlign w:val="center"/>
            <w:shd w:val="clear" w:color="auto" w:fill="F2F6FC"/>
          </w:tcPr>
          <w:p>
            <w:pPr>
              <w:jc w:val="left"/>
            </w:pPr>
            <w:r>
              <w:rPr>
                <w:rFonts w:ascii="Times New Roman" w:hAnsi="Times New Roman"/>
                <w:b w:val="0"/>
                <w:i w:val="0"/>
                <w:sz w:val="20"/>
              </w:rPr>
              <w:t>Yes (Signal Protocol / Client-side keys)</w:t>
            </w:r>
          </w:p>
        </w:tc>
        <w:tc>
          <w:tcPr>
            <w:tcW w:type="dxa" w:w="1584"/>
            <w:vAlign w:val="center"/>
            <w:shd w:val="clear" w:color="auto" w:fill="F2F6FC"/>
          </w:tcPr>
          <w:p>
            <w:pPr>
              <w:jc w:val="left"/>
            </w:pPr>
            <w:r>
              <w:rPr>
                <w:rFonts w:ascii="Times New Roman" w:hAnsi="Times New Roman"/>
                <w:b w:val="0"/>
                <w:i w:val="0"/>
                <w:sz w:val="20"/>
              </w:rPr>
              <w:t>No (Centralized log management)</w:t>
            </w:r>
          </w:p>
        </w:tc>
        <w:tc>
          <w:tcPr>
            <w:tcW w:type="dxa" w:w="1440"/>
            <w:vAlign w:val="center"/>
            <w:shd w:val="clear" w:color="auto" w:fill="F2F6FC"/>
          </w:tcPr>
          <w:p>
            <w:pPr>
              <w:jc w:val="left"/>
            </w:pPr>
            <w:r>
              <w:rPr>
                <w:rFonts w:ascii="Times New Roman" w:hAnsi="Times New Roman"/>
                <w:b w:val="0"/>
                <w:i w:val="0"/>
                <w:sz w:val="20"/>
              </w:rPr>
              <w:t>No (Classical key exchange)</w:t>
            </w:r>
          </w:p>
        </w:tc>
        <w:tc>
          <w:tcPr>
            <w:tcW w:type="dxa" w:w="1440"/>
            <w:vAlign w:val="center"/>
            <w:shd w:val="clear" w:color="auto" w:fill="F2F6FC"/>
          </w:tcPr>
          <w:p>
            <w:pPr>
              <w:jc w:val="left"/>
            </w:pPr>
            <w:r>
              <w:rPr>
                <w:rFonts w:ascii="Times New Roman" w:hAnsi="Times New Roman"/>
                <w:b w:val="0"/>
                <w:i w:val="0"/>
                <w:sz w:val="20"/>
              </w:rPr>
              <w:t>General consumer mobile messaging</w:t>
            </w:r>
          </w:p>
        </w:tc>
      </w:tr>
      <w:tr>
        <w:tc>
          <w:tcPr>
            <w:tcW w:type="dxa" w:w="1728"/>
            <w:vAlign w:val="center"/>
            <w:shd w:val="clear" w:color="auto" w:fill="FFFFFF"/>
          </w:tcPr>
          <w:p>
            <w:pPr>
              <w:jc w:val="left"/>
            </w:pPr>
            <w:r>
              <w:rPr>
                <w:rFonts w:ascii="Times New Roman" w:hAnsi="Times New Roman"/>
                <w:b w:val="0"/>
                <w:i w:val="0"/>
                <w:sz w:val="20"/>
              </w:rPr>
              <w:t>Microsoft Teams / Slack</w:t>
            </w:r>
          </w:p>
        </w:tc>
        <w:tc>
          <w:tcPr>
            <w:tcW w:type="dxa" w:w="1584"/>
            <w:vAlign w:val="center"/>
            <w:shd w:val="clear" w:color="auto" w:fill="FFFFFF"/>
          </w:tcPr>
          <w:p>
            <w:pPr>
              <w:jc w:val="left"/>
            </w:pPr>
            <w:r>
              <w:rPr>
                <w:rFonts w:ascii="Times New Roman" w:hAnsi="Times New Roman"/>
                <w:b w:val="0"/>
                <w:i w:val="0"/>
                <w:sz w:val="20"/>
              </w:rPr>
              <w:t>Yes (Enterprise cloud platform)</w:t>
            </w:r>
          </w:p>
        </w:tc>
        <w:tc>
          <w:tcPr>
            <w:tcW w:type="dxa" w:w="1584"/>
            <w:vAlign w:val="center"/>
            <w:shd w:val="clear" w:color="auto" w:fill="FFFFFF"/>
          </w:tcPr>
          <w:p>
            <w:pPr>
              <w:jc w:val="left"/>
            </w:pPr>
            <w:r>
              <w:rPr>
                <w:rFonts w:ascii="Times New Roman" w:hAnsi="Times New Roman"/>
                <w:b w:val="0"/>
                <w:i w:val="0"/>
                <w:sz w:val="20"/>
              </w:rPr>
              <w:t>No (Server-managed protection)</w:t>
            </w:r>
          </w:p>
        </w:tc>
        <w:tc>
          <w:tcPr>
            <w:tcW w:type="dxa" w:w="1584"/>
            <w:vAlign w:val="center"/>
            <w:shd w:val="clear" w:color="auto" w:fill="FFFFFF"/>
          </w:tcPr>
          <w:p>
            <w:pPr>
              <w:jc w:val="left"/>
            </w:pPr>
            <w:r>
              <w:rPr>
                <w:rFonts w:ascii="Times New Roman" w:hAnsi="Times New Roman"/>
                <w:b w:val="0"/>
                <w:i w:val="0"/>
                <w:sz w:val="20"/>
              </w:rPr>
              <w:t>No (Centralized organizational database)</w:t>
            </w:r>
          </w:p>
        </w:tc>
        <w:tc>
          <w:tcPr>
            <w:tcW w:type="dxa" w:w="1440"/>
            <w:vAlign w:val="center"/>
            <w:shd w:val="clear" w:color="auto" w:fill="FFFFFF"/>
          </w:tcPr>
          <w:p>
            <w:pPr>
              <w:jc w:val="left"/>
            </w:pPr>
            <w:r>
              <w:rPr>
                <w:rFonts w:ascii="Times New Roman" w:hAnsi="Times New Roman"/>
                <w:b w:val="0"/>
                <w:i w:val="0"/>
                <w:sz w:val="20"/>
              </w:rPr>
              <w:t>No (Classical key exchange)</w:t>
            </w:r>
          </w:p>
        </w:tc>
        <w:tc>
          <w:tcPr>
            <w:tcW w:type="dxa" w:w="1440"/>
            <w:vAlign w:val="center"/>
            <w:shd w:val="clear" w:color="auto" w:fill="FFFFFF"/>
          </w:tcPr>
          <w:p>
            <w:pPr>
              <w:jc w:val="left"/>
            </w:pPr>
            <w:r>
              <w:rPr>
                <w:rFonts w:ascii="Times New Roman" w:hAnsi="Times New Roman"/>
                <w:b w:val="0"/>
                <w:i w:val="0"/>
                <w:sz w:val="20"/>
              </w:rPr>
              <w:t>Commercial enterprise collaboration</w:t>
            </w:r>
          </w:p>
        </w:tc>
      </w:tr>
      <w:tr>
        <w:tc>
          <w:tcPr>
            <w:tcW w:type="dxa" w:w="1728"/>
            <w:vAlign w:val="center"/>
            <w:shd w:val="clear" w:color="auto" w:fill="F2F6FC"/>
          </w:tcPr>
          <w:p>
            <w:pPr>
              <w:jc w:val="left"/>
            </w:pPr>
            <w:r>
              <w:rPr>
                <w:rFonts w:ascii="Times New Roman" w:hAnsi="Times New Roman"/>
                <w:b w:val="0"/>
                <w:i w:val="0"/>
                <w:sz w:val="20"/>
              </w:rPr>
              <w:t>Rocket.Chat (Open Source)</w:t>
            </w:r>
          </w:p>
        </w:tc>
        <w:tc>
          <w:tcPr>
            <w:tcW w:type="dxa" w:w="1584"/>
            <w:vAlign w:val="center"/>
            <w:shd w:val="clear" w:color="auto" w:fill="F2F6FC"/>
          </w:tcPr>
          <w:p>
            <w:pPr>
              <w:jc w:val="left"/>
            </w:pPr>
            <w:r>
              <w:rPr>
                <w:rFonts w:ascii="Times New Roman" w:hAnsi="Times New Roman"/>
                <w:b w:val="0"/>
                <w:i w:val="0"/>
                <w:sz w:val="20"/>
              </w:rPr>
              <w:t>Yes (Self-hosted / WebSockets)</w:t>
            </w:r>
          </w:p>
        </w:tc>
        <w:tc>
          <w:tcPr>
            <w:tcW w:type="dxa" w:w="1584"/>
            <w:vAlign w:val="center"/>
            <w:shd w:val="clear" w:color="auto" w:fill="F2F6FC"/>
          </w:tcPr>
          <w:p>
            <w:pPr>
              <w:jc w:val="left"/>
            </w:pPr>
            <w:r>
              <w:rPr>
                <w:rFonts w:ascii="Times New Roman" w:hAnsi="Times New Roman"/>
                <w:b w:val="0"/>
                <w:i w:val="0"/>
                <w:sz w:val="20"/>
              </w:rPr>
              <w:t>Optional (Plugin-based client protection)</w:t>
            </w:r>
          </w:p>
        </w:tc>
        <w:tc>
          <w:tcPr>
            <w:tcW w:type="dxa" w:w="1584"/>
            <w:vAlign w:val="center"/>
            <w:shd w:val="clear" w:color="auto" w:fill="F2F6FC"/>
          </w:tcPr>
          <w:p>
            <w:pPr>
              <w:jc w:val="left"/>
            </w:pPr>
            <w:r>
              <w:rPr>
                <w:rFonts w:ascii="Times New Roman" w:hAnsi="Times New Roman"/>
                <w:b w:val="0"/>
                <w:i w:val="0"/>
                <w:sz w:val="20"/>
              </w:rPr>
              <w:t>No (Standard relational database log)</w:t>
            </w:r>
          </w:p>
        </w:tc>
        <w:tc>
          <w:tcPr>
            <w:tcW w:type="dxa" w:w="1440"/>
            <w:vAlign w:val="center"/>
            <w:shd w:val="clear" w:color="auto" w:fill="F2F6FC"/>
          </w:tcPr>
          <w:p>
            <w:pPr>
              <w:jc w:val="left"/>
            </w:pPr>
            <w:r>
              <w:rPr>
                <w:rFonts w:ascii="Times New Roman" w:hAnsi="Times New Roman"/>
                <w:b w:val="0"/>
                <w:i w:val="0"/>
                <w:sz w:val="20"/>
              </w:rPr>
              <w:t>No (Classical key exchange)</w:t>
            </w:r>
          </w:p>
        </w:tc>
        <w:tc>
          <w:tcPr>
            <w:tcW w:type="dxa" w:w="1440"/>
            <w:vAlign w:val="center"/>
            <w:shd w:val="clear" w:color="auto" w:fill="F2F6FC"/>
          </w:tcPr>
          <w:p>
            <w:pPr>
              <w:jc w:val="left"/>
            </w:pPr>
            <w:r>
              <w:rPr>
                <w:rFonts w:ascii="Times New Roman" w:hAnsi="Times New Roman"/>
                <w:b w:val="0"/>
                <w:i w:val="0"/>
                <w:sz w:val="20"/>
              </w:rPr>
              <w:t>General organizational deployment</w:t>
            </w:r>
          </w:p>
        </w:tc>
      </w:tr>
      <w:tr>
        <w:tc>
          <w:tcPr>
            <w:tcW w:type="dxa" w:w="1728"/>
            <w:vAlign w:val="center"/>
            <w:shd w:val="clear" w:color="auto" w:fill="FFFFFF"/>
          </w:tcPr>
          <w:p>
            <w:pPr>
              <w:jc w:val="left"/>
            </w:pPr>
            <w:r>
              <w:rPr>
                <w:rFonts w:ascii="Times New Roman" w:hAnsi="Times New Roman"/>
                <w:b w:val="0"/>
                <w:i w:val="0"/>
                <w:sz w:val="20"/>
              </w:rPr>
              <w:t>Ethereum Messaging dApps</w:t>
            </w:r>
          </w:p>
        </w:tc>
        <w:tc>
          <w:tcPr>
            <w:tcW w:type="dxa" w:w="1584"/>
            <w:vAlign w:val="center"/>
            <w:shd w:val="clear" w:color="auto" w:fill="FFFFFF"/>
          </w:tcPr>
          <w:p>
            <w:pPr>
              <w:jc w:val="left"/>
            </w:pPr>
            <w:r>
              <w:rPr>
                <w:rFonts w:ascii="Times New Roman" w:hAnsi="Times New Roman"/>
                <w:b w:val="0"/>
                <w:i w:val="0"/>
                <w:sz w:val="20"/>
              </w:rPr>
              <w:t>No (High latency &amp; gas costs)</w:t>
            </w:r>
          </w:p>
        </w:tc>
        <w:tc>
          <w:tcPr>
            <w:tcW w:type="dxa" w:w="1584"/>
            <w:vAlign w:val="center"/>
            <w:shd w:val="clear" w:color="auto" w:fill="FFFFFF"/>
          </w:tcPr>
          <w:p>
            <w:pPr>
              <w:jc w:val="left"/>
            </w:pPr>
            <w:r>
              <w:rPr>
                <w:rFonts w:ascii="Times New Roman" w:hAnsi="Times New Roman"/>
                <w:b w:val="0"/>
                <w:i w:val="0"/>
                <w:sz w:val="20"/>
              </w:rPr>
              <w:t>Yes (Wallet key protection)</w:t>
            </w:r>
          </w:p>
        </w:tc>
        <w:tc>
          <w:tcPr>
            <w:tcW w:type="dxa" w:w="1584"/>
            <w:vAlign w:val="center"/>
            <w:shd w:val="clear" w:color="auto" w:fill="FFFFFF"/>
          </w:tcPr>
          <w:p>
            <w:pPr>
              <w:jc w:val="left"/>
            </w:pPr>
            <w:r>
              <w:rPr>
                <w:rFonts w:ascii="Times New Roman" w:hAnsi="Times New Roman"/>
                <w:b w:val="0"/>
                <w:i w:val="0"/>
                <w:sz w:val="20"/>
              </w:rPr>
              <w:t>Yes (Public mainnet transactions)</w:t>
            </w:r>
          </w:p>
        </w:tc>
        <w:tc>
          <w:tcPr>
            <w:tcW w:type="dxa" w:w="1440"/>
            <w:vAlign w:val="center"/>
            <w:shd w:val="clear" w:color="auto" w:fill="FFFFFF"/>
          </w:tcPr>
          <w:p>
            <w:pPr>
              <w:jc w:val="left"/>
            </w:pPr>
            <w:r>
              <w:rPr>
                <w:rFonts w:ascii="Times New Roman" w:hAnsi="Times New Roman"/>
                <w:b w:val="0"/>
                <w:i w:val="0"/>
                <w:sz w:val="20"/>
              </w:rPr>
              <w:t>No (Classical wallet cryptography)</w:t>
            </w:r>
          </w:p>
        </w:tc>
        <w:tc>
          <w:tcPr>
            <w:tcW w:type="dxa" w:w="1440"/>
            <w:vAlign w:val="center"/>
            <w:shd w:val="clear" w:color="auto" w:fill="FFFFFF"/>
          </w:tcPr>
          <w:p>
            <w:pPr>
              <w:jc w:val="left"/>
            </w:pPr>
            <w:r>
              <w:rPr>
                <w:rFonts w:ascii="Times New Roman" w:hAnsi="Times New Roman"/>
                <w:b w:val="0"/>
                <w:i w:val="0"/>
                <w:sz w:val="20"/>
              </w:rPr>
              <w:t>Web3 decentralized finance ecosystem</w:t>
            </w:r>
          </w:p>
        </w:tc>
      </w:tr>
      <w:tr>
        <w:tc>
          <w:tcPr>
            <w:tcW w:type="dxa" w:w="1728"/>
            <w:vAlign w:val="center"/>
            <w:shd w:val="clear" w:color="auto" w:fill="F2F6FC"/>
          </w:tcPr>
          <w:p>
            <w:pPr>
              <w:jc w:val="left"/>
            </w:pPr>
            <w:r>
              <w:rPr>
                <w:rFonts w:ascii="Times New Roman" w:hAnsi="Times New Roman"/>
                <w:b w:val="0"/>
                <w:i w:val="0"/>
                <w:sz w:val="20"/>
              </w:rPr>
              <w:t>Google Classroom / LMS</w:t>
            </w:r>
          </w:p>
        </w:tc>
        <w:tc>
          <w:tcPr>
            <w:tcW w:type="dxa" w:w="1584"/>
            <w:vAlign w:val="center"/>
            <w:shd w:val="clear" w:color="auto" w:fill="F2F6FC"/>
          </w:tcPr>
          <w:p>
            <w:pPr>
              <w:jc w:val="left"/>
            </w:pPr>
            <w:r>
              <w:rPr>
                <w:rFonts w:ascii="Times New Roman" w:hAnsi="Times New Roman"/>
                <w:b w:val="0"/>
                <w:i w:val="0"/>
                <w:sz w:val="20"/>
              </w:rPr>
              <w:t>No (Asynchronous portal / posts)</w:t>
            </w:r>
          </w:p>
        </w:tc>
        <w:tc>
          <w:tcPr>
            <w:tcW w:type="dxa" w:w="1584"/>
            <w:vAlign w:val="center"/>
            <w:shd w:val="clear" w:color="auto" w:fill="F2F6FC"/>
          </w:tcPr>
          <w:p>
            <w:pPr>
              <w:jc w:val="left"/>
            </w:pPr>
            <w:r>
              <w:rPr>
                <w:rFonts w:ascii="Times New Roman" w:hAnsi="Times New Roman"/>
                <w:b w:val="0"/>
                <w:i w:val="0"/>
                <w:sz w:val="20"/>
              </w:rPr>
              <w:t>No (Server-controlled transport security)</w:t>
            </w:r>
          </w:p>
        </w:tc>
        <w:tc>
          <w:tcPr>
            <w:tcW w:type="dxa" w:w="1584"/>
            <w:vAlign w:val="center"/>
            <w:shd w:val="clear" w:color="auto" w:fill="F2F6FC"/>
          </w:tcPr>
          <w:p>
            <w:pPr>
              <w:jc w:val="left"/>
            </w:pPr>
            <w:r>
              <w:rPr>
                <w:rFonts w:ascii="Times New Roman" w:hAnsi="Times New Roman"/>
                <w:b w:val="0"/>
                <w:i w:val="0"/>
                <w:sz w:val="20"/>
              </w:rPr>
              <w:t>No (Centralized database records)</w:t>
            </w:r>
          </w:p>
        </w:tc>
        <w:tc>
          <w:tcPr>
            <w:tcW w:type="dxa" w:w="1440"/>
            <w:vAlign w:val="center"/>
            <w:shd w:val="clear" w:color="auto" w:fill="F2F6FC"/>
          </w:tcPr>
          <w:p>
            <w:pPr>
              <w:jc w:val="left"/>
            </w:pPr>
            <w:r>
              <w:rPr>
                <w:rFonts w:ascii="Times New Roman" w:hAnsi="Times New Roman"/>
                <w:b w:val="0"/>
                <w:i w:val="0"/>
                <w:sz w:val="20"/>
              </w:rPr>
              <w:t>No (Classical web security)</w:t>
            </w:r>
          </w:p>
        </w:tc>
        <w:tc>
          <w:tcPr>
            <w:tcW w:type="dxa" w:w="1440"/>
            <w:vAlign w:val="center"/>
            <w:shd w:val="clear" w:color="auto" w:fill="F2F6FC"/>
          </w:tcPr>
          <w:p>
            <w:pPr>
              <w:jc w:val="left"/>
            </w:pPr>
            <w:r>
              <w:rPr>
                <w:rFonts w:ascii="Times New Roman" w:hAnsi="Times New Roman"/>
                <w:b w:val="0"/>
                <w:i w:val="0"/>
                <w:sz w:val="20"/>
              </w:rPr>
              <w:t>Academic course management</w:t>
            </w:r>
          </w:p>
        </w:tc>
      </w:tr>
      <w:tr>
        <w:tc>
          <w:tcPr>
            <w:tcW w:type="dxa" w:w="1728"/>
            <w:vAlign w:val="center"/>
            <w:shd w:val="clear" w:color="auto" w:fill="FFFFFF"/>
          </w:tcPr>
          <w:p>
            <w:pPr>
              <w:jc w:val="left"/>
            </w:pPr>
            <w:r>
              <w:rPr>
                <w:rFonts w:ascii="Times New Roman" w:hAnsi="Times New Roman"/>
                <w:b w:val="0"/>
                <w:i w:val="0"/>
                <w:sz w:val="20"/>
              </w:rPr>
              <w:t>QChat (Proposed System)</w:t>
            </w:r>
          </w:p>
        </w:tc>
        <w:tc>
          <w:tcPr>
            <w:tcW w:type="dxa" w:w="1584"/>
            <w:vAlign w:val="center"/>
            <w:shd w:val="clear" w:color="auto" w:fill="FFFFFF"/>
          </w:tcPr>
          <w:p>
            <w:pPr>
              <w:jc w:val="left"/>
            </w:pPr>
            <w:r>
              <w:rPr>
                <w:rFonts w:ascii="Times New Roman" w:hAnsi="Times New Roman"/>
                <w:b w:val="0"/>
                <w:i w:val="0"/>
                <w:sz w:val="20"/>
              </w:rPr>
              <w:t>Yes (Convex serverless real-time engine)</w:t>
            </w:r>
          </w:p>
        </w:tc>
        <w:tc>
          <w:tcPr>
            <w:tcW w:type="dxa" w:w="1584"/>
            <w:vAlign w:val="center"/>
            <w:shd w:val="clear" w:color="auto" w:fill="FFFFFF"/>
          </w:tcPr>
          <w:p>
            <w:pPr>
              <w:jc w:val="left"/>
            </w:pPr>
            <w:r>
              <w:rPr>
                <w:rFonts w:ascii="Times New Roman" w:hAnsi="Times New Roman"/>
                <w:b w:val="0"/>
                <w:i w:val="0"/>
                <w:sz w:val="20"/>
              </w:rPr>
              <w:t>Yes (Browser-native key protection)</w:t>
            </w:r>
          </w:p>
        </w:tc>
        <w:tc>
          <w:tcPr>
            <w:tcW w:type="dxa" w:w="1584"/>
            <w:vAlign w:val="center"/>
            <w:shd w:val="clear" w:color="auto" w:fill="FFFFFF"/>
          </w:tcPr>
          <w:p>
            <w:pPr>
              <w:jc w:val="left"/>
            </w:pPr>
            <w:r>
              <w:rPr>
                <w:rFonts w:ascii="Times New Roman" w:hAnsi="Times New Roman"/>
                <w:b w:val="0"/>
                <w:i w:val="0"/>
                <w:sz w:val="20"/>
              </w:rPr>
              <w:t>Yes (Hyperledger Besu local node)</w:t>
            </w:r>
          </w:p>
        </w:tc>
        <w:tc>
          <w:tcPr>
            <w:tcW w:type="dxa" w:w="1440"/>
            <w:vAlign w:val="center"/>
            <w:shd w:val="clear" w:color="auto" w:fill="FFFFFF"/>
          </w:tcPr>
          <w:p>
            <w:pPr>
              <w:jc w:val="left"/>
            </w:pPr>
            <w:r>
              <w:rPr>
                <w:rFonts w:ascii="Times New Roman" w:hAnsi="Times New Roman"/>
                <w:b w:val="0"/>
                <w:i w:val="0"/>
                <w:sz w:val="20"/>
              </w:rPr>
              <w:t>Yes (BB84 protocol simulation)</w:t>
            </w:r>
          </w:p>
        </w:tc>
        <w:tc>
          <w:tcPr>
            <w:tcW w:type="dxa" w:w="1440"/>
            <w:vAlign w:val="center"/>
            <w:shd w:val="clear" w:color="auto" w:fill="FFFFFF"/>
          </w:tcPr>
          <w:p>
            <w:pPr>
              <w:jc w:val="left"/>
            </w:pPr>
            <w:r>
              <w:rPr>
                <w:rFonts w:ascii="Times New Roman" w:hAnsi="Times New Roman"/>
                <w:b w:val="0"/>
                <w:i w:val="0"/>
                <w:sz w:val="20"/>
              </w:rPr>
              <w:t>Higher education institutional communications</w:t>
            </w:r>
          </w:p>
        </w:tc>
      </w:tr>
    </w:tbl>
    <w:p>
      <w:pPr>
        <w:spacing w:before="0" w:after="160"/>
        <w:jc w:val="left"/>
      </w:pPr>
    </w:p>
    <w:p>
      <w:pPr>
        <w:spacing w:before="240" w:after="80"/>
        <w:jc w:val="left"/>
      </w:pPr>
      <w:r>
        <w:rPr>
          <w:rFonts w:ascii="Times New Roman" w:hAnsi="Times New Roman"/>
          <w:b/>
          <w:i w:val="0"/>
          <w:color w:val="1F497D"/>
          <w:sz w:val="28"/>
        </w:rPr>
        <w:t>2.3.1  Detailed Evaluation of Existing Solutions</w:t>
      </w:r>
    </w:p>
    <w:p>
      <w:pPr>
        <w:spacing w:before="0" w:after="120"/>
        <w:jc w:val="both"/>
      </w:pPr>
      <w:r>
        <w:rPr>
          <w:rFonts w:ascii="Times New Roman" w:hAnsi="Times New Roman"/>
          <w:b/>
          <w:i w:val="0"/>
          <w:sz w:val="24"/>
        </w:rPr>
        <w:t xml:space="preserve">Consumer Instant Messengers (WhatsApp, Signal): </w:t>
      </w:r>
      <w:r>
        <w:rPr>
          <w:rFonts w:ascii="Times New Roman" w:hAnsi="Times New Roman"/>
          <w:b w:val="0"/>
          <w:i w:val="0"/>
          <w:sz w:val="24"/>
        </w:rPr>
        <w:t>Commercial messaging platforms deliver high performance and robust client-side data protection via protocols like Signal. However, these tools are built for personal communication and lack institutional role verification, academic Q&amp;A structures, or an independent audit log for dispute resolution. Furthermore, they rely on centralized phone number registration and classical key exchange models.</w:t>
      </w:r>
    </w:p>
    <w:p>
      <w:pPr>
        <w:spacing w:before="0" w:after="120"/>
        <w:jc w:val="both"/>
      </w:pPr>
      <w:r>
        <w:rPr>
          <w:rFonts w:ascii="Times New Roman" w:hAnsi="Times New Roman"/>
          <w:b/>
          <w:i w:val="0"/>
          <w:sz w:val="24"/>
        </w:rPr>
        <w:t xml:space="preserve">Enterprise Collaboration Suites (Microsoft Teams, Slack): </w:t>
      </w:r>
      <w:r>
        <w:rPr>
          <w:rFonts w:ascii="Times New Roman" w:hAnsi="Times New Roman"/>
          <w:b w:val="0"/>
          <w:i w:val="0"/>
          <w:sz w:val="24"/>
        </w:rPr>
        <w:t>Enterprise tools provide role management and structured channels but rely on centralized server-side data protection. Organization administrators can access, inspect, or remove communications from backend database logs without generating an unalterable proof of original content. They lack decentralized audit logs and post-quantum key distribution features.</w:t>
      </w:r>
    </w:p>
    <w:p>
      <w:pPr>
        <w:spacing w:before="0" w:after="120"/>
        <w:jc w:val="both"/>
      </w:pPr>
      <w:r>
        <w:rPr>
          <w:rFonts w:ascii="Times New Roman" w:hAnsi="Times New Roman"/>
          <w:b/>
          <w:i w:val="0"/>
          <w:sz w:val="24"/>
        </w:rPr>
        <w:t xml:space="preserve">Self-Hosted Open Source Platforms (Rocket.Chat): </w:t>
      </w:r>
      <w:r>
        <w:rPr>
          <w:rFonts w:ascii="Times New Roman" w:hAnsi="Times New Roman"/>
          <w:b w:val="0"/>
          <w:i w:val="0"/>
          <w:sz w:val="24"/>
        </w:rPr>
        <w:t>Self-hosted platforms offer custom control over data hosting. However, their security architectures rely on standard relational database storage. If database entries are modified by elevated administrative accounts, no tamper-evident record remains. They do not incorporate blockchain audit mechanisms or quantum key simulation.</w:t>
      </w:r>
    </w:p>
    <w:p>
      <w:pPr>
        <w:spacing w:before="0" w:after="120"/>
        <w:jc w:val="both"/>
      </w:pPr>
      <w:r>
        <w:rPr>
          <w:rFonts w:ascii="Times New Roman" w:hAnsi="Times New Roman"/>
          <w:b/>
          <w:i w:val="0"/>
          <w:sz w:val="24"/>
        </w:rPr>
        <w:t xml:space="preserve">Pure Decentralized Blockchain Messaging dApps: </w:t>
      </w:r>
      <w:r>
        <w:rPr>
          <w:rFonts w:ascii="Times New Roman" w:hAnsi="Times New Roman"/>
          <w:b w:val="0"/>
          <w:i w:val="0"/>
          <w:sz w:val="24"/>
        </w:rPr>
        <w:t>Fully decentralized Web3 messaging applications attempt to store all chat messages directly on public blockchains like Ethereum. While this provides immutability, it introduces severe operational drawbacks: high transaction fees (gas costs), latency delays of 15 seconds to several minutes per message, and poor scalability for file attachments.</w:t>
      </w:r>
    </w:p>
    <w:p>
      <w:pPr>
        <w:spacing w:before="0" w:after="120"/>
        <w:jc w:val="both"/>
      </w:pPr>
      <w:r>
        <w:rPr>
          <w:rFonts w:ascii="Times New Roman" w:hAnsi="Times New Roman"/>
          <w:b/>
          <w:i w:val="0"/>
          <w:sz w:val="24"/>
        </w:rPr>
        <w:t xml:space="preserve">Learning Management Systems (Google Classroom, Moodle): </w:t>
      </w:r>
      <w:r>
        <w:rPr>
          <w:rFonts w:ascii="Times New Roman" w:hAnsi="Times New Roman"/>
          <w:b w:val="0"/>
          <w:i w:val="0"/>
          <w:sz w:val="24"/>
        </w:rPr>
        <w:t>Academic LMS platforms manage assignments and course notices effectively but rely entirely on standard web security models. They lack real-time instant messaging capabilities, client-side message protection, and blockchain audit trails for submission dispute resolution.</w:t>
      </w:r>
    </w:p>
    <w:p>
      <w:pPr>
        <w:spacing w:before="360" w:after="120"/>
        <w:jc w:val="left"/>
      </w:pPr>
      <w:r>
        <w:rPr>
          <w:rFonts w:ascii="Times New Roman" w:hAnsi="Times New Roman"/>
          <w:b/>
          <w:i w:val="0"/>
          <w:color w:val="003366"/>
          <w:sz w:val="32"/>
        </w:rPr>
        <w:t>2.4  Gap in Literature and Existing Systems</w:t>
      </w:r>
    </w:p>
    <w:p>
      <w:pPr>
        <w:spacing w:before="0" w:after="160"/>
        <w:jc w:val="both"/>
      </w:pPr>
      <w:r>
        <w:rPr>
          <w:rFonts w:ascii="Times New Roman" w:hAnsi="Times New Roman"/>
          <w:b w:val="0"/>
          <w:i w:val="0"/>
          <w:sz w:val="24"/>
        </w:rPr>
        <w:t>The review of existing software solutions reveals a critical technological gap: no existing platform combines real-time communication performance, browser-native client data protection, permissioned blockchain audit logging, and post-quantum key generation within a single institutional system.</w:t>
      </w:r>
    </w:p>
    <w:p>
      <w:pPr>
        <w:spacing w:before="0" w:after="160"/>
        <w:jc w:val="both"/>
      </w:pPr>
      <w:r>
        <w:rPr>
          <w:rFonts w:ascii="Times New Roman" w:hAnsi="Times New Roman"/>
          <w:b w:val="0"/>
          <w:i w:val="0"/>
          <w:sz w:val="24"/>
        </w:rPr>
        <w:t>Specifically, current literature and industry implementations present three major unaddressed gaps:</w:t>
      </w:r>
    </w:p>
    <w:p>
      <w:pPr>
        <w:pStyle w:val="ListNumber"/>
        <w:spacing w:after="80"/>
      </w:pPr>
      <w:r>
        <w:rPr>
          <w:rFonts w:ascii="Times New Roman" w:hAnsi="Times New Roman"/>
          <w:b w:val="0"/>
          <w:i w:val="0"/>
          <w:sz w:val="24"/>
        </w:rPr>
        <w:t>Absence of Selective Hybrid Web2/Web3 Architectural Patterns for Higher Education: Existing research treats Web2 and Web3 as mutually exclusive choices — either building purely centralized platforms that lack auditability or building purely decentralized dApps that are unusable for instant messaging. There is a lack of documented implementations showing how local permissioned ledgers (such as Hyperledger Besu) can be selectively paired with serverless cloud backends (such as Convex) to achieve both sub-second responsiveness and zero-cost immutability.</w:t>
      </w:r>
    </w:p>
    <w:p>
      <w:pPr>
        <w:pStyle w:val="ListNumber"/>
        <w:spacing w:after="80"/>
      </w:pPr>
      <w:r>
        <w:rPr>
          <w:rFonts w:ascii="Times New Roman" w:hAnsi="Times New Roman"/>
          <w:b w:val="0"/>
          <w:i w:val="0"/>
          <w:sz w:val="24"/>
        </w:rPr>
        <w:t>Lack of Independent Tamper-Evident Audit Trails for Academic Dispute Resolution: In existing educational software, data integrity relies entirely on central database administration. There is no lightweight, privacy-preserving mechanism that anchors digital message fingerprints to an unalterable ledger, leaving institutions without verifiable proof when resolving assignment submission timestamp or content disputes.</w:t>
      </w:r>
    </w:p>
    <w:p>
      <w:pPr>
        <w:pStyle w:val="ListNumber"/>
        <w:spacing w:after="80"/>
      </w:pPr>
      <w:r>
        <w:rPr>
          <w:rFonts w:ascii="Times New Roman" w:hAnsi="Times New Roman"/>
          <w:b w:val="0"/>
          <w:i w:val="0"/>
          <w:sz w:val="24"/>
        </w:rPr>
        <w:t>Lack of Practical Educational Demonstrations for Post-Quantum Key Exchange: While theoretical literature extensively discusses post-quantum algorithms and Quantum Key Distribution (QKD), practical web software lacks accessible, in-browser simulations demonstrating how basis-sifting, photon measurement, and QBER calculations can be integrated into everyday communication workflows.</w:t>
      </w:r>
    </w:p>
    <w:p>
      <w:pPr>
        <w:spacing w:before="0" w:after="160"/>
        <w:jc w:val="both"/>
      </w:pPr>
      <w:r>
        <w:rPr>
          <w:rFonts w:ascii="Times New Roman" w:hAnsi="Times New Roman"/>
          <w:b w:val="0"/>
          <w:i w:val="0"/>
          <w:sz w:val="24"/>
        </w:rPr>
        <w:t>QChat directly bridges this gap. By unifying serverless real-time data delivery, client-side Web Crypto protection, local Hyperledger Besu smart contract fingerprinting, and a TypeScript BB84 simulation, QChat establishes a novel, practical reference model tailored specifically to the security and operational requirements of modern higher education institutions.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