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color w:val="003366"/>
          <w:sz w:val="36"/>
        </w:rPr>
        <w:t>CHAPTER 3</w:t>
      </w:r>
    </w:p>
    <w:p>
      <w:pPr>
        <w:spacing w:before="0" w:after="240"/>
        <w:jc w:val="center"/>
      </w:pPr>
      <w:r>
        <w:rPr>
          <w:rFonts w:ascii="Times New Roman" w:hAnsi="Times New Roman"/>
          <w:b/>
          <w:i w:val="0"/>
          <w:color w:val="1F497D"/>
          <w:sz w:val="32"/>
        </w:rPr>
        <w:t>METHODOLOGY AND SYSTEM DESIGN</w:t>
      </w:r>
    </w:p>
    <w:p>
      <w:pPr>
        <w:spacing w:before="40" w:after="40"/>
        <w:pBdr>
          <w:bottom w:val="single" w:sz="6" w:space="1" w:color="1F497D"/>
        </w:pBdr>
      </w:pPr>
    </w:p>
    <w:p>
      <w:pPr>
        <w:spacing w:before="0" w:after="240"/>
        <w:jc w:val="left"/>
      </w:pPr>
    </w:p>
    <w:p>
      <w:pPr>
        <w:spacing w:before="360" w:after="120"/>
        <w:jc w:val="left"/>
      </w:pPr>
      <w:r>
        <w:rPr>
          <w:rFonts w:ascii="Times New Roman" w:hAnsi="Times New Roman"/>
          <w:b/>
          <w:i w:val="0"/>
          <w:color w:val="003366"/>
          <w:sz w:val="32"/>
        </w:rPr>
        <w:t>3.1  Software Engineering Methodology</w:t>
      </w:r>
    </w:p>
    <w:p>
      <w:pPr>
        <w:spacing w:before="0" w:after="160"/>
        <w:jc w:val="both"/>
      </w:pPr>
      <w:r>
        <w:rPr>
          <w:rFonts w:ascii="Times New Roman" w:hAnsi="Times New Roman"/>
          <w:b w:val="0"/>
          <w:i w:val="0"/>
          <w:sz w:val="24"/>
        </w:rPr>
        <w:t>The engineering of QChat followed an Agile software development methodology, structured into five iterative phases spanning ten weeks. An Agile approach was selected because it accommodates incremental build verification, enabling early detection of technical bottlenecks across the frontend UI, serverless database mutations, Web Crypto API key protection pipelines, and local blockchain smart contract interactions.</w:t>
      </w:r>
    </w:p>
    <w:p>
      <w:pPr>
        <w:spacing w:before="0" w:after="160"/>
        <w:jc w:val="both"/>
      </w:pPr>
      <w:r>
        <w:rPr>
          <w:rFonts w:ascii="Times New Roman" w:hAnsi="Times New Roman"/>
          <w:b w:val="0"/>
          <w:i w:val="0"/>
          <w:sz w:val="24"/>
        </w:rPr>
        <w:t>Each phase produced a functional system increment that underwent immediate local testing before advancing to subsequent modules. The five execution phases are defined below:</w:t>
      </w:r>
    </w:p>
    <w:p>
      <w:pPr>
        <w:spacing w:before="0" w:after="120"/>
        <w:jc w:val="both"/>
      </w:pPr>
      <w:r>
        <w:rPr>
          <w:rFonts w:ascii="Times New Roman" w:hAnsi="Times New Roman"/>
          <w:b/>
          <w:i w:val="0"/>
          <w:sz w:val="24"/>
        </w:rPr>
        <w:t xml:space="preserve">Phase 1 — Requirements Analysis and UI Scaffold (Weeks 1–2): </w:t>
      </w:r>
      <w:r>
        <w:rPr>
          <w:rFonts w:ascii="Times New Roman" w:hAnsi="Times New Roman"/>
          <w:b w:val="0"/>
          <w:i w:val="0"/>
          <w:sz w:val="24"/>
        </w:rPr>
        <w:t>Defined user personas (students, lecturers, administrators), functional specifications, and data flow boundaries. Built the initial React 19 and TypeScript frontend scaffold using Vite on a local development server. Designed all primary screen layouts using component-driven styling.</w:t>
      </w:r>
    </w:p>
    <w:p>
      <w:pPr>
        <w:spacing w:before="0" w:after="120"/>
        <w:jc w:val="both"/>
      </w:pPr>
      <w:r>
        <w:rPr>
          <w:rFonts w:ascii="Times New Roman" w:hAnsi="Times New Roman"/>
          <w:b/>
          <w:i w:val="0"/>
          <w:sz w:val="24"/>
        </w:rPr>
        <w:t xml:space="preserve">Phase 2 — Convex Serverless Data Engine Integration (Weeks 3–4): </w:t>
      </w:r>
      <w:r>
        <w:rPr>
          <w:rFonts w:ascii="Times New Roman" w:hAnsi="Times New Roman"/>
          <w:b w:val="0"/>
          <w:i w:val="0"/>
          <w:sz w:val="24"/>
        </w:rPr>
        <w:t>Constructed the complete Convex database schema comprising nine relational tables. Implemented live reactive queries and mutation functions for real-time messaging, binary file storage buckets, Q&amp;A thread posts, and user notifications.</w:t>
      </w:r>
    </w:p>
    <w:p>
      <w:pPr>
        <w:spacing w:before="0" w:after="120"/>
        <w:jc w:val="both"/>
      </w:pPr>
      <w:r>
        <w:rPr>
          <w:rFonts w:ascii="Times New Roman" w:hAnsi="Times New Roman"/>
          <w:b/>
          <w:i w:val="0"/>
          <w:sz w:val="24"/>
        </w:rPr>
        <w:t xml:space="preserve">Phase 3 — Browser-Native Cryptography and BB84 Simulation (Weeks 5–6): </w:t>
      </w:r>
      <w:r>
        <w:rPr>
          <w:rFonts w:ascii="Times New Roman" w:hAnsi="Times New Roman"/>
          <w:b w:val="0"/>
          <w:i w:val="0"/>
          <w:sz w:val="24"/>
        </w:rPr>
        <w:t>Integrated the browser's native Web Crypto API for client-side RSA-OAEP key pair generation on first login and AES-GCM symmetric session data protection. Developed the standalone TypeScript simulation of the BB84 Quantum Key Distribution protocol (bb84.ts) to generate 256-bit session keys and fingerprints.</w:t>
      </w:r>
    </w:p>
    <w:p>
      <w:pPr>
        <w:spacing w:before="0" w:after="120"/>
        <w:jc w:val="both"/>
      </w:pPr>
      <w:r>
        <w:rPr>
          <w:rFonts w:ascii="Times New Roman" w:hAnsi="Times New Roman"/>
          <w:b/>
          <w:i w:val="0"/>
          <w:sz w:val="24"/>
        </w:rPr>
        <w:t xml:space="preserve">Phase 4 — Local Permissioned Blockchain Deployment (Weeks 7–8): </w:t>
      </w:r>
      <w:r>
        <w:rPr>
          <w:rFonts w:ascii="Times New Roman" w:hAnsi="Times New Roman"/>
          <w:b w:val="0"/>
          <w:i w:val="0"/>
          <w:sz w:val="24"/>
        </w:rPr>
        <w:t>Authored the MessageVerifier.sol smart contract in Solidity. Configured and deployed the contract onto a locally hosted Hyperledger Besu private blockchain node utilizing QBFT consensus. Developed the Ethers.js integration service (web3Service.ts) to submit SHA-256 message fingerprints and record verified user roles.</w:t>
      </w:r>
    </w:p>
    <w:p>
      <w:pPr>
        <w:spacing w:before="0" w:after="120"/>
        <w:jc w:val="both"/>
      </w:pPr>
      <w:r>
        <w:rPr>
          <w:rFonts w:ascii="Times New Roman" w:hAnsi="Times New Roman"/>
          <w:b/>
          <w:i w:val="0"/>
          <w:sz w:val="24"/>
        </w:rPr>
        <w:t xml:space="preserve">Phase 5 — System Testing, Optimization, and Evaluation (Weeks 9–10): </w:t>
      </w:r>
      <w:r>
        <w:rPr>
          <w:rFonts w:ascii="Times New Roman" w:hAnsi="Times New Roman"/>
          <w:b w:val="0"/>
          <w:i w:val="0"/>
          <w:sz w:val="24"/>
        </w:rPr>
        <w:t>Executed comprehensive unit testing of backend functions and cryptographic helpers, end-to-end integration testing across the messaging pipeline, and structured User Acceptance Testing (UAT) across student and lecturer test roles.</w:t>
      </w:r>
    </w:p>
    <w:p>
      <w:pPr>
        <w:spacing w:before="360" w:after="120"/>
        <w:jc w:val="left"/>
      </w:pPr>
      <w:r>
        <w:rPr>
          <w:rFonts w:ascii="Times New Roman" w:hAnsi="Times New Roman"/>
          <w:b/>
          <w:i w:val="0"/>
          <w:color w:val="003366"/>
          <w:sz w:val="32"/>
        </w:rPr>
        <w:t>3.2  High-Level System Architecture</w:t>
      </w:r>
    </w:p>
    <w:p>
      <w:pPr>
        <w:spacing w:before="0" w:after="160"/>
        <w:jc w:val="both"/>
      </w:pPr>
      <w:r>
        <w:rPr>
          <w:rFonts w:ascii="Times New Roman" w:hAnsi="Times New Roman"/>
          <w:b w:val="0"/>
          <w:i w:val="0"/>
          <w:sz w:val="24"/>
        </w:rPr>
        <w:t>QChat is structured as a three-tier hybrid architecture that balances high-speed user interactions with tamper-evident audit logging. The table below details the responsibility matrix across all three layers: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vAlign w:val="center"/>
            <w:shd w:val="clear" w:color="auto" w:fill="1F497D"/>
          </w:tcPr>
          <w:p>
            <w:pPr>
              <w:jc w:val="center"/>
            </w:pPr>
            <w:r>
              <w:rPr>
                <w:rFonts w:ascii="Times New Roman" w:hAnsi="Times New Roman"/>
                <w:b/>
                <w:i w:val="0"/>
                <w:color w:val="FFFFFF"/>
                <w:sz w:val="20"/>
              </w:rPr>
              <w:t>Layer</w:t>
            </w:r>
          </w:p>
        </w:tc>
        <w:tc>
          <w:tcPr>
            <w:tcW w:type="dxa" w:w="2016"/>
            <w:vAlign w:val="center"/>
            <w:shd w:val="clear" w:color="auto" w:fill="1F497D"/>
          </w:tcPr>
          <w:p>
            <w:pPr>
              <w:jc w:val="center"/>
            </w:pPr>
            <w:r>
              <w:rPr>
                <w:rFonts w:ascii="Times New Roman" w:hAnsi="Times New Roman"/>
                <w:b/>
                <w:i w:val="0"/>
                <w:color w:val="FFFFFF"/>
                <w:sz w:val="20"/>
              </w:rPr>
              <w:t>Technology Stack</w:t>
            </w:r>
          </w:p>
        </w:tc>
        <w:tc>
          <w:tcPr>
            <w:tcW w:type="dxa" w:w="2160"/>
            <w:vAlign w:val="center"/>
            <w:shd w:val="clear" w:color="auto" w:fill="1F497D"/>
          </w:tcPr>
          <w:p>
            <w:pPr>
              <w:jc w:val="center"/>
            </w:pPr>
            <w:r>
              <w:rPr>
                <w:rFonts w:ascii="Times New Roman" w:hAnsi="Times New Roman"/>
                <w:b/>
                <w:i w:val="0"/>
                <w:color w:val="FFFFFF"/>
                <w:sz w:val="20"/>
              </w:rPr>
              <w:t>Deployment Context</w:t>
            </w:r>
          </w:p>
        </w:tc>
        <w:tc>
          <w:tcPr>
            <w:tcW w:type="dxa" w:w="3600"/>
            <w:vAlign w:val="center"/>
            <w:shd w:val="clear" w:color="auto" w:fill="1F497D"/>
          </w:tcPr>
          <w:p>
            <w:pPr>
              <w:jc w:val="center"/>
            </w:pPr>
            <w:r>
              <w:rPr>
                <w:rFonts w:ascii="Times New Roman" w:hAnsi="Times New Roman"/>
                <w:b/>
                <w:i w:val="0"/>
                <w:color w:val="FFFFFF"/>
                <w:sz w:val="20"/>
              </w:rPr>
              <w:t>Primary Functional Responsibilities</w:t>
            </w:r>
          </w:p>
        </w:tc>
      </w:tr>
      <w:tr>
        <w:tc>
          <w:tcPr>
            <w:tcW w:type="dxa" w:w="1584"/>
            <w:vAlign w:val="center"/>
            <w:shd w:val="clear" w:color="auto" w:fill="F2F6FC"/>
          </w:tcPr>
          <w:p>
            <w:pPr>
              <w:jc w:val="left"/>
            </w:pPr>
            <w:r>
              <w:rPr>
                <w:rFonts w:ascii="Times New Roman" w:hAnsi="Times New Roman"/>
                <w:b w:val="0"/>
                <w:i w:val="0"/>
                <w:sz w:val="20"/>
              </w:rPr>
              <w:t>Presentation Layer</w:t>
            </w:r>
          </w:p>
        </w:tc>
        <w:tc>
          <w:tcPr>
            <w:tcW w:type="dxa" w:w="2016"/>
            <w:vAlign w:val="center"/>
            <w:shd w:val="clear" w:color="auto" w:fill="F2F6FC"/>
          </w:tcPr>
          <w:p>
            <w:pPr>
              <w:jc w:val="left"/>
            </w:pPr>
            <w:r>
              <w:rPr>
                <w:rFonts w:ascii="Times New Roman" w:hAnsi="Times New Roman"/>
                <w:b w:val="0"/>
                <w:i w:val="0"/>
                <w:sz w:val="20"/>
              </w:rPr>
              <w:t>React 19, TypeScript, Vite, Tailwind CSS</w:t>
            </w:r>
          </w:p>
        </w:tc>
        <w:tc>
          <w:tcPr>
            <w:tcW w:type="dxa" w:w="2160"/>
            <w:vAlign w:val="center"/>
            <w:shd w:val="clear" w:color="auto" w:fill="F2F6FC"/>
          </w:tcPr>
          <w:p>
            <w:pPr>
              <w:jc w:val="left"/>
            </w:pPr>
            <w:r>
              <w:rPr>
                <w:rFonts w:ascii="Times New Roman" w:hAnsi="Times New Roman"/>
                <w:b w:val="0"/>
                <w:i w:val="0"/>
                <w:sz w:val="20"/>
              </w:rPr>
              <w:t>Local Desktop Browser Host (http://localhost:5173)</w:t>
            </w:r>
          </w:p>
        </w:tc>
        <w:tc>
          <w:tcPr>
            <w:tcW w:type="dxa" w:w="3600"/>
            <w:vAlign w:val="center"/>
            <w:shd w:val="clear" w:color="auto" w:fill="F2F6FC"/>
          </w:tcPr>
          <w:p>
            <w:pPr>
              <w:jc w:val="left"/>
            </w:pPr>
            <w:r>
              <w:rPr>
                <w:rFonts w:ascii="Times New Roman" w:hAnsi="Times New Roman"/>
                <w:b w:val="0"/>
                <w:i w:val="0"/>
                <w:sz w:val="20"/>
              </w:rPr>
              <w:t>Renders responsive UI components, manages client routing, executes Web Crypto key generation, and runs the BB84 simulation.</w:t>
            </w:r>
          </w:p>
        </w:tc>
      </w:tr>
      <w:tr>
        <w:tc>
          <w:tcPr>
            <w:tcW w:type="dxa" w:w="1584"/>
            <w:vAlign w:val="center"/>
            <w:shd w:val="clear" w:color="auto" w:fill="FFFFFF"/>
          </w:tcPr>
          <w:p>
            <w:pPr>
              <w:jc w:val="left"/>
            </w:pPr>
            <w:r>
              <w:rPr>
                <w:rFonts w:ascii="Times New Roman" w:hAnsi="Times New Roman"/>
                <w:b w:val="0"/>
                <w:i w:val="0"/>
                <w:sz w:val="20"/>
              </w:rPr>
              <w:t>Application Layer</w:t>
            </w:r>
          </w:p>
        </w:tc>
        <w:tc>
          <w:tcPr>
            <w:tcW w:type="dxa" w:w="2016"/>
            <w:vAlign w:val="center"/>
            <w:shd w:val="clear" w:color="auto" w:fill="FFFFFF"/>
          </w:tcPr>
          <w:p>
            <w:pPr>
              <w:jc w:val="left"/>
            </w:pPr>
            <w:r>
              <w:rPr>
                <w:rFonts w:ascii="Times New Roman" w:hAnsi="Times New Roman"/>
                <w:b w:val="0"/>
                <w:i w:val="0"/>
                <w:sz w:val="20"/>
              </w:rPr>
              <w:t>Convex Serverless Cloud Backend</w:t>
            </w:r>
          </w:p>
        </w:tc>
        <w:tc>
          <w:tcPr>
            <w:tcW w:type="dxa" w:w="2160"/>
            <w:vAlign w:val="center"/>
            <w:shd w:val="clear" w:color="auto" w:fill="FFFFFF"/>
          </w:tcPr>
          <w:p>
            <w:pPr>
              <w:jc w:val="left"/>
            </w:pPr>
            <w:r>
              <w:rPr>
                <w:rFonts w:ascii="Times New Roman" w:hAnsi="Times New Roman"/>
                <w:b w:val="0"/>
                <w:i w:val="0"/>
                <w:sz w:val="20"/>
              </w:rPr>
              <w:t>Cloud Data Engine (Reactive WebSockets)</w:t>
            </w:r>
          </w:p>
        </w:tc>
        <w:tc>
          <w:tcPr>
            <w:tcW w:type="dxa" w:w="3600"/>
            <w:vAlign w:val="center"/>
            <w:shd w:val="clear" w:color="auto" w:fill="FFFFFF"/>
          </w:tcPr>
          <w:p>
            <w:pPr>
              <w:jc w:val="left"/>
            </w:pPr>
            <w:r>
              <w:rPr>
                <w:rFonts w:ascii="Times New Roman" w:hAnsi="Times New Roman"/>
                <w:b w:val="0"/>
                <w:i w:val="0"/>
                <w:sz w:val="20"/>
              </w:rPr>
              <w:t>Manages real-time database queries/mutations, user authentication sessions, file storage buckets, and Q&amp;A notification dispatching.</w:t>
            </w:r>
          </w:p>
        </w:tc>
      </w:tr>
      <w:tr>
        <w:tc>
          <w:tcPr>
            <w:tcW w:type="dxa" w:w="1584"/>
            <w:vAlign w:val="center"/>
            <w:shd w:val="clear" w:color="auto" w:fill="F2F6FC"/>
          </w:tcPr>
          <w:p>
            <w:pPr>
              <w:jc w:val="left"/>
            </w:pPr>
            <w:r>
              <w:rPr>
                <w:rFonts w:ascii="Times New Roman" w:hAnsi="Times New Roman"/>
                <w:b w:val="0"/>
                <w:i w:val="0"/>
                <w:sz w:val="20"/>
              </w:rPr>
              <w:t>Verification Layer</w:t>
            </w:r>
          </w:p>
        </w:tc>
        <w:tc>
          <w:tcPr>
            <w:tcW w:type="dxa" w:w="2016"/>
            <w:vAlign w:val="center"/>
            <w:shd w:val="clear" w:color="auto" w:fill="F2F6FC"/>
          </w:tcPr>
          <w:p>
            <w:pPr>
              <w:jc w:val="left"/>
            </w:pPr>
            <w:r>
              <w:rPr>
                <w:rFonts w:ascii="Times New Roman" w:hAnsi="Times New Roman"/>
                <w:b w:val="0"/>
                <w:i w:val="0"/>
                <w:sz w:val="20"/>
              </w:rPr>
              <w:t>Hyperledger Besu, Solidity (MessageVerifier.sol), Ethers.js v6</w:t>
            </w:r>
          </w:p>
        </w:tc>
        <w:tc>
          <w:tcPr>
            <w:tcW w:type="dxa" w:w="2160"/>
            <w:vAlign w:val="center"/>
            <w:shd w:val="clear" w:color="auto" w:fill="F2F6FC"/>
          </w:tcPr>
          <w:p>
            <w:pPr>
              <w:jc w:val="left"/>
            </w:pPr>
            <w:r>
              <w:rPr>
                <w:rFonts w:ascii="Times New Roman" w:hAnsi="Times New Roman"/>
                <w:b w:val="0"/>
                <w:i w:val="0"/>
                <w:sz w:val="20"/>
              </w:rPr>
              <w:t>Local Private Blockchain Node (http://127.0.0.1:8545)</w:t>
            </w:r>
          </w:p>
        </w:tc>
        <w:tc>
          <w:tcPr>
            <w:tcW w:type="dxa" w:w="3600"/>
            <w:vAlign w:val="center"/>
            <w:shd w:val="clear" w:color="auto" w:fill="F2F6FC"/>
          </w:tcPr>
          <w:p>
            <w:pPr>
              <w:jc w:val="left"/>
            </w:pPr>
            <w:r>
              <w:rPr>
                <w:rFonts w:ascii="Times New Roman" w:hAnsi="Times New Roman"/>
                <w:b w:val="0"/>
                <w:i w:val="0"/>
                <w:sz w:val="20"/>
              </w:rPr>
              <w:t>Stores immutable SHA-256 message fingerprints and anchors administrator-verified user roles under QBFT zero-gas consensus.</w:t>
            </w:r>
          </w:p>
        </w:tc>
      </w:tr>
    </w:tbl>
    <w:p>
      <w:pPr>
        <w:spacing w:before="0" w:after="160"/>
        <w:jc w:val="left"/>
      </w:pPr>
    </w:p>
    <w:p>
      <w:pPr>
        <w:spacing w:before="0" w:after="160"/>
        <w:jc w:val="both"/>
      </w:pPr>
      <w:r>
        <w:rPr>
          <w:rFonts w:ascii="Times New Roman" w:hAnsi="Times New Roman"/>
          <w:b w:val="0"/>
          <w:i w:val="0"/>
          <w:sz w:val="24"/>
        </w:rPr>
        <w:t>Selective Web3 Strategy: Routine operations — such as user login, message fetching, and Q&amp;A browsing — interact exclusively with the Convex serverless layer for instant responsiveness. The Hyperledger Besu blockchain node is invoked selectively during two high-value operations: (1) anchoring the SHA-256 fingerprint of a sensitive message upon transmission, and (2) writing an approved user's verified role to the contract upon administrator approval. This ensures zero latency penalty during normal browsing while maintaining immutable auditability.</w:t>
      </w:r>
    </w:p>
    <w:p>
      <w:pPr>
        <w:spacing w:before="360" w:after="120"/>
        <w:jc w:val="left"/>
      </w:pPr>
      <w:r>
        <w:rPr>
          <w:rFonts w:ascii="Times New Roman" w:hAnsi="Times New Roman"/>
          <w:b/>
          <w:i w:val="0"/>
          <w:color w:val="003366"/>
          <w:sz w:val="32"/>
        </w:rPr>
        <w:t>3.3  Database Schema and Data Modeling</w:t>
      </w:r>
    </w:p>
    <w:p>
      <w:pPr>
        <w:spacing w:before="0" w:after="160"/>
        <w:jc w:val="both"/>
      </w:pPr>
      <w:r>
        <w:rPr>
          <w:rFonts w:ascii="Times New Roman" w:hAnsi="Times New Roman"/>
          <w:b w:val="0"/>
          <w:i w:val="0"/>
          <w:sz w:val="24"/>
        </w:rPr>
        <w:t>The backend database is structured in Convex using TypeScript schema definitions (convex/schema.ts). The schema comprises nine specialized tables designed to support real-time messaging, file handling, community Q&amp;A, and identity verification. The table below summarizes the data models and indexing strategies: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vAlign w:val="center"/>
            <w:shd w:val="clear" w:color="auto" w:fill="1F497D"/>
          </w:tcPr>
          <w:p>
            <w:pPr>
              <w:jc w:val="center"/>
            </w:pPr>
            <w:r>
              <w:rPr>
                <w:rFonts w:ascii="Times New Roman" w:hAnsi="Times New Roman"/>
                <w:b/>
                <w:i w:val="0"/>
                <w:color w:val="FFFFFF"/>
                <w:sz w:val="20"/>
              </w:rPr>
              <w:t>Table Name</w:t>
            </w:r>
          </w:p>
        </w:tc>
        <w:tc>
          <w:tcPr>
            <w:tcW w:type="dxa" w:w="3168"/>
            <w:vAlign w:val="center"/>
            <w:shd w:val="clear" w:color="auto" w:fill="1F497D"/>
          </w:tcPr>
          <w:p>
            <w:pPr>
              <w:jc w:val="center"/>
            </w:pPr>
            <w:r>
              <w:rPr>
                <w:rFonts w:ascii="Times New Roman" w:hAnsi="Times New Roman"/>
                <w:b/>
                <w:i w:val="0"/>
                <w:color w:val="FFFFFF"/>
                <w:sz w:val="20"/>
              </w:rPr>
              <w:t>Core Fields</w:t>
            </w:r>
          </w:p>
        </w:tc>
        <w:tc>
          <w:tcPr>
            <w:tcW w:type="dxa" w:w="2016"/>
            <w:vAlign w:val="center"/>
            <w:shd w:val="clear" w:color="auto" w:fill="1F497D"/>
          </w:tcPr>
          <w:p>
            <w:pPr>
              <w:jc w:val="center"/>
            </w:pPr>
            <w:r>
              <w:rPr>
                <w:rFonts w:ascii="Times New Roman" w:hAnsi="Times New Roman"/>
                <w:b/>
                <w:i w:val="0"/>
                <w:color w:val="FFFFFF"/>
                <w:sz w:val="20"/>
              </w:rPr>
              <w:t>Indexes</w:t>
            </w:r>
          </w:p>
        </w:tc>
        <w:tc>
          <w:tcPr>
            <w:tcW w:type="dxa" w:w="2448"/>
            <w:vAlign w:val="center"/>
            <w:shd w:val="clear" w:color="auto" w:fill="1F497D"/>
          </w:tcPr>
          <w:p>
            <w:pPr>
              <w:jc w:val="center"/>
            </w:pPr>
            <w:r>
              <w:rPr>
                <w:rFonts w:ascii="Times New Roman" w:hAnsi="Times New Roman"/>
                <w:b/>
                <w:i w:val="0"/>
                <w:color w:val="FFFFFF"/>
                <w:sz w:val="20"/>
              </w:rPr>
              <w:t>Functional Purpose</w:t>
            </w:r>
          </w:p>
        </w:tc>
      </w:tr>
      <w:tr>
        <w:tc>
          <w:tcPr>
            <w:tcW w:type="dxa" w:w="1728"/>
            <w:vAlign w:val="center"/>
            <w:shd w:val="clear" w:color="auto" w:fill="F2F6FC"/>
          </w:tcPr>
          <w:p>
            <w:pPr>
              <w:jc w:val="left"/>
            </w:pPr>
            <w:r>
              <w:rPr>
                <w:rFonts w:ascii="Times New Roman" w:hAnsi="Times New Roman"/>
                <w:b w:val="0"/>
                <w:i w:val="0"/>
                <w:sz w:val="20"/>
              </w:rPr>
              <w:t>admins</w:t>
            </w:r>
          </w:p>
        </w:tc>
        <w:tc>
          <w:tcPr>
            <w:tcW w:type="dxa" w:w="3168"/>
            <w:vAlign w:val="center"/>
            <w:shd w:val="clear" w:color="auto" w:fill="F2F6FC"/>
          </w:tcPr>
          <w:p>
            <w:pPr>
              <w:jc w:val="left"/>
            </w:pPr>
            <w:r>
              <w:rPr>
                <w:rFonts w:ascii="Times New Roman" w:hAnsi="Times New Roman"/>
                <w:b w:val="0"/>
                <w:i w:val="0"/>
                <w:sz w:val="20"/>
              </w:rPr>
              <w:t>email, displayName, passwordHash, sessionToken, createdAt, updatedAt</w:t>
            </w:r>
          </w:p>
        </w:tc>
        <w:tc>
          <w:tcPr>
            <w:tcW w:type="dxa" w:w="2016"/>
            <w:vAlign w:val="center"/>
            <w:shd w:val="clear" w:color="auto" w:fill="F2F6FC"/>
          </w:tcPr>
          <w:p>
            <w:pPr>
              <w:jc w:val="left"/>
            </w:pPr>
            <w:r>
              <w:rPr>
                <w:rFonts w:ascii="Times New Roman" w:hAnsi="Times New Roman"/>
                <w:b w:val="0"/>
                <w:i w:val="0"/>
                <w:sz w:val="20"/>
              </w:rPr>
              <w:t>by_email, by_sessionToken</w:t>
            </w:r>
          </w:p>
        </w:tc>
        <w:tc>
          <w:tcPr>
            <w:tcW w:type="dxa" w:w="2448"/>
            <w:vAlign w:val="center"/>
            <w:shd w:val="clear" w:color="auto" w:fill="F2F6FC"/>
          </w:tcPr>
          <w:p>
            <w:pPr>
              <w:jc w:val="left"/>
            </w:pPr>
            <w:r>
              <w:rPr>
                <w:rFonts w:ascii="Times New Roman" w:hAnsi="Times New Roman"/>
                <w:b w:val="0"/>
                <w:i w:val="0"/>
                <w:sz w:val="20"/>
              </w:rPr>
              <w:t>Stores administrator credentials and authentication tokens for governance access.</w:t>
            </w:r>
          </w:p>
        </w:tc>
      </w:tr>
      <w:tr>
        <w:tc>
          <w:tcPr>
            <w:tcW w:type="dxa" w:w="1728"/>
            <w:vAlign w:val="center"/>
            <w:shd w:val="clear" w:color="auto" w:fill="FFFFFF"/>
          </w:tcPr>
          <w:p>
            <w:pPr>
              <w:jc w:val="left"/>
            </w:pPr>
            <w:r>
              <w:rPr>
                <w:rFonts w:ascii="Times New Roman" w:hAnsi="Times New Roman"/>
                <w:b w:val="0"/>
                <w:i w:val="0"/>
                <w:sz w:val="20"/>
              </w:rPr>
              <w:t>users</w:t>
            </w:r>
          </w:p>
        </w:tc>
        <w:tc>
          <w:tcPr>
            <w:tcW w:type="dxa" w:w="3168"/>
            <w:vAlign w:val="center"/>
            <w:shd w:val="clear" w:color="auto" w:fill="FFFFFF"/>
          </w:tcPr>
          <w:p>
            <w:pPr>
              <w:jc w:val="left"/>
            </w:pPr>
            <w:r>
              <w:rPr>
                <w:rFonts w:ascii="Times New Roman" w:hAnsi="Times New Roman"/>
                <w:b w:val="0"/>
                <w:i w:val="0"/>
                <w:sz w:val="20"/>
              </w:rPr>
              <w:t>firstName, lastName, fullName, email, role, school, idNumber, bio, avatarStorageId, passwordHash, sessionToken, verificationStatus, approved, publicKey, hasKeypair</w:t>
            </w:r>
          </w:p>
        </w:tc>
        <w:tc>
          <w:tcPr>
            <w:tcW w:type="dxa" w:w="2016"/>
            <w:vAlign w:val="center"/>
            <w:shd w:val="clear" w:color="auto" w:fill="FFFFFF"/>
          </w:tcPr>
          <w:p>
            <w:pPr>
              <w:jc w:val="left"/>
            </w:pPr>
            <w:r>
              <w:rPr>
                <w:rFonts w:ascii="Times New Roman" w:hAnsi="Times New Roman"/>
                <w:b w:val="0"/>
                <w:i w:val="0"/>
                <w:sz w:val="20"/>
              </w:rPr>
              <w:t>by_email, by_sessionToken, by_school, by_verificationStatus</w:t>
            </w:r>
          </w:p>
        </w:tc>
        <w:tc>
          <w:tcPr>
            <w:tcW w:type="dxa" w:w="2448"/>
            <w:vAlign w:val="center"/>
            <w:shd w:val="clear" w:color="auto" w:fill="FFFFFF"/>
          </w:tcPr>
          <w:p>
            <w:pPr>
              <w:jc w:val="left"/>
            </w:pPr>
            <w:r>
              <w:rPr>
                <w:rFonts w:ascii="Times New Roman" w:hAnsi="Times New Roman"/>
                <w:b w:val="0"/>
                <w:i w:val="0"/>
                <w:sz w:val="20"/>
              </w:rPr>
              <w:t>Stores user profiles, role assignments (student/lecturer), identity verification status, and exported public keys.</w:t>
            </w:r>
          </w:p>
        </w:tc>
      </w:tr>
      <w:tr>
        <w:tc>
          <w:tcPr>
            <w:tcW w:type="dxa" w:w="1728"/>
            <w:vAlign w:val="center"/>
            <w:shd w:val="clear" w:color="auto" w:fill="F2F6FC"/>
          </w:tcPr>
          <w:p>
            <w:pPr>
              <w:jc w:val="left"/>
            </w:pPr>
            <w:r>
              <w:rPr>
                <w:rFonts w:ascii="Times New Roman" w:hAnsi="Times New Roman"/>
                <w:b w:val="0"/>
                <w:i w:val="0"/>
                <w:sz w:val="20"/>
              </w:rPr>
              <w:t>chatRooms</w:t>
            </w:r>
          </w:p>
        </w:tc>
        <w:tc>
          <w:tcPr>
            <w:tcW w:type="dxa" w:w="3168"/>
            <w:vAlign w:val="center"/>
            <w:shd w:val="clear" w:color="auto" w:fill="F2F6FC"/>
          </w:tcPr>
          <w:p>
            <w:pPr>
              <w:jc w:val="left"/>
            </w:pPr>
            <w:r>
              <w:rPr>
                <w:rFonts w:ascii="Times New Roman" w:hAnsi="Times New Roman"/>
                <w:b w:val="0"/>
                <w:i w:val="0"/>
                <w:sz w:val="20"/>
              </w:rPr>
              <w:t>participantIds, participantKey, title, lastMessageText, lastMessageAt, bb84Key, bb84Fingerprint, bb84ConfirmedUsers, bb84DebugInfo</w:t>
            </w:r>
          </w:p>
        </w:tc>
        <w:tc>
          <w:tcPr>
            <w:tcW w:type="dxa" w:w="2016"/>
            <w:vAlign w:val="center"/>
            <w:shd w:val="clear" w:color="auto" w:fill="F2F6FC"/>
          </w:tcPr>
          <w:p>
            <w:pPr>
              <w:jc w:val="left"/>
            </w:pPr>
            <w:r>
              <w:rPr>
                <w:rFonts w:ascii="Times New Roman" w:hAnsi="Times New Roman"/>
                <w:b w:val="0"/>
                <w:i w:val="0"/>
                <w:sz w:val="20"/>
              </w:rPr>
              <w:t>by_participantKey</w:t>
            </w:r>
          </w:p>
        </w:tc>
        <w:tc>
          <w:tcPr>
            <w:tcW w:type="dxa" w:w="2448"/>
            <w:vAlign w:val="center"/>
            <w:shd w:val="clear" w:color="auto" w:fill="F2F6FC"/>
          </w:tcPr>
          <w:p>
            <w:pPr>
              <w:jc w:val="left"/>
            </w:pPr>
            <w:r>
              <w:rPr>
                <w:rFonts w:ascii="Times New Roman" w:hAnsi="Times New Roman"/>
                <w:b w:val="0"/>
                <w:i w:val="0"/>
                <w:sz w:val="20"/>
              </w:rPr>
              <w:t>Tracks one-to-one messaging rooms, participant pairs, active BB84 session keys, and quantum simulation diagnostics.</w:t>
            </w:r>
          </w:p>
        </w:tc>
      </w:tr>
      <w:tr>
        <w:tc>
          <w:tcPr>
            <w:tcW w:type="dxa" w:w="1728"/>
            <w:vAlign w:val="center"/>
            <w:shd w:val="clear" w:color="auto" w:fill="FFFFFF"/>
          </w:tcPr>
          <w:p>
            <w:pPr>
              <w:jc w:val="left"/>
            </w:pPr>
            <w:r>
              <w:rPr>
                <w:rFonts w:ascii="Times New Roman" w:hAnsi="Times New Roman"/>
                <w:b w:val="0"/>
                <w:i w:val="0"/>
                <w:sz w:val="20"/>
              </w:rPr>
              <w:t>chatRoomMembers</w:t>
            </w:r>
          </w:p>
        </w:tc>
        <w:tc>
          <w:tcPr>
            <w:tcW w:type="dxa" w:w="3168"/>
            <w:vAlign w:val="center"/>
            <w:shd w:val="clear" w:color="auto" w:fill="FFFFFF"/>
          </w:tcPr>
          <w:p>
            <w:pPr>
              <w:jc w:val="left"/>
            </w:pPr>
            <w:r>
              <w:rPr>
                <w:rFonts w:ascii="Times New Roman" w:hAnsi="Times New Roman"/>
                <w:b w:val="0"/>
                <w:i w:val="0"/>
                <w:sz w:val="20"/>
              </w:rPr>
              <w:t>roomId, userId, otherUserId, unreadCount, lastReadAt</w:t>
            </w:r>
          </w:p>
        </w:tc>
        <w:tc>
          <w:tcPr>
            <w:tcW w:type="dxa" w:w="2016"/>
            <w:vAlign w:val="center"/>
            <w:shd w:val="clear" w:color="auto" w:fill="FFFFFF"/>
          </w:tcPr>
          <w:p>
            <w:pPr>
              <w:jc w:val="left"/>
            </w:pPr>
            <w:r>
              <w:rPr>
                <w:rFonts w:ascii="Times New Roman" w:hAnsi="Times New Roman"/>
                <w:b w:val="0"/>
                <w:i w:val="0"/>
                <w:sz w:val="20"/>
              </w:rPr>
              <w:t>by_userId_and_updatedAt, by_roomId_and_userId</w:t>
            </w:r>
          </w:p>
        </w:tc>
        <w:tc>
          <w:tcPr>
            <w:tcW w:type="dxa" w:w="2448"/>
            <w:vAlign w:val="center"/>
            <w:shd w:val="clear" w:color="auto" w:fill="FFFFFF"/>
          </w:tcPr>
          <w:p>
            <w:pPr>
              <w:jc w:val="left"/>
            </w:pPr>
            <w:r>
              <w:rPr>
                <w:rFonts w:ascii="Times New Roman" w:hAnsi="Times New Roman"/>
                <w:b w:val="0"/>
                <w:i w:val="0"/>
                <w:sz w:val="20"/>
              </w:rPr>
              <w:t>Manages user room subscriptions, unread message counts, and room update timestamps.</w:t>
            </w:r>
          </w:p>
        </w:tc>
      </w:tr>
      <w:tr>
        <w:tc>
          <w:tcPr>
            <w:tcW w:type="dxa" w:w="1728"/>
            <w:vAlign w:val="center"/>
            <w:shd w:val="clear" w:color="auto" w:fill="F2F6FC"/>
          </w:tcPr>
          <w:p>
            <w:pPr>
              <w:jc w:val="left"/>
            </w:pPr>
            <w:r>
              <w:rPr>
                <w:rFonts w:ascii="Times New Roman" w:hAnsi="Times New Roman"/>
                <w:b w:val="0"/>
                <w:i w:val="0"/>
                <w:sz w:val="20"/>
              </w:rPr>
              <w:t>messages</w:t>
            </w:r>
          </w:p>
        </w:tc>
        <w:tc>
          <w:tcPr>
            <w:tcW w:type="dxa" w:w="3168"/>
            <w:vAlign w:val="center"/>
            <w:shd w:val="clear" w:color="auto" w:fill="F2F6FC"/>
          </w:tcPr>
          <w:p>
            <w:pPr>
              <w:jc w:val="left"/>
            </w:pPr>
            <w:r>
              <w:rPr>
                <w:rFonts w:ascii="Times New Roman" w:hAnsi="Times New Roman"/>
                <w:b w:val="0"/>
                <w:i w:val="0"/>
                <w:sz w:val="20"/>
              </w:rPr>
              <w:t>roomId, senderId, text, iv, isEncrypted, attachmentStorageId, attachmentUrl, attachmentName, attachmentType, attachmentSize, readBy, blockchainTxHash</w:t>
            </w:r>
          </w:p>
        </w:tc>
        <w:tc>
          <w:tcPr>
            <w:tcW w:type="dxa" w:w="2016"/>
            <w:vAlign w:val="center"/>
            <w:shd w:val="clear" w:color="auto" w:fill="F2F6FC"/>
          </w:tcPr>
          <w:p>
            <w:pPr>
              <w:jc w:val="left"/>
            </w:pPr>
            <w:r>
              <w:rPr>
                <w:rFonts w:ascii="Times New Roman" w:hAnsi="Times New Roman"/>
                <w:b w:val="0"/>
                <w:i w:val="0"/>
                <w:sz w:val="20"/>
              </w:rPr>
              <w:t>by_roomId_and_createdAt, by_senderId</w:t>
            </w:r>
          </w:p>
        </w:tc>
        <w:tc>
          <w:tcPr>
            <w:tcW w:type="dxa" w:w="2448"/>
            <w:vAlign w:val="center"/>
            <w:shd w:val="clear" w:color="auto" w:fill="F2F6FC"/>
          </w:tcPr>
          <w:p>
            <w:pPr>
              <w:jc w:val="left"/>
            </w:pPr>
            <w:r>
              <w:rPr>
                <w:rFonts w:ascii="Times New Roman" w:hAnsi="Times New Roman"/>
                <w:b w:val="0"/>
                <w:i w:val="0"/>
                <w:sz w:val="20"/>
              </w:rPr>
              <w:t>Stores chat message payloads, initialization vectors (IV), file attachment references, read receipts, and blockchain transaction hashes.</w:t>
            </w:r>
          </w:p>
        </w:tc>
      </w:tr>
      <w:tr>
        <w:tc>
          <w:tcPr>
            <w:tcW w:type="dxa" w:w="1728"/>
            <w:vAlign w:val="center"/>
            <w:shd w:val="clear" w:color="auto" w:fill="FFFFFF"/>
          </w:tcPr>
          <w:p>
            <w:pPr>
              <w:jc w:val="left"/>
            </w:pPr>
            <w:r>
              <w:rPr>
                <w:rFonts w:ascii="Times New Roman" w:hAnsi="Times New Roman"/>
                <w:b w:val="0"/>
                <w:i w:val="0"/>
                <w:sz w:val="20"/>
              </w:rPr>
              <w:t>questions</w:t>
            </w:r>
          </w:p>
        </w:tc>
        <w:tc>
          <w:tcPr>
            <w:tcW w:type="dxa" w:w="3168"/>
            <w:vAlign w:val="center"/>
            <w:shd w:val="clear" w:color="auto" w:fill="FFFFFF"/>
          </w:tcPr>
          <w:p>
            <w:pPr>
              <w:jc w:val="left"/>
            </w:pPr>
            <w:r>
              <w:rPr>
                <w:rFonts w:ascii="Times New Roman" w:hAnsi="Times New Roman"/>
                <w:b w:val="0"/>
                <w:i w:val="0"/>
                <w:sz w:val="20"/>
              </w:rPr>
              <w:t>authorId, title, body, hashtags, attachmentStorageId, answerCount, answered</w:t>
            </w:r>
          </w:p>
        </w:tc>
        <w:tc>
          <w:tcPr>
            <w:tcW w:type="dxa" w:w="2016"/>
            <w:vAlign w:val="center"/>
            <w:shd w:val="clear" w:color="auto" w:fill="FFFFFF"/>
          </w:tcPr>
          <w:p>
            <w:pPr>
              <w:jc w:val="left"/>
            </w:pPr>
            <w:r>
              <w:rPr>
                <w:rFonts w:ascii="Times New Roman" w:hAnsi="Times New Roman"/>
                <w:b w:val="0"/>
                <w:i w:val="0"/>
                <w:sz w:val="20"/>
              </w:rPr>
              <w:t>by_createdAt, by_authorId_and_createdAt</w:t>
            </w:r>
          </w:p>
        </w:tc>
        <w:tc>
          <w:tcPr>
            <w:tcW w:type="dxa" w:w="2448"/>
            <w:vAlign w:val="center"/>
            <w:shd w:val="clear" w:color="auto" w:fill="FFFFFF"/>
          </w:tcPr>
          <w:p>
            <w:pPr>
              <w:jc w:val="left"/>
            </w:pPr>
            <w:r>
              <w:rPr>
                <w:rFonts w:ascii="Times New Roman" w:hAnsi="Times New Roman"/>
                <w:b w:val="0"/>
                <w:i w:val="0"/>
                <w:sz w:val="20"/>
              </w:rPr>
              <w:t>Stores community Q&amp;A posts, topic hashtags, attachment references, and resolution status.</w:t>
            </w:r>
          </w:p>
        </w:tc>
      </w:tr>
      <w:tr>
        <w:tc>
          <w:tcPr>
            <w:tcW w:type="dxa" w:w="1728"/>
            <w:vAlign w:val="center"/>
            <w:shd w:val="clear" w:color="auto" w:fill="F2F6FC"/>
          </w:tcPr>
          <w:p>
            <w:pPr>
              <w:jc w:val="left"/>
            </w:pPr>
            <w:r>
              <w:rPr>
                <w:rFonts w:ascii="Times New Roman" w:hAnsi="Times New Roman"/>
                <w:b w:val="0"/>
                <w:i w:val="0"/>
                <w:sz w:val="20"/>
              </w:rPr>
              <w:t>answers</w:t>
            </w:r>
          </w:p>
        </w:tc>
        <w:tc>
          <w:tcPr>
            <w:tcW w:type="dxa" w:w="3168"/>
            <w:vAlign w:val="center"/>
            <w:shd w:val="clear" w:color="auto" w:fill="F2F6FC"/>
          </w:tcPr>
          <w:p>
            <w:pPr>
              <w:jc w:val="left"/>
            </w:pPr>
            <w:r>
              <w:rPr>
                <w:rFonts w:ascii="Times New Roman" w:hAnsi="Times New Roman"/>
                <w:b w:val="0"/>
                <w:i w:val="0"/>
                <w:sz w:val="20"/>
              </w:rPr>
              <w:t>questionId, authorId, body, attachmentStorageId</w:t>
            </w:r>
          </w:p>
        </w:tc>
        <w:tc>
          <w:tcPr>
            <w:tcW w:type="dxa" w:w="2016"/>
            <w:vAlign w:val="center"/>
            <w:shd w:val="clear" w:color="auto" w:fill="F2F6FC"/>
          </w:tcPr>
          <w:p>
            <w:pPr>
              <w:jc w:val="left"/>
            </w:pPr>
            <w:r>
              <w:rPr>
                <w:rFonts w:ascii="Times New Roman" w:hAnsi="Times New Roman"/>
                <w:b w:val="0"/>
                <w:i w:val="0"/>
                <w:sz w:val="20"/>
              </w:rPr>
              <w:t>by_questionId_and_createdAt, by_authorId_and_createdAt</w:t>
            </w:r>
          </w:p>
        </w:tc>
        <w:tc>
          <w:tcPr>
            <w:tcW w:type="dxa" w:w="2448"/>
            <w:vAlign w:val="center"/>
            <w:shd w:val="clear" w:color="auto" w:fill="F2F6FC"/>
          </w:tcPr>
          <w:p>
            <w:pPr>
              <w:jc w:val="left"/>
            </w:pPr>
            <w:r>
              <w:rPr>
                <w:rFonts w:ascii="Times New Roman" w:hAnsi="Times New Roman"/>
                <w:b w:val="0"/>
                <w:i w:val="0"/>
                <w:sz w:val="20"/>
              </w:rPr>
              <w:t>Stores responses to community Q&amp;A questions with file attachment references.</w:t>
            </w:r>
          </w:p>
        </w:tc>
      </w:tr>
      <w:tr>
        <w:tc>
          <w:tcPr>
            <w:tcW w:type="dxa" w:w="1728"/>
            <w:vAlign w:val="center"/>
            <w:shd w:val="clear" w:color="auto" w:fill="FFFFFF"/>
          </w:tcPr>
          <w:p>
            <w:pPr>
              <w:jc w:val="left"/>
            </w:pPr>
            <w:r>
              <w:rPr>
                <w:rFonts w:ascii="Times New Roman" w:hAnsi="Times New Roman"/>
                <w:b w:val="0"/>
                <w:i w:val="0"/>
                <w:sz w:val="20"/>
              </w:rPr>
              <w:t>notifications</w:t>
            </w:r>
          </w:p>
        </w:tc>
        <w:tc>
          <w:tcPr>
            <w:tcW w:type="dxa" w:w="3168"/>
            <w:vAlign w:val="center"/>
            <w:shd w:val="clear" w:color="auto" w:fill="FFFFFF"/>
          </w:tcPr>
          <w:p>
            <w:pPr>
              <w:jc w:val="left"/>
            </w:pPr>
            <w:r>
              <w:rPr>
                <w:rFonts w:ascii="Times New Roman" w:hAnsi="Times New Roman"/>
                <w:b w:val="0"/>
                <w:i w:val="0"/>
                <w:sz w:val="20"/>
              </w:rPr>
              <w:t>userId, actorId, questionId, answerId, roomId, type, title, body, read</w:t>
            </w:r>
          </w:p>
        </w:tc>
        <w:tc>
          <w:tcPr>
            <w:tcW w:type="dxa" w:w="2016"/>
            <w:vAlign w:val="center"/>
            <w:shd w:val="clear" w:color="auto" w:fill="FFFFFF"/>
          </w:tcPr>
          <w:p>
            <w:pPr>
              <w:jc w:val="left"/>
            </w:pPr>
            <w:r>
              <w:rPr>
                <w:rFonts w:ascii="Times New Roman" w:hAnsi="Times New Roman"/>
                <w:b w:val="0"/>
                <w:i w:val="0"/>
                <w:sz w:val="20"/>
              </w:rPr>
              <w:t>by_userId_and_createdAt, by_userId_and_read_and_createdAt, by_userId_and_roomId_and_type</w:t>
            </w:r>
          </w:p>
        </w:tc>
        <w:tc>
          <w:tcPr>
            <w:tcW w:type="dxa" w:w="2448"/>
            <w:vAlign w:val="center"/>
            <w:shd w:val="clear" w:color="auto" w:fill="FFFFFF"/>
          </w:tcPr>
          <w:p>
            <w:pPr>
              <w:jc w:val="left"/>
            </w:pPr>
            <w:r>
              <w:rPr>
                <w:rFonts w:ascii="Times New Roman" w:hAnsi="Times New Roman"/>
                <w:b w:val="0"/>
                <w:i w:val="0"/>
                <w:sz w:val="20"/>
              </w:rPr>
              <w:t>Manages user notifications for Q&amp;A replies and BB84 quantum key exchange events.</w:t>
            </w:r>
          </w:p>
        </w:tc>
      </w:tr>
      <w:tr>
        <w:tc>
          <w:tcPr>
            <w:tcW w:type="dxa" w:w="1728"/>
            <w:vAlign w:val="center"/>
            <w:shd w:val="clear" w:color="auto" w:fill="F2F6FC"/>
          </w:tcPr>
          <w:p>
            <w:pPr>
              <w:jc w:val="left"/>
            </w:pPr>
            <w:r>
              <w:rPr>
                <w:rFonts w:ascii="Times New Roman" w:hAnsi="Times New Roman"/>
                <w:b w:val="0"/>
                <w:i w:val="0"/>
                <w:sz w:val="20"/>
              </w:rPr>
              <w:t>verificationRequests</w:t>
            </w:r>
          </w:p>
        </w:tc>
        <w:tc>
          <w:tcPr>
            <w:tcW w:type="dxa" w:w="3168"/>
            <w:vAlign w:val="center"/>
            <w:shd w:val="clear" w:color="auto" w:fill="F2F6FC"/>
          </w:tcPr>
          <w:p>
            <w:pPr>
              <w:jc w:val="left"/>
            </w:pPr>
            <w:r>
              <w:rPr>
                <w:rFonts w:ascii="Times New Roman" w:hAnsi="Times New Roman"/>
                <w:b w:val="0"/>
                <w:i w:val="0"/>
                <w:sz w:val="20"/>
              </w:rPr>
              <w:t>userId, school, idNumber, evidenceStorageId, evidenceUrl, approved, status, submittedAt, reviewedAt</w:t>
            </w:r>
          </w:p>
        </w:tc>
        <w:tc>
          <w:tcPr>
            <w:tcW w:type="dxa" w:w="2016"/>
            <w:vAlign w:val="center"/>
            <w:shd w:val="clear" w:color="auto" w:fill="F2F6FC"/>
          </w:tcPr>
          <w:p>
            <w:pPr>
              <w:jc w:val="left"/>
            </w:pPr>
            <w:r>
              <w:rPr>
                <w:rFonts w:ascii="Times New Roman" w:hAnsi="Times New Roman"/>
                <w:b w:val="0"/>
                <w:i w:val="0"/>
                <w:sz w:val="20"/>
              </w:rPr>
              <w:t>by_userId</w:t>
            </w:r>
          </w:p>
        </w:tc>
        <w:tc>
          <w:tcPr>
            <w:tcW w:type="dxa" w:w="2448"/>
            <w:vAlign w:val="center"/>
            <w:shd w:val="clear" w:color="auto" w:fill="F2F6FC"/>
          </w:tcPr>
          <w:p>
            <w:pPr>
              <w:jc w:val="left"/>
            </w:pPr>
            <w:r>
              <w:rPr>
                <w:rFonts w:ascii="Times New Roman" w:hAnsi="Times New Roman"/>
                <w:b w:val="0"/>
                <w:i w:val="0"/>
                <w:sz w:val="20"/>
              </w:rPr>
              <w:t>Tracks student/lecturer identity verification applications and uploaded evidence documents for administrator review.</w:t>
            </w:r>
          </w:p>
        </w:tc>
      </w:tr>
    </w:tbl>
    <w:p>
      <w:pPr>
        <w:spacing w:before="0" w:after="160"/>
        <w:jc w:val="left"/>
      </w:pPr>
    </w:p>
    <w:p>
      <w:pPr>
        <w:spacing w:before="360" w:after="120"/>
        <w:jc w:val="left"/>
      </w:pPr>
      <w:r>
        <w:rPr>
          <w:rFonts w:ascii="Times New Roman" w:hAnsi="Times New Roman"/>
          <w:b/>
          <w:i w:val="0"/>
          <w:color w:val="003366"/>
          <w:sz w:val="32"/>
        </w:rPr>
        <w:t>3.4  Cryptographic Design and Data Protection Pipeline</w:t>
      </w:r>
    </w:p>
    <w:p>
      <w:pPr>
        <w:spacing w:before="0" w:after="160"/>
        <w:jc w:val="both"/>
      </w:pPr>
      <w:r>
        <w:rPr>
          <w:rFonts w:ascii="Times New Roman" w:hAnsi="Times New Roman"/>
          <w:b w:val="0"/>
          <w:i w:val="0"/>
          <w:sz w:val="24"/>
        </w:rPr>
        <w:t>QChat enforces client-side data protection to ensure message confidentiality and non-repudiation. All cryptographic operations utilize the browser's native Web Crypto API (window.crypto.subtle), eliminating external third-party library vulnerabilities.</w:t>
      </w:r>
    </w:p>
    <w:p>
      <w:pPr>
        <w:spacing w:before="240" w:after="80"/>
        <w:jc w:val="left"/>
      </w:pPr>
      <w:r>
        <w:rPr>
          <w:rFonts w:ascii="Times New Roman" w:hAnsi="Times New Roman"/>
          <w:b/>
          <w:i w:val="0"/>
          <w:color w:val="1F497D"/>
          <w:sz w:val="28"/>
        </w:rPr>
        <w:t>3.4.1  Identity Key Pair Generation (RSA-OAEP 2048-bit)</w:t>
      </w:r>
    </w:p>
    <w:p>
      <w:pPr>
        <w:spacing w:before="0" w:after="160"/>
        <w:jc w:val="both"/>
      </w:pPr>
      <w:r>
        <w:rPr>
          <w:rFonts w:ascii="Times New Roman" w:hAnsi="Times New Roman"/>
          <w:b w:val="0"/>
          <w:i w:val="0"/>
          <w:sz w:val="24"/>
        </w:rPr>
        <w:t>When a user logs in for the first time, the CryptographicLoginGatekeeper component automatically triggers the generation of an asymmetric key pair inside the browser environment. The public key is exported as a Base64-encoded string and pinned to the user's database profile in Convex. The corresponding private key is stored non-extractably in the browser's local storage (qchat_private_identity_key). This asymmetric key pair is used to exchange symmetric session keys between users.</w:t>
      </w:r>
    </w:p>
    <w:p>
      <w:pPr>
        <w:spacing w:before="240" w:after="80"/>
        <w:jc w:val="left"/>
      </w:pPr>
      <w:r>
        <w:rPr>
          <w:rFonts w:ascii="Times New Roman" w:hAnsi="Times New Roman"/>
          <w:b/>
          <w:i w:val="0"/>
          <w:color w:val="1F497D"/>
          <w:sz w:val="28"/>
        </w:rPr>
        <w:t>3.4.2  Symmetric Message and File Data Protection (AES-GCM 256-bit)</w:t>
      </w:r>
    </w:p>
    <w:p>
      <w:pPr>
        <w:spacing w:before="0" w:after="160"/>
        <w:jc w:val="both"/>
      </w:pPr>
      <w:r>
        <w:rPr>
          <w:rFonts w:ascii="Times New Roman" w:hAnsi="Times New Roman"/>
          <w:b w:val="0"/>
          <w:i w:val="0"/>
          <w:sz w:val="24"/>
        </w:rPr>
        <w:t>Bulk data — including chat text messages and uploaded document files — is protected using a 256-bit symmetric key operating under AES-GCM mode. For text messages, the client encodes plaintext into a byte array, generates a 12-byte cryptographically random Initialization Vector (IV), and executes symmetric transformation. The resulting protected ciphertext and IV are encoded in Base64 before transmission to Convex. For file attachments, the file ArrayBuffer is processed symmetrically to produce a protected Blob payload, which is uploaded directly to Convex binary storage buckets while preserving original file metadata.</w:t>
      </w:r>
    </w:p>
    <w:p>
      <w:pPr>
        <w:spacing w:before="240" w:after="80"/>
        <w:jc w:val="left"/>
      </w:pPr>
      <w:r>
        <w:rPr>
          <w:rFonts w:ascii="Times New Roman" w:hAnsi="Times New Roman"/>
          <w:b/>
          <w:i w:val="0"/>
          <w:color w:val="1F497D"/>
          <w:sz w:val="28"/>
        </w:rPr>
        <w:t>3.4.3  Message Fingerprinting (SHA-256)</w:t>
      </w:r>
    </w:p>
    <w:p>
      <w:pPr>
        <w:spacing w:before="0" w:after="160"/>
        <w:jc w:val="both"/>
      </w:pPr>
      <w:r>
        <w:rPr>
          <w:rFonts w:ascii="Times New Roman" w:hAnsi="Times New Roman"/>
          <w:b w:val="0"/>
          <w:i w:val="0"/>
          <w:sz w:val="24"/>
        </w:rPr>
        <w:t>Prior to transmission, the client computes a 256-bit SHA-256 digital fingerprint of the message payload. This fingerprint serves as a unique content identifier that is transmitted to the Hyperledger Besu blockchain smart contract to establish an undeniable audit record.</w:t>
      </w:r>
    </w:p>
    <w:p>
      <w:pPr>
        <w:spacing w:before="360" w:after="120"/>
        <w:jc w:val="left"/>
      </w:pPr>
      <w:r>
        <w:rPr>
          <w:rFonts w:ascii="Times New Roman" w:hAnsi="Times New Roman"/>
          <w:b/>
          <w:i w:val="0"/>
          <w:color w:val="003366"/>
          <w:sz w:val="32"/>
        </w:rPr>
        <w:t>3.5  BB84 Quantum Key Distribution Simulation Design</w:t>
      </w:r>
    </w:p>
    <w:p>
      <w:pPr>
        <w:spacing w:before="0" w:after="160"/>
        <w:jc w:val="both"/>
      </w:pPr>
      <w:r>
        <w:rPr>
          <w:rFonts w:ascii="Times New Roman" w:hAnsi="Times New Roman"/>
          <w:b w:val="0"/>
          <w:i w:val="0"/>
          <w:sz w:val="24"/>
        </w:rPr>
        <w:t>To introduce post-quantum key generation concepts, QChat incorporates an in-browser software simulation of the BB84 Quantum Key Distribution (QKD) protocol (src/lib/bb84.ts). The simulation executes the following algorithmic steps:</w:t>
      </w:r>
    </w:p>
    <w:p>
      <w:pPr>
        <w:pStyle w:val="ListNumber"/>
        <w:spacing w:after="80"/>
      </w:pPr>
      <w:r>
        <w:rPr>
          <w:rFonts w:ascii="Times New Roman" w:hAnsi="Times New Roman"/>
          <w:b w:val="0"/>
          <w:i w:val="0"/>
          <w:sz w:val="24"/>
        </w:rPr>
        <w:t>Qubit Preparation (Alice): Alice generates cryptographically random binary bits (0 or 1) and assigns random measurement bases — either Rectilinear (+) or Diagonal (×).</w:t>
      </w:r>
    </w:p>
    <w:p>
      <w:pPr>
        <w:pStyle w:val="ListNumber"/>
        <w:spacing w:after="80"/>
      </w:pPr>
      <w:r>
        <w:rPr>
          <w:rFonts w:ascii="Times New Roman" w:hAnsi="Times New Roman"/>
          <w:b w:val="0"/>
          <w:i w:val="0"/>
          <w:sz w:val="24"/>
        </w:rPr>
        <w:t>Quantum Channel Transmission Simulation: Alice sends the prepared qubits over a simulated quantum channel. If eavesdropping is enabled in test mode, measurement perturbations are applied to the quantum states.</w:t>
      </w:r>
    </w:p>
    <w:p>
      <w:pPr>
        <w:pStyle w:val="ListNumber"/>
        <w:spacing w:after="80"/>
      </w:pPr>
      <w:r>
        <w:rPr>
          <w:rFonts w:ascii="Times New Roman" w:hAnsi="Times New Roman"/>
          <w:b w:val="0"/>
          <w:i w:val="0"/>
          <w:sz w:val="24"/>
        </w:rPr>
        <w:t>Measurement Simulation (Bob): Bob selects measurement bases (+) or (×) at random. If Bob's basis matches Alice's basis, Bob measures the exact bit value deterministically. If bases mismatch, Bob measures a randomized bit (50% probability).</w:t>
      </w:r>
    </w:p>
    <w:p>
      <w:pPr>
        <w:pStyle w:val="ListNumber"/>
        <w:spacing w:after="80"/>
      </w:pPr>
      <w:r>
        <w:rPr>
          <w:rFonts w:ascii="Times New Roman" w:hAnsi="Times New Roman"/>
          <w:b w:val="0"/>
          <w:i w:val="0"/>
          <w:sz w:val="24"/>
        </w:rPr>
        <w:t>Basis Reconciliation (Sifting Phase): Alice and Bob communicate over a public channel to compare their basis choices. All positions where their bases mismatched are discarded, leaving the sifted key.</w:t>
      </w:r>
    </w:p>
    <w:p>
      <w:pPr>
        <w:pStyle w:val="ListNumber"/>
        <w:spacing w:after="80"/>
      </w:pPr>
      <w:r>
        <w:rPr>
          <w:rFonts w:ascii="Times New Roman" w:hAnsi="Times New Roman"/>
          <w:b w:val="0"/>
          <w:i w:val="0"/>
          <w:sz w:val="24"/>
        </w:rPr>
        <w:t>Quantum Bit Error Rate (QBER) Evaluation: The simulation compares a sample subset of matching indices to calculate QBER = (Error Count / Matching Indices Count). If QBER exceeds 0.11 (11%), eavesdropping is detected and the session key is rejected.</w:t>
      </w:r>
    </w:p>
    <w:p>
      <w:pPr>
        <w:pStyle w:val="ListNumber"/>
        <w:spacing w:after="80"/>
      </w:pPr>
      <w:r>
        <w:rPr>
          <w:rFonts w:ascii="Times New Roman" w:hAnsi="Times New Roman"/>
          <w:b w:val="0"/>
          <w:i w:val="0"/>
          <w:sz w:val="24"/>
        </w:rPr>
        <w:t>Session Key Derivation and Fingerprint Formatting: The sifted bits are converted into a 256-bit hexadecimal string (bitsToHex()). A SHA-256 digest is taken to produce a human-readable fingerprint formatted as XXXX-XXXX-XXXX (e.g., A3F9-7C2B-1E8D), which is stored in the chat room record.</w:t>
      </w:r>
    </w:p>
    <w:p>
      <w:pPr>
        <w:spacing w:before="360" w:after="120"/>
        <w:jc w:val="left"/>
      </w:pPr>
      <w:r>
        <w:rPr>
          <w:rFonts w:ascii="Times New Roman" w:hAnsi="Times New Roman"/>
          <w:b/>
          <w:i w:val="0"/>
          <w:color w:val="003366"/>
          <w:sz w:val="32"/>
        </w:rPr>
        <w:t>3.6  Smart Contract Architecture (MessageVerifier.sol)</w:t>
      </w:r>
    </w:p>
    <w:p>
      <w:pPr>
        <w:spacing w:before="0" w:after="160"/>
        <w:jc w:val="both"/>
      </w:pPr>
      <w:r>
        <w:rPr>
          <w:rFonts w:ascii="Times New Roman" w:hAnsi="Times New Roman"/>
          <w:b w:val="0"/>
          <w:i w:val="0"/>
          <w:sz w:val="24"/>
        </w:rPr>
        <w:t>The verification layer is powered by a Solidity smart contract (MessageVerifier.sol) compiled under version 0.8.20 and deployed on a locally hosted Hyperledger Besu private network. The contract maintains two primary state mappings:</w:t>
      </w:r>
    </w:p>
    <w:p>
      <w:pPr>
        <w:pStyle w:val="ListBullet"/>
        <w:spacing w:after="80"/>
        <w:ind w:left="360"/>
      </w:pPr>
      <w:r>
        <w:rPr>
          <w:rFonts w:ascii="Times New Roman" w:hAnsi="Times New Roman"/>
          <w:b w:val="0"/>
          <w:i w:val="0"/>
          <w:sz w:val="24"/>
        </w:rPr>
        <w:t>messageRecords: Mapping from a unique string messageId to a MessageRecord struct containing messageHash (bytes32 SHA-256 fingerprint), sender address, receiver address, and block timestamp.</w:t>
      </w:r>
    </w:p>
    <w:p>
      <w:pPr>
        <w:pStyle w:val="ListBullet"/>
        <w:spacing w:after="80"/>
        <w:ind w:left="360"/>
      </w:pPr>
      <w:r>
        <w:rPr>
          <w:rFonts w:ascii="Times New Roman" w:hAnsi="Times New Roman"/>
          <w:b w:val="0"/>
          <w:i w:val="0"/>
          <w:sz w:val="24"/>
        </w:rPr>
        <w:t>userRoles: Mapping from user wallet address to assigned institutional role ('student', 'lecturer', 'admin').</w:t>
      </w:r>
    </w:p>
    <w:p>
      <w:pPr>
        <w:spacing w:before="0" w:after="160"/>
        <w:jc w:val="both"/>
      </w:pPr>
      <w:r>
        <w:rPr>
          <w:rFonts w:ascii="Times New Roman" w:hAnsi="Times New Roman"/>
          <w:b w:val="0"/>
          <w:i w:val="0"/>
          <w:sz w:val="24"/>
        </w:rPr>
        <w:t>Core Smart Contract Functions:</w:t>
      </w:r>
    </w:p>
    <w:p>
      <w:pPr>
        <w:spacing w:before="0" w:after="160"/>
        <w:jc w:val="both"/>
      </w:pPr>
      <w:r>
        <w:rPr>
          <w:rFonts w:ascii="Times New Roman" w:hAnsi="Times New Roman"/>
          <w:b/>
          <w:i w:val="0"/>
          <w:sz w:val="24"/>
        </w:rPr>
        <w:t xml:space="preserve">recordHash(string messageId, bytes32 messageHash, address sender, address receiver): </w:t>
      </w:r>
      <w:r>
        <w:rPr>
          <w:rFonts w:ascii="Times New Roman" w:hAnsi="Times New Roman"/>
          <w:b w:val="0"/>
          <w:i w:val="0"/>
          <w:sz w:val="24"/>
        </w:rPr>
        <w:t>Records an immutable message fingerprint on-chain. Emits MessageHashRecorded event.</w:t>
      </w:r>
    </w:p>
    <w:p>
      <w:pPr>
        <w:spacing w:before="0" w:after="160"/>
        <w:jc w:val="both"/>
      </w:pPr>
      <w:r>
        <w:rPr>
          <w:rFonts w:ascii="Times New Roman" w:hAnsi="Times New Roman"/>
          <w:b/>
          <w:i w:val="0"/>
          <w:sz w:val="24"/>
        </w:rPr>
        <w:t xml:space="preserve">verifyHash(string messageId): </w:t>
      </w:r>
      <w:r>
        <w:rPr>
          <w:rFonts w:ascii="Times New Roman" w:hAnsi="Times New Roman"/>
          <w:b w:val="0"/>
          <w:i w:val="0"/>
          <w:sz w:val="24"/>
        </w:rPr>
        <w:t>Returns the stored bytes32 SHA-256 fingerprint for on-chain integrity verification.</w:t>
      </w:r>
    </w:p>
    <w:p>
      <w:pPr>
        <w:spacing w:before="0" w:after="160"/>
        <w:jc w:val="both"/>
      </w:pPr>
      <w:r>
        <w:rPr>
          <w:rFonts w:ascii="Times New Roman" w:hAnsi="Times New Roman"/>
          <w:b/>
          <w:i w:val="0"/>
          <w:sz w:val="24"/>
        </w:rPr>
        <w:t xml:space="preserve">verifyUser(address userAddress, string role): </w:t>
      </w:r>
      <w:r>
        <w:rPr>
          <w:rFonts w:ascii="Times New Roman" w:hAnsi="Times New Roman"/>
          <w:b w:val="0"/>
          <w:i w:val="0"/>
          <w:sz w:val="24"/>
        </w:rPr>
        <w:t>Restricted to contract admin via onlyAdmin modifier. Writes verified user roles to the ledger and emits UserVerified event.</w:t>
      </w:r>
    </w:p>
    <w:p>
      <w:pPr>
        <w:spacing w:before="0" w:after="160"/>
        <w:jc w:val="both"/>
      </w:pPr>
      <w:r>
        <w:rPr>
          <w:rFonts w:ascii="Times New Roman" w:hAnsi="Times New Roman"/>
          <w:b/>
          <w:i w:val="0"/>
          <w:sz w:val="24"/>
        </w:rPr>
        <w:t xml:space="preserve">getUserRole(address userAddress): </w:t>
      </w:r>
      <w:r>
        <w:rPr>
          <w:rFonts w:ascii="Times New Roman" w:hAnsi="Times New Roman"/>
          <w:b w:val="0"/>
          <w:i w:val="0"/>
          <w:sz w:val="24"/>
        </w:rPr>
        <w:t>Returns the verified role string associated with a wallet address.</w:t>
      </w:r>
    </w:p>
    <w:p>
      <w:pPr>
        <w:spacing w:before="0" w:after="160"/>
        <w:jc w:val="both"/>
      </w:pPr>
      <w:r>
        <w:rPr>
          <w:rFonts w:ascii="Times New Roman" w:hAnsi="Times New Roman"/>
          <w:b w:val="0"/>
          <w:i w:val="0"/>
          <w:sz w:val="24"/>
        </w:rPr>
        <w:t>Besu Network Configuration: The contract is deployed to Hyperledger Besu running locally at http://127.0.0.1:8545 under QBFT consensus (chainId: 1337). Gas price is configured to zero (gasPrice: 0), eliminating transaction cost barriers for institutional recording.</w:t>
      </w:r>
    </w:p>
    <w:p>
      <w:pPr>
        <w:spacing w:before="360" w:after="120"/>
        <w:jc w:val="left"/>
      </w:pPr>
      <w:r>
        <w:rPr>
          <w:rFonts w:ascii="Times New Roman" w:hAnsi="Times New Roman"/>
          <w:b/>
          <w:i w:val="0"/>
          <w:color w:val="003366"/>
          <w:sz w:val="32"/>
        </w:rPr>
        <w:t>3.7  Data Flow Diagrams (DFDs)</w:t>
      </w:r>
    </w:p>
    <w:p>
      <w:pPr>
        <w:spacing w:before="0" w:after="160"/>
        <w:jc w:val="both"/>
      </w:pPr>
      <w:r>
        <w:rPr>
          <w:rFonts w:ascii="Times New Roman" w:hAnsi="Times New Roman"/>
          <w:b w:val="0"/>
          <w:i w:val="0"/>
          <w:sz w:val="24"/>
        </w:rPr>
        <w:t>System data processing is modeled across two key operational workflows:</w:t>
      </w:r>
    </w:p>
    <w:p>
      <w:pPr>
        <w:spacing w:before="240" w:after="80"/>
        <w:jc w:val="left"/>
      </w:pPr>
      <w:r>
        <w:rPr>
          <w:rFonts w:ascii="Times New Roman" w:hAnsi="Times New Roman"/>
          <w:b/>
          <w:i w:val="0"/>
          <w:color w:val="1F497D"/>
          <w:sz w:val="28"/>
        </w:rPr>
        <w:t>3.7.1  Level 1 DFD: Message Transmission and Blockchain Fingerprinting Flow</w:t>
      </w:r>
    </w:p>
    <w:p>
      <w:pPr>
        <w:spacing w:before="0" w:after="160"/>
        <w:jc w:val="both"/>
      </w:pPr>
      <w:r>
        <w:rPr>
          <w:rFonts w:ascii="Times New Roman" w:hAnsi="Times New Roman"/>
          <w:b w:val="0"/>
          <w:i w:val="0"/>
          <w:sz w:val="24"/>
        </w:rPr>
        <w:t>1. Sender enters text/file → 2. Client Web Crypto API performs client-side AES-GCM protection → 3. Client generates SHA-256 payload fingerprint → 4. Protected message blob stored in Convex cloud DB → 5. Ethers.js service submits SHA-256 fingerprint to Besu contract (recordHash()) → 6. Transaction hash returned and stored in Convex message record → 7. Recipient receives real-time payload, unwraps content, and verifies on-chain fingerprint.</w:t>
      </w:r>
    </w:p>
    <w:p>
      <w:pPr>
        <w:spacing w:before="240" w:after="80"/>
        <w:jc w:val="left"/>
      </w:pPr>
      <w:r>
        <w:rPr>
          <w:rFonts w:ascii="Times New Roman" w:hAnsi="Times New Roman"/>
          <w:b/>
          <w:i w:val="0"/>
          <w:color w:val="1F497D"/>
          <w:sz w:val="28"/>
        </w:rPr>
        <w:t>3.7.2  Level 1 DFD: Identity Verification Workflow</w:t>
      </w:r>
    </w:p>
    <w:p>
      <w:pPr>
        <w:spacing w:before="0" w:after="160"/>
        <w:jc w:val="both"/>
      </w:pPr>
      <w:r>
        <w:rPr>
          <w:rFonts w:ascii="Times New Roman" w:hAnsi="Times New Roman"/>
          <w:b w:val="0"/>
          <w:i w:val="0"/>
          <w:sz w:val="24"/>
        </w:rPr>
        <w:t>1. Student/Lecturer submits institutional ID evidence → 2. Evidence blob uploaded to Convex storage bucket → 3. Verification request created in pending state → 4. Admin reviews request in Admin Dashboard → 5. Admin clicks Approve → 6. Convex status updated to approved → 7. Ethers.js invokes verifyUser() on Besu contract, permanently anchoring user role on-chain.</w:t>
      </w:r>
    </w:p>
    <w:p>
      <w:pPr>
        <w:spacing w:before="360" w:after="120"/>
        <w:jc w:val="left"/>
      </w:pPr>
      <w:r>
        <w:rPr>
          <w:rFonts w:ascii="Times New Roman" w:hAnsi="Times New Roman"/>
          <w:b/>
          <w:i w:val="0"/>
          <w:color w:val="003366"/>
          <w:sz w:val="32"/>
        </w:rPr>
        <w:t>3.8  User Interface Architecture and Screen Inventory</w:t>
      </w:r>
    </w:p>
    <w:p>
      <w:pPr>
        <w:spacing w:before="0" w:after="160"/>
        <w:jc w:val="both"/>
      </w:pPr>
      <w:r>
        <w:rPr>
          <w:rFonts w:ascii="Times New Roman" w:hAnsi="Times New Roman"/>
          <w:b w:val="0"/>
          <w:i w:val="0"/>
          <w:sz w:val="24"/>
        </w:rPr>
        <w:t>The application UI is structured into nine functional screens rendered using React 19 and React Router DOM v7:</w:t>
      </w:r>
    </w:p>
    <w:p>
      <w:pPr>
        <w:spacing w:before="0" w:after="120"/>
        <w:jc w:val="both"/>
      </w:pPr>
      <w:r>
        <w:rPr>
          <w:rFonts w:ascii="Times New Roman" w:hAnsi="Times New Roman"/>
          <w:b/>
          <w:i w:val="0"/>
          <w:sz w:val="24"/>
        </w:rPr>
        <w:t xml:space="preserve">Landing Page (LandingPage.tsx): </w:t>
      </w:r>
      <w:r>
        <w:rPr>
          <w:rFonts w:ascii="Times New Roman" w:hAnsi="Times New Roman"/>
          <w:b w:val="0"/>
          <w:i w:val="0"/>
          <w:sz w:val="24"/>
        </w:rPr>
        <w:t>Public landing screen highlighting system features and authentication entry points.</w:t>
      </w:r>
    </w:p>
    <w:p>
      <w:pPr>
        <w:spacing w:before="0" w:after="120"/>
        <w:jc w:val="both"/>
      </w:pPr>
      <w:r>
        <w:rPr>
          <w:rFonts w:ascii="Times New Roman" w:hAnsi="Times New Roman"/>
          <w:b/>
          <w:i w:val="0"/>
          <w:sz w:val="24"/>
        </w:rPr>
        <w:t xml:space="preserve">User Registration (Register.tsx): </w:t>
      </w:r>
      <w:r>
        <w:rPr>
          <w:rFonts w:ascii="Times New Roman" w:hAnsi="Times New Roman"/>
          <w:b w:val="0"/>
          <w:i w:val="0"/>
          <w:sz w:val="24"/>
        </w:rPr>
        <w:t>Account creation form capturing name, email, school, role selection, and password.</w:t>
      </w:r>
    </w:p>
    <w:p>
      <w:pPr>
        <w:spacing w:before="0" w:after="120"/>
        <w:jc w:val="both"/>
      </w:pPr>
      <w:r>
        <w:rPr>
          <w:rFonts w:ascii="Times New Roman" w:hAnsi="Times New Roman"/>
          <w:b/>
          <w:i w:val="0"/>
          <w:sz w:val="24"/>
        </w:rPr>
        <w:t xml:space="preserve">User Login (Login.tsx): </w:t>
      </w:r>
      <w:r>
        <w:rPr>
          <w:rFonts w:ascii="Times New Roman" w:hAnsi="Times New Roman"/>
          <w:b w:val="0"/>
          <w:i w:val="0"/>
          <w:sz w:val="24"/>
        </w:rPr>
        <w:t>Authentication portal generating session tokens and triggering background key pair setup.</w:t>
      </w:r>
    </w:p>
    <w:p>
      <w:pPr>
        <w:spacing w:before="0" w:after="120"/>
        <w:jc w:val="both"/>
      </w:pPr>
      <w:r>
        <w:rPr>
          <w:rFonts w:ascii="Times New Roman" w:hAnsi="Times New Roman"/>
          <w:b/>
          <w:i w:val="0"/>
          <w:sz w:val="24"/>
        </w:rPr>
        <w:t xml:space="preserve">Forgot Password (ForgotPassword.tsx): </w:t>
      </w:r>
      <w:r>
        <w:rPr>
          <w:rFonts w:ascii="Times New Roman" w:hAnsi="Times New Roman"/>
          <w:b w:val="0"/>
          <w:i w:val="0"/>
          <w:sz w:val="24"/>
        </w:rPr>
        <w:t>Account recovery interface enabling credential updates.</w:t>
      </w:r>
    </w:p>
    <w:p>
      <w:pPr>
        <w:spacing w:before="0" w:after="120"/>
        <w:jc w:val="both"/>
      </w:pPr>
      <w:r>
        <w:rPr>
          <w:rFonts w:ascii="Times New Roman" w:hAnsi="Times New Roman"/>
          <w:b/>
          <w:i w:val="0"/>
          <w:sz w:val="24"/>
        </w:rPr>
        <w:t xml:space="preserve">Messaging Center (MessagesList.tsx): </w:t>
      </w:r>
      <w:r>
        <w:rPr>
          <w:rFonts w:ascii="Times New Roman" w:hAnsi="Times New Roman"/>
          <w:b w:val="0"/>
          <w:i w:val="0"/>
          <w:sz w:val="24"/>
        </w:rPr>
        <w:t>Core messaging hub featuring real-time room feeds, sensitive mode toggle, BB84 simulation controls, and document preview controls.</w:t>
      </w:r>
    </w:p>
    <w:p>
      <w:pPr>
        <w:spacing w:before="0" w:after="120"/>
        <w:jc w:val="both"/>
      </w:pPr>
      <w:r>
        <w:rPr>
          <w:rFonts w:ascii="Times New Roman" w:hAnsi="Times New Roman"/>
          <w:b/>
          <w:i w:val="0"/>
          <w:sz w:val="24"/>
        </w:rPr>
        <w:t xml:space="preserve">Community Q&amp;A (QAPage.tsx): </w:t>
      </w:r>
      <w:r>
        <w:rPr>
          <w:rFonts w:ascii="Times New Roman" w:hAnsi="Times New Roman"/>
          <w:b w:val="0"/>
          <w:i w:val="0"/>
          <w:sz w:val="24"/>
        </w:rPr>
        <w:t>Interactive Q&amp;A forum with hashtag filtering, answer posting, and notification counters.</w:t>
      </w:r>
    </w:p>
    <w:p>
      <w:pPr>
        <w:spacing w:before="0" w:after="120"/>
        <w:jc w:val="both"/>
      </w:pPr>
      <w:r>
        <w:rPr>
          <w:rFonts w:ascii="Times New Roman" w:hAnsi="Times New Roman"/>
          <w:b/>
          <w:i w:val="0"/>
          <w:sz w:val="24"/>
        </w:rPr>
        <w:t xml:space="preserve">Explore Board (Explore.tsx): </w:t>
      </w:r>
      <w:r>
        <w:rPr>
          <w:rFonts w:ascii="Times New Roman" w:hAnsi="Times New Roman"/>
          <w:b w:val="0"/>
          <w:i w:val="0"/>
          <w:sz w:val="24"/>
        </w:rPr>
        <w:t>Discovery screen for browsing institutional questions and academic topics.</w:t>
      </w:r>
    </w:p>
    <w:p>
      <w:pPr>
        <w:spacing w:before="0" w:after="120"/>
        <w:jc w:val="both"/>
      </w:pPr>
      <w:r>
        <w:rPr>
          <w:rFonts w:ascii="Times New Roman" w:hAnsi="Times New Roman"/>
          <w:b/>
          <w:i w:val="0"/>
          <w:sz w:val="24"/>
        </w:rPr>
        <w:t xml:space="preserve">Verify Profile (VerifyProfile.tsx): </w:t>
      </w:r>
      <w:r>
        <w:rPr>
          <w:rFonts w:ascii="Times New Roman" w:hAnsi="Times New Roman"/>
          <w:b w:val="0"/>
          <w:i w:val="0"/>
          <w:sz w:val="24"/>
        </w:rPr>
        <w:t>User portal for uploading student/lecturer ID cards and tracking approval status.</w:t>
      </w:r>
    </w:p>
    <w:p>
      <w:pPr>
        <w:spacing w:before="0" w:after="120"/>
        <w:jc w:val="both"/>
      </w:pPr>
      <w:r>
        <w:rPr>
          <w:rFonts w:ascii="Times New Roman" w:hAnsi="Times New Roman"/>
          <w:b/>
          <w:i w:val="0"/>
          <w:sz w:val="24"/>
        </w:rPr>
        <w:t xml:space="preserve">Admin Dashboard (Admin.tsx): </w:t>
      </w:r>
      <w:r>
        <w:rPr>
          <w:rFonts w:ascii="Times New Roman" w:hAnsi="Times New Roman"/>
          <w:b w:val="0"/>
          <w:i w:val="0"/>
          <w:sz w:val="24"/>
        </w:rPr>
        <w:t>Governance portal allowing administrators to review verification evidence, approve users, and trigger blockchain role registrations.</w:t>
      </w:r>
    </w:p>
    <w:p>
      <w:pPr>
        <w:spacing w:before="360" w:after="120"/>
        <w:jc w:val="left"/>
      </w:pPr>
      <w:r>
        <w:rPr>
          <w:rFonts w:ascii="Times New Roman" w:hAnsi="Times New Roman"/>
          <w:b/>
          <w:i w:val="0"/>
          <w:color w:val="003366"/>
          <w:sz w:val="32"/>
        </w:rPr>
        <w:t>3.9  Security Architecture and Threat Model</w:t>
      </w:r>
    </w:p>
    <w:p>
      <w:pPr>
        <w:spacing w:before="0" w:after="160"/>
        <w:jc w:val="both"/>
      </w:pPr>
      <w:r>
        <w:rPr>
          <w:rFonts w:ascii="Times New Roman" w:hAnsi="Times New Roman"/>
          <w:b w:val="0"/>
          <w:i w:val="0"/>
          <w:sz w:val="24"/>
        </w:rPr>
        <w:t>A structured threat model was constructed to evaluate QChat's resilience against potential security vectors: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872"/>
            <w:vAlign w:val="center"/>
            <w:shd w:val="clear" w:color="auto" w:fill="1F497D"/>
          </w:tcPr>
          <w:p>
            <w:pPr>
              <w:jc w:val="center"/>
            </w:pPr>
            <w:r>
              <w:rPr>
                <w:rFonts w:ascii="Times New Roman" w:hAnsi="Times New Roman"/>
                <w:b/>
                <w:i w:val="0"/>
                <w:color w:val="FFFFFF"/>
                <w:sz w:val="20"/>
              </w:rPr>
              <w:t>Threat Category</w:t>
            </w:r>
          </w:p>
        </w:tc>
        <w:tc>
          <w:tcPr>
            <w:tcW w:type="dxa" w:w="2592"/>
            <w:vAlign w:val="center"/>
            <w:shd w:val="clear" w:color="auto" w:fill="1F497D"/>
          </w:tcPr>
          <w:p>
            <w:pPr>
              <w:jc w:val="center"/>
            </w:pPr>
            <w:r>
              <w:rPr>
                <w:rFonts w:ascii="Times New Roman" w:hAnsi="Times New Roman"/>
                <w:b/>
                <w:i w:val="0"/>
                <w:color w:val="FFFFFF"/>
                <w:sz w:val="20"/>
              </w:rPr>
              <w:t>Attack Vector Description</w:t>
            </w:r>
          </w:p>
        </w:tc>
        <w:tc>
          <w:tcPr>
            <w:tcW w:type="dxa" w:w="2016"/>
            <w:vAlign w:val="center"/>
            <w:shd w:val="clear" w:color="auto" w:fill="1F497D"/>
          </w:tcPr>
          <w:p>
            <w:pPr>
              <w:jc w:val="center"/>
            </w:pPr>
            <w:r>
              <w:rPr>
                <w:rFonts w:ascii="Times New Roman" w:hAnsi="Times New Roman"/>
                <w:b/>
                <w:i w:val="0"/>
                <w:color w:val="FFFFFF"/>
                <w:sz w:val="20"/>
              </w:rPr>
              <w:t>Target System Component</w:t>
            </w:r>
          </w:p>
        </w:tc>
        <w:tc>
          <w:tcPr>
            <w:tcW w:type="dxa" w:w="2880"/>
            <w:vAlign w:val="center"/>
            <w:shd w:val="clear" w:color="auto" w:fill="1F497D"/>
          </w:tcPr>
          <w:p>
            <w:pPr>
              <w:jc w:val="center"/>
            </w:pPr>
            <w:r>
              <w:rPr>
                <w:rFonts w:ascii="Times New Roman" w:hAnsi="Times New Roman"/>
                <w:b/>
                <w:i w:val="0"/>
                <w:color w:val="FFFFFF"/>
                <w:sz w:val="20"/>
              </w:rPr>
              <w:t>Implemented Countermeasure</w:t>
            </w:r>
          </w:p>
        </w:tc>
      </w:tr>
      <w:tr>
        <w:tc>
          <w:tcPr>
            <w:tcW w:type="dxa" w:w="1872"/>
            <w:vAlign w:val="center"/>
            <w:shd w:val="clear" w:color="auto" w:fill="F2F6FC"/>
          </w:tcPr>
          <w:p>
            <w:pPr>
              <w:jc w:val="left"/>
            </w:pPr>
            <w:r>
              <w:rPr>
                <w:rFonts w:ascii="Times New Roman" w:hAnsi="Times New Roman"/>
                <w:b w:val="0"/>
                <w:i w:val="0"/>
                <w:sz w:val="20"/>
              </w:rPr>
              <w:t>Content Modification</w:t>
            </w:r>
          </w:p>
        </w:tc>
        <w:tc>
          <w:tcPr>
            <w:tcW w:type="dxa" w:w="2592"/>
            <w:vAlign w:val="center"/>
            <w:shd w:val="clear" w:color="auto" w:fill="F2F6FC"/>
          </w:tcPr>
          <w:p>
            <w:pPr>
              <w:jc w:val="left"/>
            </w:pPr>
            <w:r>
              <w:rPr>
                <w:rFonts w:ascii="Times New Roman" w:hAnsi="Times New Roman"/>
                <w:b w:val="0"/>
                <w:i w:val="0"/>
                <w:sz w:val="20"/>
              </w:rPr>
              <w:t>An attacker or database admin attempts to alter stored message text or submission timestamps.</w:t>
            </w:r>
          </w:p>
        </w:tc>
        <w:tc>
          <w:tcPr>
            <w:tcW w:type="dxa" w:w="2016"/>
            <w:vAlign w:val="center"/>
            <w:shd w:val="clear" w:color="auto" w:fill="F2F6FC"/>
          </w:tcPr>
          <w:p>
            <w:pPr>
              <w:jc w:val="left"/>
            </w:pPr>
            <w:r>
              <w:rPr>
                <w:rFonts w:ascii="Times New Roman" w:hAnsi="Times New Roman"/>
                <w:b w:val="0"/>
                <w:i w:val="0"/>
                <w:sz w:val="20"/>
              </w:rPr>
              <w:t>Convex Database / Message Records</w:t>
            </w:r>
          </w:p>
        </w:tc>
        <w:tc>
          <w:tcPr>
            <w:tcW w:type="dxa" w:w="2880"/>
            <w:vAlign w:val="center"/>
            <w:shd w:val="clear" w:color="auto" w:fill="F2F6FC"/>
          </w:tcPr>
          <w:p>
            <w:pPr>
              <w:jc w:val="left"/>
            </w:pPr>
            <w:r>
              <w:rPr>
                <w:rFonts w:ascii="Times New Roman" w:hAnsi="Times New Roman"/>
                <w:b w:val="0"/>
                <w:i w:val="0"/>
                <w:sz w:val="20"/>
              </w:rPr>
              <w:t>SHA-256 digital fingerprints are permanently recorded on the Hyperledger Besu blockchain. Any database modification creates a verifiable hash mismatch.</w:t>
            </w:r>
          </w:p>
        </w:tc>
      </w:tr>
      <w:tr>
        <w:tc>
          <w:tcPr>
            <w:tcW w:type="dxa" w:w="1872"/>
            <w:vAlign w:val="center"/>
            <w:shd w:val="clear" w:color="auto" w:fill="FFFFFF"/>
          </w:tcPr>
          <w:p>
            <w:pPr>
              <w:jc w:val="left"/>
            </w:pPr>
            <w:r>
              <w:rPr>
                <w:rFonts w:ascii="Times New Roman" w:hAnsi="Times New Roman"/>
                <w:b w:val="0"/>
                <w:i w:val="0"/>
                <w:sz w:val="20"/>
              </w:rPr>
              <w:t>Server Eavesdropping</w:t>
            </w:r>
          </w:p>
        </w:tc>
        <w:tc>
          <w:tcPr>
            <w:tcW w:type="dxa" w:w="2592"/>
            <w:vAlign w:val="center"/>
            <w:shd w:val="clear" w:color="auto" w:fill="FFFFFF"/>
          </w:tcPr>
          <w:p>
            <w:pPr>
              <w:jc w:val="left"/>
            </w:pPr>
            <w:r>
              <w:rPr>
                <w:rFonts w:ascii="Times New Roman" w:hAnsi="Times New Roman"/>
                <w:b w:val="0"/>
                <w:i w:val="0"/>
                <w:sz w:val="20"/>
              </w:rPr>
              <w:t>An unauthorized party inspects network traffic or database tables to read private communications.</w:t>
            </w:r>
          </w:p>
        </w:tc>
        <w:tc>
          <w:tcPr>
            <w:tcW w:type="dxa" w:w="2016"/>
            <w:vAlign w:val="center"/>
            <w:shd w:val="clear" w:color="auto" w:fill="FFFFFF"/>
          </w:tcPr>
          <w:p>
            <w:pPr>
              <w:jc w:val="left"/>
            </w:pPr>
            <w:r>
              <w:rPr>
                <w:rFonts w:ascii="Times New Roman" w:hAnsi="Times New Roman"/>
                <w:b w:val="0"/>
                <w:i w:val="0"/>
                <w:sz w:val="20"/>
              </w:rPr>
              <w:t>Network Relay / Serverless Engine</w:t>
            </w:r>
          </w:p>
        </w:tc>
        <w:tc>
          <w:tcPr>
            <w:tcW w:type="dxa" w:w="2880"/>
            <w:vAlign w:val="center"/>
            <w:shd w:val="clear" w:color="auto" w:fill="FFFFFF"/>
          </w:tcPr>
          <w:p>
            <w:pPr>
              <w:jc w:val="left"/>
            </w:pPr>
            <w:r>
              <w:rPr>
                <w:rFonts w:ascii="Times New Roman" w:hAnsi="Times New Roman"/>
                <w:b w:val="0"/>
                <w:i w:val="0"/>
                <w:sz w:val="20"/>
              </w:rPr>
              <w:t>Client-side AES-GCM data protection ensures that intermediate servers store only protected blob payloads without access to private key material.</w:t>
            </w:r>
          </w:p>
        </w:tc>
      </w:tr>
      <w:tr>
        <w:tc>
          <w:tcPr>
            <w:tcW w:type="dxa" w:w="1872"/>
            <w:vAlign w:val="center"/>
            <w:shd w:val="clear" w:color="auto" w:fill="F2F6FC"/>
          </w:tcPr>
          <w:p>
            <w:pPr>
              <w:jc w:val="left"/>
            </w:pPr>
            <w:r>
              <w:rPr>
                <w:rFonts w:ascii="Times New Roman" w:hAnsi="Times New Roman"/>
                <w:b w:val="0"/>
                <w:i w:val="0"/>
                <w:sz w:val="20"/>
              </w:rPr>
              <w:t>Identity Spoofing</w:t>
            </w:r>
          </w:p>
        </w:tc>
        <w:tc>
          <w:tcPr>
            <w:tcW w:type="dxa" w:w="2592"/>
            <w:vAlign w:val="center"/>
            <w:shd w:val="clear" w:color="auto" w:fill="F2F6FC"/>
          </w:tcPr>
          <w:p>
            <w:pPr>
              <w:jc w:val="left"/>
            </w:pPr>
            <w:r>
              <w:rPr>
                <w:rFonts w:ascii="Times New Roman" w:hAnsi="Times New Roman"/>
                <w:b w:val="0"/>
                <w:i w:val="0"/>
                <w:sz w:val="20"/>
              </w:rPr>
              <w:t>An unverified user claims a lecturer or administrator role to issue fake notices or view restricted data.</w:t>
            </w:r>
          </w:p>
        </w:tc>
        <w:tc>
          <w:tcPr>
            <w:tcW w:type="dxa" w:w="2016"/>
            <w:vAlign w:val="center"/>
            <w:shd w:val="clear" w:color="auto" w:fill="F2F6FC"/>
          </w:tcPr>
          <w:p>
            <w:pPr>
              <w:jc w:val="left"/>
            </w:pPr>
            <w:r>
              <w:rPr>
                <w:rFonts w:ascii="Times New Roman" w:hAnsi="Times New Roman"/>
                <w:b w:val="0"/>
                <w:i w:val="0"/>
                <w:sz w:val="20"/>
              </w:rPr>
              <w:t>Role Permissions / User Profiles</w:t>
            </w:r>
          </w:p>
        </w:tc>
        <w:tc>
          <w:tcPr>
            <w:tcW w:type="dxa" w:w="2880"/>
            <w:vAlign w:val="center"/>
            <w:shd w:val="clear" w:color="auto" w:fill="F2F6FC"/>
          </w:tcPr>
          <w:p>
            <w:pPr>
              <w:jc w:val="left"/>
            </w:pPr>
            <w:r>
              <w:rPr>
                <w:rFonts w:ascii="Times New Roman" w:hAnsi="Times New Roman"/>
                <w:b w:val="0"/>
                <w:i w:val="0"/>
                <w:sz w:val="20"/>
              </w:rPr>
              <w:t>Strict Role-Based Access Control (RBAC) tied to mandatory evidence uploads; approved roles are anchored immutably on the Besu smart contract.</w:t>
            </w:r>
          </w:p>
        </w:tc>
      </w:tr>
      <w:tr>
        <w:tc>
          <w:tcPr>
            <w:tcW w:type="dxa" w:w="1872"/>
            <w:vAlign w:val="center"/>
            <w:shd w:val="clear" w:color="auto" w:fill="FFFFFF"/>
          </w:tcPr>
          <w:p>
            <w:pPr>
              <w:jc w:val="left"/>
            </w:pPr>
            <w:r>
              <w:rPr>
                <w:rFonts w:ascii="Times New Roman" w:hAnsi="Times New Roman"/>
                <w:b w:val="0"/>
                <w:i w:val="0"/>
                <w:sz w:val="20"/>
              </w:rPr>
              <w:t>Session Eavesdropping</w:t>
            </w:r>
          </w:p>
        </w:tc>
        <w:tc>
          <w:tcPr>
            <w:tcW w:type="dxa" w:w="2592"/>
            <w:vAlign w:val="center"/>
            <w:shd w:val="clear" w:color="auto" w:fill="FFFFFF"/>
          </w:tcPr>
          <w:p>
            <w:pPr>
              <w:jc w:val="left"/>
            </w:pPr>
            <w:r>
              <w:rPr>
                <w:rFonts w:ascii="Times New Roman" w:hAnsi="Times New Roman"/>
                <w:b w:val="0"/>
                <w:i w:val="0"/>
                <w:sz w:val="20"/>
              </w:rPr>
              <w:t>A third party attempts to intercept session key exchanges over the channel.</w:t>
            </w:r>
          </w:p>
        </w:tc>
        <w:tc>
          <w:tcPr>
            <w:tcW w:type="dxa" w:w="2016"/>
            <w:vAlign w:val="center"/>
            <w:shd w:val="clear" w:color="auto" w:fill="FFFFFF"/>
          </w:tcPr>
          <w:p>
            <w:pPr>
              <w:jc w:val="left"/>
            </w:pPr>
            <w:r>
              <w:rPr>
                <w:rFonts w:ascii="Times New Roman" w:hAnsi="Times New Roman"/>
                <w:b w:val="0"/>
                <w:i w:val="0"/>
                <w:sz w:val="20"/>
              </w:rPr>
              <w:t>Key Distribution Pipeline</w:t>
            </w:r>
          </w:p>
        </w:tc>
        <w:tc>
          <w:tcPr>
            <w:tcW w:type="dxa" w:w="2880"/>
            <w:vAlign w:val="center"/>
            <w:shd w:val="clear" w:color="auto" w:fill="FFFFFF"/>
          </w:tcPr>
          <w:p>
            <w:pPr>
              <w:jc w:val="left"/>
            </w:pPr>
            <w:r>
              <w:rPr>
                <w:rFonts w:ascii="Times New Roman" w:hAnsi="Times New Roman"/>
                <w:b w:val="0"/>
                <w:i w:val="0"/>
                <w:sz w:val="20"/>
              </w:rPr>
              <w:t>BB84 quantum simulation monitors Quantum Bit Error Rate (QBER); QBER &gt; 11% triggers an immediate session abort.</w:t>
            </w:r>
          </w:p>
        </w:tc>
      </w:tr>
    </w:tbl>
    <w:p>
      <w:pPr>
        <w:spacing w:before="0" w:after="160"/>
        <w:jc w:val="left"/>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