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Concepts used in QChat</w:t>
      </w:r>
    </w:p>
    <w:p>
      <w:pPr>
        <w:ind w:firstLine="720"/>
      </w:pPr>
      <w:r>
        <w:rPr>
          <w:rFonts w:ascii="Times New Roman" w:hAnsi="Times New Roman" w:eastAsia="Times New Roman"/>
          <w:b w:val="0"/>
          <w:i w:val="0"/>
          <w:color w:val="000000"/>
          <w:sz w:val="24"/>
        </w:rPr>
        <w:t>This review examines the foundational technologies integrated into the QChat platform: real-time web delivery, hybrid symmetric/asymmetric cryptography, permissioned ledgers, quantum key distribution principles, and role-based access control.</w:t>
      </w:r>
    </w:p>
    <w:p>
      <w:pPr>
        <w:pStyle w:val="Heading3"/>
      </w:pPr>
      <w:r>
        <w:rPr>
          <w:rFonts w:ascii="Times New Roman" w:hAnsi="Times New Roman" w:eastAsia="Times New Roman"/>
          <w:b/>
          <w:i w:val="0"/>
          <w:color w:val="000000"/>
          <w:sz w:val="26"/>
        </w:rPr>
        <w:t>2.1.1 Real-Time Web Delivery and Cloud Persistence</w:t>
      </w:r>
    </w:p>
    <w:p>
      <w:pPr>
        <w:ind w:firstLine="720"/>
      </w:pPr>
      <w:r>
        <w:rPr>
          <w:rFonts w:ascii="Times New Roman" w:hAnsi="Times New Roman" w:eastAsia="Times New Roman"/>
          <w:b w:val="0"/>
          <w:i w:val="0"/>
          <w:color w:val="000000"/>
          <w:sz w:val="24"/>
        </w:rPr>
        <w:t>Traditional HTTP polling introduces significant network overhead and latency for chat systems. Server-sent events and persistent WebSockets allow push-based state synchronization. Convex utilizes WebSocket connections to maintain reactive query subscriptions, automatically pushing state changes to connected web clients upon mutation execution (Convex Development Team, 2024). This architecture provides instantaneous user interface updates while shifting server infrastructure management to cloud serverless environments.</w:t>
      </w:r>
    </w:p>
    <w:p>
      <w:pPr>
        <w:pStyle w:val="Heading3"/>
      </w:pPr>
      <w:r>
        <w:rPr>
          <w:rFonts w:ascii="Times New Roman" w:hAnsi="Times New Roman" w:eastAsia="Times New Roman"/>
          <w:b/>
          <w:i w:val="0"/>
          <w:color w:val="000000"/>
          <w:sz w:val="26"/>
        </w:rPr>
        <w:t>2.1.2 Symmetric and Asymmetric Encryption Systems</w:t>
      </w:r>
    </w:p>
    <w:p>
      <w:pPr>
        <w:ind w:firstLine="720"/>
      </w:pPr>
      <w:r>
        <w:rPr>
          <w:rFonts w:ascii="Times New Roman" w:hAnsi="Times New Roman" w:eastAsia="Times New Roman"/>
          <w:b w:val="0"/>
          <w:i w:val="0"/>
          <w:color w:val="000000"/>
          <w:sz w:val="24"/>
        </w:rPr>
        <w:t>Symmetric encryption algorithms such as AES-GCM (Advanced Encryption Standard in Galois/Counter Mode) utilize a single secret key for encryption and decryption, offering high processing throughput and authenticated data integrity (National Institute of Standards and Technology, 2001). Asymmetric cryptosystems like RSA-OAEP utilize paired public and private keys, enabling secure key exchange without prior shared secrets (Rivest et al., 1978; Diffie &amp; Hellman, 1976). Modern messaging protocols, including Signal's Extended Triple Diffie-Hellman (X3DH), combine asymmetric key negotiation with symmetric bulk payload encryption (Marlinspike &amp; Perrin, 2016). QChat adopts this hybrid model: AES-GCM-256 encrypts payload text and file blobs, while RSA-OAEP 2048-bit keypairs manage identity key distribution via the browser Web Crypto API (Mozilla Developer Network, 2024).</w:t>
      </w:r>
    </w:p>
    <w:p>
      <w:pPr>
        <w:pStyle w:val="Heading3"/>
      </w:pPr>
      <w:r>
        <w:rPr>
          <w:rFonts w:ascii="Times New Roman" w:hAnsi="Times New Roman" w:eastAsia="Times New Roman"/>
          <w:b/>
          <w:i w:val="0"/>
          <w:color w:val="000000"/>
          <w:sz w:val="26"/>
        </w:rPr>
        <w:t>2.1.3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distrusted nodes using consensus algorithms (Nakamoto, 2008). Ethereum expanded this paradigm by introducing deterministic, stateful execution environments known as smart contracts (Wood, 2014). Because public chains impose transaction gas fees and public data exposure, enterprise environments utilize permissioned ledgers like Hyperledger Besu running Quorum Byzantine Fault Tolerance (QBFT) consensus (Hyperledger Foundation, 2024). Private networks allow zero-gas transactions while ensuring state immutability across participating nodes. Smart contracts written in Solidity 0.8.x enforce programmatic state validation rules (Ethereum Foundation, 2024).</w:t>
      </w:r>
    </w:p>
    <w:p>
      <w:pPr>
        <w:pStyle w:val="Heading3"/>
      </w:pPr>
      <w:r>
        <w:rPr>
          <w:rFonts w:ascii="Times New Roman" w:hAnsi="Times New Roman" w:eastAsia="Times New Roman"/>
          <w:b/>
          <w:i w:val="0"/>
          <w:color w:val="000000"/>
          <w:sz w:val="26"/>
        </w:rPr>
        <w:t>2.1.4 Quantum Key Distribution Principles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parties using polarized photon states. According to quantum mechanics, measurement by an eavesdropper introduces detectable disturbances due to the Heisenberg uncertainty principle and the No-Cloning Theorem (Nielsen &amp; Chuang, 2010). Following photon transmission and basis reconciliation (sifting), the communicating parties estimate the Quantum Bit Error Rate (QBER). Rigorous security proofs by Shor and Preskill (2000), Gisin et al. (2002), and Scarani et al. (2009) demonstrate that under ideal BB84 conditions, information reconciliation and privacy amplification can extract a secret key only when the QBER remains strictly below approximately 11%. If the QBER exceeds 0.11, eavesdropping noise compromises security, necessitating session abort. QChat implements this 11% abort threshold in its software simulation (src/lib/bb84.ts) to model quantum channel evaluation.</w:t>
      </w:r>
    </w:p>
    <w:p>
      <w:pPr>
        <w:pStyle w:val="Heading3"/>
      </w:pPr>
      <w:r>
        <w:rPr>
          <w:rFonts w:ascii="Times New Roman" w:hAnsi="Times New Roman" w:eastAsia="Times New Roman"/>
          <w:b/>
          <w:i w:val="0"/>
          <w:color w:val="000000"/>
          <w:sz w:val="26"/>
        </w:rPr>
        <w:t>2.1.5 Dual-Layer Role-Based Access Control</w:t>
      </w:r>
    </w:p>
    <w:p>
      <w:pPr>
        <w:ind w:firstLine="720"/>
      </w:pPr>
      <w:r>
        <w:rPr>
          <w:rFonts w:ascii="Times New Roman" w:hAnsi="Times New Roman" w:eastAsia="Times New Roman"/>
          <w:b w:val="0"/>
          <w:i w:val="0"/>
          <w:color w:val="000000"/>
          <w:sz w:val="24"/>
        </w:rPr>
        <w:t>Access control in web systems typically relies on database role attributes. However, database records can be modified by database administrators. Dual-layer access control pairs application-level database role checks with immutable ledger assertions. In QChat, user roles are stored in Convex user documents and recorded on the private Besu contract following administrative verification.</w:t>
      </w:r>
    </w:p>
    <w:p>
      <w:pPr>
        <w:pStyle w:val="Heading2"/>
      </w:pPr>
      <w:r>
        <w:rPr>
          <w:rFonts w:ascii="Times New Roman" w:hAnsi="Times New Roman" w:eastAsia="Times New Roman"/>
          <w:b/>
          <w:i w:val="0"/>
          <w:color w:val="000000"/>
          <w:sz w:val="26"/>
        </w:rPr>
        <w:t>2.2 Practical Application in QChat Architecture</w:t>
      </w:r>
    </w:p>
    <w:p>
      <w:pPr>
        <w:ind w:firstLine="720"/>
      </w:pPr>
      <w:r>
        <w:rPr>
          <w:rFonts w:ascii="Times New Roman" w:hAnsi="Times New Roman" w:eastAsia="Times New Roman"/>
          <w:b w:val="0"/>
          <w:i w:val="0"/>
          <w:color w:val="000000"/>
          <w:sz w:val="24"/>
        </w:rPr>
        <w:t>The technical design combines established standards into an institutional platform:</w:t>
      </w:r>
    </w:p>
    <w:p>
      <w:pPr>
        <w:pStyle w:val="ListBullet"/>
      </w:pPr>
      <w:r>
        <w:rPr>
          <w:rFonts w:ascii="Times New Roman" w:hAnsi="Times New Roman" w:eastAsia="Times New Roman"/>
          <w:b w:val="0"/>
          <w:i w:val="0"/>
          <w:color w:val="000000"/>
          <w:sz w:val="24"/>
        </w:rPr>
        <w:t>Ciphertext persistence on Convex while storing private RSA keys locally in IndexedDB (Mozilla Developer Network, 2024).</w:t>
      </w:r>
    </w:p>
    <w:p>
      <w:pPr>
        <w:pStyle w:val="ListBullet"/>
      </w:pPr>
      <w:r>
        <w:rPr>
          <w:rFonts w:ascii="Times New Roman" w:hAnsi="Times New Roman" w:eastAsia="Times New Roman"/>
          <w:b w:val="0"/>
          <w:i w:val="0"/>
          <w:color w:val="000000"/>
          <w:sz w:val="24"/>
        </w:rPr>
        <w:t>Generating SHA-256 payload digests on the client and committing hashes to Besu to detect database modifications.</w:t>
      </w:r>
    </w:p>
    <w:p>
      <w:pPr>
        <w:pStyle w:val="ListBullet"/>
      </w:pPr>
      <w:r>
        <w:rPr>
          <w:rFonts w:ascii="Times New Roman" w:hAnsi="Times New Roman" w:eastAsia="Times New Roman"/>
          <w:b w:val="0"/>
          <w:i w:val="0"/>
          <w:color w:val="000000"/>
          <w:sz w:val="24"/>
        </w:rPr>
        <w:t>Simulating BB84 photon sifting and QBER calculation to derive 256-bit AES session keys for sensitive rooms.</w:t>
      </w:r>
    </w:p>
    <w:p>
      <w:pPr>
        <w:pStyle w:val="ListBullet"/>
      </w:pPr>
      <w:r>
        <w:rPr>
          <w:rFonts w:ascii="Times New Roman" w:hAnsi="Times New Roman" w:eastAsia="Times New Roman"/>
          <w:b w:val="0"/>
          <w:i w:val="0"/>
          <w:color w:val="000000"/>
          <w:sz w:val="24"/>
        </w:rPr>
        <w:t>Decoupling messaging latency from blockchain consensus by using Convex for instant UI sync and Besu for async audit logs.</w:t>
      </w:r>
    </w:p>
    <w:p>
      <w:pPr>
        <w:pStyle w:val="Heading2"/>
      </w:pPr>
      <w:r>
        <w:rPr>
          <w:rFonts w:ascii="Times New Roman" w:hAnsi="Times New Roman" w:eastAsia="Times New Roman"/>
          <w:b/>
          <w:i w:val="0"/>
          <w:color w:val="000000"/>
          <w:sz w:val="26"/>
        </w:rPr>
        <w:t>2.3 Comparative Review of Related Systems</w:t>
      </w:r>
    </w:p>
    <w:p>
      <w:pPr>
        <w:ind w:firstLine="720"/>
      </w:pPr>
      <w:r>
        <w:rPr>
          <w:rFonts w:ascii="Times New Roman" w:hAnsi="Times New Roman" w:eastAsia="Times New Roman"/>
          <w:b w:val="0"/>
          <w:i w:val="0"/>
          <w:color w:val="000000"/>
          <w:sz w:val="24"/>
        </w:rPr>
        <w:t>Table 2.1 compares QChat's architectural features against existing commercial and academic messaging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Real-Time Sync</w:t>
            </w:r>
          </w:p>
        </w:tc>
        <w:tc>
          <w:tcPr>
            <w:tcW w:type="dxa" w:w="1500"/>
          </w:tcPr>
          <w:p>
            <w:r/>
            <w:r>
              <w:rPr>
                <w:rFonts w:ascii="Times New Roman" w:hAnsi="Times New Roman" w:eastAsia="Times New Roman"/>
                <w:b/>
                <w:i w:val="0"/>
                <w:color w:val="000000"/>
                <w:sz w:val="20"/>
              </w:rPr>
              <w:t>Client Cryptography</w:t>
            </w:r>
          </w:p>
        </w:tc>
        <w:tc>
          <w:tcPr>
            <w:tcW w:type="dxa" w:w="1500"/>
          </w:tcPr>
          <w:p>
            <w:r/>
            <w:r>
              <w:rPr>
                <w:rFonts w:ascii="Times New Roman" w:hAnsi="Times New Roman" w:eastAsia="Times New Roman"/>
                <w:b/>
                <w:i w:val="0"/>
                <w:color w:val="000000"/>
                <w:sz w:val="20"/>
              </w:rPr>
              <w:t>Ledger Audit Log</w:t>
            </w:r>
          </w:p>
        </w:tc>
        <w:tc>
          <w:tcPr>
            <w:tcW w:type="dxa" w:w="1500"/>
          </w:tcPr>
          <w:p>
            <w:r/>
            <w:r>
              <w:rPr>
                <w:rFonts w:ascii="Times New Roman" w:hAnsi="Times New Roman" w:eastAsia="Times New Roman"/>
                <w:b/>
                <w:i w:val="0"/>
                <w:color w:val="000000"/>
                <w:sz w:val="20"/>
              </w:rPr>
              <w:t>QKD Simulation</w:t>
            </w:r>
          </w:p>
        </w:tc>
        <w:tc>
          <w:tcPr>
            <w:tcW w:type="dxa" w:w="1500"/>
          </w:tcPr>
          <w:p>
            <w:r/>
            <w:r>
              <w:rPr>
                <w:rFonts w:ascii="Times New Roman" w:hAnsi="Times New Roman" w:eastAsia="Times New Roman"/>
                <w:b/>
                <w:i w:val="0"/>
                <w:color w:val="000000"/>
                <w:sz w:val="20"/>
              </w:rPr>
              <w:t>Deployment Context</w:t>
            </w:r>
          </w:p>
        </w:tc>
      </w:tr>
      <w:tr>
        <w:tc>
          <w:tcPr>
            <w:tcW w:type="dxa" w:w="1500"/>
          </w:tcPr>
          <w:p>
            <w:r/>
            <w:r>
              <w:rPr>
                <w:rFonts w:ascii="Times New Roman" w:hAnsi="Times New Roman" w:eastAsia="Times New Roman"/>
                <w:b w:val="0"/>
                <w:i w:val="0"/>
                <w:color w:val="000000"/>
                <w:sz w:val="20"/>
              </w:rPr>
              <w:t>WhatsApp / Signal</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End-to-End (Signal Protocol)</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Consumer Mobile / Desktop</w:t>
            </w:r>
          </w:p>
        </w:tc>
      </w:tr>
      <w:tr>
        <w:tc>
          <w:tcPr>
            <w:tcW w:type="dxa" w:w="1500"/>
          </w:tcPr>
          <w:p>
            <w:r/>
            <w:r>
              <w:rPr>
                <w:rFonts w:ascii="Times New Roman" w:hAnsi="Times New Roman" w:eastAsia="Times New Roman"/>
                <w:b w:val="0"/>
                <w:i w:val="0"/>
                <w:color w:val="000000"/>
                <w:sz w:val="20"/>
              </w:rPr>
              <w:t>Microsoft Teams / Slack</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TLS + Server Encryption</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Enterprise / Office</w:t>
            </w:r>
          </w:p>
        </w:tc>
      </w:tr>
      <w:tr>
        <w:tc>
          <w:tcPr>
            <w:tcW w:type="dxa" w:w="1500"/>
          </w:tcPr>
          <w:p>
            <w:r/>
            <w:r>
              <w:rPr>
                <w:rFonts w:ascii="Times New Roman" w:hAnsi="Times New Roman" w:eastAsia="Times New Roman"/>
                <w:b w:val="0"/>
                <w:i w:val="0"/>
                <w:color w:val="000000"/>
                <w:sz w:val="20"/>
              </w:rPr>
              <w:t>Rocket.Chat</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Optional E2EE</w:t>
            </w:r>
          </w:p>
        </w:tc>
        <w:tc>
          <w:tcPr>
            <w:tcW w:type="dxa" w:w="1500"/>
          </w:tcPr>
          <w:p>
            <w:r/>
            <w:r>
              <w:rPr>
                <w:rFonts w:ascii="Times New Roman" w:hAnsi="Times New Roman" w:eastAsia="Times New Roman"/>
                <w:b w:val="0"/>
                <w:i w:val="0"/>
                <w:color w:val="000000"/>
                <w:sz w:val="20"/>
              </w:rPr>
              <w:t>None (MongoDB)</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Self-Hosted Organizations</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Wallet Signatures</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Public Blockchain Demos</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Low (HTTP Requests)</w:t>
            </w:r>
          </w:p>
        </w:tc>
        <w:tc>
          <w:tcPr>
            <w:tcW w:type="dxa" w:w="1500"/>
          </w:tcPr>
          <w:p>
            <w:r/>
            <w:r>
              <w:rPr>
                <w:rFonts w:ascii="Times New Roman" w:hAnsi="Times New Roman" w:eastAsia="Times New Roman"/>
                <w:b w:val="0"/>
                <w:i w:val="0"/>
                <w:color w:val="000000"/>
                <w:sz w:val="20"/>
              </w:rPr>
              <w:t>TLS Only</w:t>
            </w:r>
          </w:p>
        </w:tc>
        <w:tc>
          <w:tcPr>
            <w:tcW w:type="dxa" w:w="1500"/>
          </w:tcPr>
          <w:p>
            <w:r/>
            <w:r>
              <w:rPr>
                <w:rFonts w:ascii="Times New Roman" w:hAnsi="Times New Roman" w:eastAsia="Times New Roman"/>
                <w:b w:val="0"/>
                <w:i w:val="0"/>
                <w:color w:val="000000"/>
                <w:sz w:val="20"/>
              </w:rPr>
              <w:t>None (SQL Database)</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Institutional Coursework</w:t>
            </w:r>
          </w:p>
        </w:tc>
      </w:tr>
      <w:tr>
        <w:tc>
          <w:tcPr>
            <w:tcW w:type="dxa" w:w="1500"/>
          </w:tcPr>
          <w:p>
            <w:r/>
            <w:r>
              <w:rPr>
                <w:rFonts w:ascii="Times New Roman" w:hAnsi="Times New Roman" w:eastAsia="Times New Roman"/>
                <w:b w:val="0"/>
                <w:i w:val="0"/>
                <w:color w:val="000000"/>
                <w:sz w:val="20"/>
              </w:rPr>
              <w:t>QChat (This Project)</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Web Crypto (RSA/AES)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BB84 TypeScript Module</w:t>
            </w:r>
          </w:p>
        </w:tc>
        <w:tc>
          <w:tcPr>
            <w:tcW w:type="dxa" w:w="1500"/>
          </w:tcPr>
          <w:p>
            <w:r/>
            <w:r>
              <w:rPr>
                <w:rFonts w:ascii="Times New Roman" w:hAnsi="Times New Roman" w:eastAsia="Times New Roman"/>
                <w:b w:val="0"/>
                <w:i w:val="0"/>
                <w:color w:val="000000"/>
                <w:sz w:val="20"/>
              </w:rPr>
              <w:t>Institutional Campus Prototype</w:t>
            </w:r>
          </w:p>
        </w:tc>
      </w:tr>
    </w:tbl>
    <w:p/>
    <w:p>
      <w:pPr>
        <w:ind w:firstLine="720"/>
      </w:pPr>
      <w:r>
        <w:rPr>
          <w:rFonts w:ascii="Times New Roman" w:hAnsi="Times New Roman" w:eastAsia="Times New Roman"/>
          <w:b w:val="0"/>
          <w:i w:val="0"/>
          <w:color w:val="000000"/>
          <w:sz w:val="24"/>
        </w:rPr>
        <w:t>Commercial messengers like WhatsApp employ robust end-to-end encryption (Meta, 2023; Marlinspike &amp; Perrin, 2016), but lack mechanisms for independent institutional audit trails. Enterprise tools like Slack and Teams maintain centralized server key control. Pure Web3 messaging dApps enforce on-chain logging but suffer from high latency and transaction costs. Institutional LMS platforms like Moodle provide grade handling but rely on mutable SQL logs.</w:t>
      </w:r>
    </w:p>
    <w:p>
      <w:pPr>
        <w:pStyle w:val="Heading2"/>
      </w:pPr>
      <w:r>
        <w:rPr>
          <w:rFonts w:ascii="Times New Roman" w:hAnsi="Times New Roman" w:eastAsia="Times New Roman"/>
          <w:b/>
          <w:i w:val="0"/>
          <w:color w:val="000000"/>
          <w:sz w:val="26"/>
        </w:rPr>
        <w:t>2.4 Identified Domain Gaps</w:t>
      </w:r>
    </w:p>
    <w:p>
      <w:pPr>
        <w:ind w:firstLine="720"/>
      </w:pPr>
      <w:r>
        <w:rPr>
          <w:rFonts w:ascii="Times New Roman" w:hAnsi="Times New Roman" w:eastAsia="Times New Roman"/>
          <w:b w:val="0"/>
          <w:i w:val="0"/>
          <w:color w:val="000000"/>
          <w:sz w:val="24"/>
        </w:rPr>
        <w:t>Literature and current software platforms reveal three major gaps:</w:t>
      </w:r>
    </w:p>
    <w:p>
      <w:pPr>
        <w:pStyle w:val="ListNumber"/>
      </w:pPr>
      <w:r>
        <w:rPr>
          <w:rFonts w:ascii="Times New Roman" w:hAnsi="Times New Roman" w:eastAsia="Times New Roman"/>
          <w:b w:val="0"/>
          <w:i w:val="0"/>
          <w:color w:val="000000"/>
          <w:sz w:val="24"/>
        </w:rPr>
        <w:t>Binary separation of Web2 and Web3 architectures: Existing platforms treat cloud databases and blockchain ledgers as mutually exclusive rather than combining cloud speed with blockchain auditability.</w:t>
      </w:r>
    </w:p>
    <w:p>
      <w:pPr>
        <w:pStyle w:val="ListNumber"/>
      </w:pPr>
      <w:r>
        <w:rPr>
          <w:rFonts w:ascii="Times New Roman" w:hAnsi="Times New Roman" w:eastAsia="Times New Roman"/>
          <w:b w:val="0"/>
          <w:i w:val="0"/>
          <w:color w:val="000000"/>
          <w:sz w:val="24"/>
        </w:rPr>
        <w:t>Mutable institutional activity logs: Learning management systems lack cryptographic mechanisms to prove file state integrity during academic submission disputes.</w:t>
      </w:r>
    </w:p>
    <w:p>
      <w:pPr>
        <w:pStyle w:val="ListNumber"/>
      </w:pPr>
      <w:r>
        <w:rPr>
          <w:rFonts w:ascii="Times New Roman" w:hAnsi="Times New Roman" w:eastAsia="Times New Roman"/>
          <w:b w:val="0"/>
          <w:i w:val="0"/>
          <w:color w:val="000000"/>
          <w:sz w:val="24"/>
        </w:rPr>
        <w:t>Theoretical abstraction of post-quantum education: Academic discussion of quantum threat (Bernstein &amp; Lange, 2017) rarely translates into accessible software implementations for undergraduate instruction.</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