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eastAsia="Times New Roman"/>
          <w:b/>
          <w:i w:val="0"/>
          <w:color w:val="000000"/>
          <w:sz w:val="28"/>
        </w:rPr>
        <w:t>Chapter 3</w:t>
      </w:r>
    </w:p>
    <w:p>
      <w:pPr>
        <w:pStyle w:val="Heading1"/>
      </w:pPr>
      <w:r>
        <w:rPr>
          <w:rFonts w:ascii="Times New Roman" w:hAnsi="Times New Roman" w:eastAsia="Times New Roman"/>
          <w:b/>
          <w:i w:val="0"/>
          <w:color w:val="000000"/>
          <w:sz w:val="28"/>
        </w:rPr>
        <w:t>Methodology and System Design</w:t>
      </w:r>
    </w:p>
    <w:p>
      <w:pPr>
        <w:pStyle w:val="Heading2"/>
      </w:pPr>
      <w:r>
        <w:rPr>
          <w:rFonts w:ascii="Times New Roman" w:hAnsi="Times New Roman" w:eastAsia="Times New Roman"/>
          <w:b/>
          <w:i w:val="0"/>
          <w:color w:val="000000"/>
          <w:sz w:val="26"/>
        </w:rPr>
        <w:t>3.1 Agile Development Framework and Timeline</w:t>
      </w:r>
    </w:p>
    <w:p>
      <w:pPr>
        <w:ind w:firstLine="720"/>
      </w:pPr>
      <w:r>
        <w:rPr>
          <w:rFonts w:ascii="Times New Roman" w:hAnsi="Times New Roman" w:eastAsia="Times New Roman"/>
          <w:b w:val="0"/>
          <w:i w:val="0"/>
          <w:color w:val="000000"/>
          <w:sz w:val="24"/>
        </w:rPr>
        <w:t>The project followed an iterative Agile development lifecycle structured into five two-week development sprints. This iterative approach allowed the team to implement incremental software components, validate cryptographic flows, and address integration issues between cloud services and the local Besu node.</w:t>
      </w:r>
    </w:p>
    <w:tbl>
      <w:tblPr>
        <w:tblStyle w:val="TableGrid"/>
        <w:tblW w:type="auto" w:w="0"/>
        <w:tblLook w:firstColumn="1" w:firstRow="1" w:lastColumn="0" w:lastRow="0" w:noHBand="0" w:noVBand="1" w:val="04A0"/>
      </w:tblPr>
      <w:tblGrid>
        <w:gridCol w:w="3000"/>
        <w:gridCol w:w="3000"/>
        <w:gridCol w:w="3000"/>
      </w:tblGrid>
      <w:tr>
        <w:tc>
          <w:tcPr>
            <w:tcW w:type="dxa" w:w="3000"/>
          </w:tcPr>
          <w:p>
            <w:r/>
            <w:r>
              <w:rPr>
                <w:rFonts w:ascii="Times New Roman" w:hAnsi="Times New Roman" w:eastAsia="Times New Roman"/>
                <w:b/>
                <w:i w:val="0"/>
                <w:color w:val="000000"/>
                <w:sz w:val="20"/>
              </w:rPr>
              <w:t>Sprint Phase</w:t>
            </w:r>
          </w:p>
        </w:tc>
        <w:tc>
          <w:tcPr>
            <w:tcW w:type="dxa" w:w="3000"/>
          </w:tcPr>
          <w:p>
            <w:r/>
            <w:r>
              <w:rPr>
                <w:rFonts w:ascii="Times New Roman" w:hAnsi="Times New Roman" w:eastAsia="Times New Roman"/>
                <w:b/>
                <w:i w:val="0"/>
                <w:color w:val="000000"/>
                <w:sz w:val="20"/>
              </w:rPr>
              <w:t>Duration</w:t>
            </w:r>
          </w:p>
        </w:tc>
        <w:tc>
          <w:tcPr>
            <w:tcW w:type="dxa" w:w="3000"/>
          </w:tcPr>
          <w:p>
            <w:r/>
            <w:r>
              <w:rPr>
                <w:rFonts w:ascii="Times New Roman" w:hAnsi="Times New Roman" w:eastAsia="Times New Roman"/>
                <w:b/>
                <w:i w:val="0"/>
                <w:color w:val="000000"/>
                <w:sz w:val="20"/>
              </w:rPr>
              <w:t>Key Engineering Deliverables</w:t>
            </w:r>
          </w:p>
        </w:tc>
      </w:tr>
      <w:tr>
        <w:tc>
          <w:tcPr>
            <w:tcW w:type="dxa" w:w="3000"/>
          </w:tcPr>
          <w:p>
            <w:r/>
            <w:r>
              <w:rPr>
                <w:rFonts w:ascii="Times New Roman" w:hAnsi="Times New Roman" w:eastAsia="Times New Roman"/>
                <w:b w:val="0"/>
                <w:i w:val="0"/>
                <w:color w:val="000000"/>
                <w:sz w:val="20"/>
              </w:rPr>
              <w:t>Sprint 1: UI Foundation</w:t>
            </w:r>
          </w:p>
        </w:tc>
        <w:tc>
          <w:tcPr>
            <w:tcW w:type="dxa" w:w="3000"/>
          </w:tcPr>
          <w:p>
            <w:r/>
            <w:r>
              <w:rPr>
                <w:rFonts w:ascii="Times New Roman" w:hAnsi="Times New Roman" w:eastAsia="Times New Roman"/>
                <w:b w:val="0"/>
                <w:i w:val="0"/>
                <w:color w:val="000000"/>
                <w:sz w:val="20"/>
              </w:rPr>
              <w:t>Weeks 1–2</w:t>
            </w:r>
          </w:p>
        </w:tc>
        <w:tc>
          <w:tcPr>
            <w:tcW w:type="dxa" w:w="3000"/>
          </w:tcPr>
          <w:p>
            <w:r/>
            <w:r>
              <w:rPr>
                <w:rFonts w:ascii="Times New Roman" w:hAnsi="Times New Roman" w:eastAsia="Times New Roman"/>
                <w:b w:val="0"/>
                <w:i w:val="0"/>
                <w:color w:val="000000"/>
                <w:sz w:val="20"/>
              </w:rPr>
              <w:t>Vite + React 19 single-page shell, UI routes, and layout components</w:t>
            </w:r>
          </w:p>
        </w:tc>
      </w:tr>
      <w:tr>
        <w:tc>
          <w:tcPr>
            <w:tcW w:type="dxa" w:w="3000"/>
          </w:tcPr>
          <w:p>
            <w:r/>
            <w:r>
              <w:rPr>
                <w:rFonts w:ascii="Times New Roman" w:hAnsi="Times New Roman" w:eastAsia="Times New Roman"/>
                <w:b w:val="0"/>
                <w:i w:val="0"/>
                <w:color w:val="000000"/>
                <w:sz w:val="20"/>
              </w:rPr>
              <w:t>Sprint 2: Convex Backend</w:t>
            </w:r>
          </w:p>
        </w:tc>
        <w:tc>
          <w:tcPr>
            <w:tcW w:type="dxa" w:w="3000"/>
          </w:tcPr>
          <w:p>
            <w:r/>
            <w:r>
              <w:rPr>
                <w:rFonts w:ascii="Times New Roman" w:hAnsi="Times New Roman" w:eastAsia="Times New Roman"/>
                <w:b w:val="0"/>
                <w:i w:val="0"/>
                <w:color w:val="000000"/>
                <w:sz w:val="20"/>
              </w:rPr>
              <w:t>Weeks 3–4</w:t>
            </w:r>
          </w:p>
        </w:tc>
        <w:tc>
          <w:tcPr>
            <w:tcW w:type="dxa" w:w="3000"/>
          </w:tcPr>
          <w:p>
            <w:r/>
            <w:r>
              <w:rPr>
                <w:rFonts w:ascii="Times New Roman" w:hAnsi="Times New Roman" w:eastAsia="Times New Roman"/>
                <w:b w:val="0"/>
                <w:i w:val="0"/>
                <w:color w:val="000000"/>
                <w:sz w:val="20"/>
              </w:rPr>
              <w:t>Database schema definition, real-time mutations, reactive queries, file storage</w:t>
            </w:r>
          </w:p>
        </w:tc>
      </w:tr>
      <w:tr>
        <w:tc>
          <w:tcPr>
            <w:tcW w:type="dxa" w:w="3000"/>
          </w:tcPr>
          <w:p>
            <w:r/>
            <w:r>
              <w:rPr>
                <w:rFonts w:ascii="Times New Roman" w:hAnsi="Times New Roman" w:eastAsia="Times New Roman"/>
                <w:b w:val="0"/>
                <w:i w:val="0"/>
                <w:color w:val="000000"/>
                <w:sz w:val="20"/>
              </w:rPr>
              <w:t>Sprint 3: Cryptography &amp; BB84</w:t>
            </w:r>
          </w:p>
        </w:tc>
        <w:tc>
          <w:tcPr>
            <w:tcW w:type="dxa" w:w="3000"/>
          </w:tcPr>
          <w:p>
            <w:r/>
            <w:r>
              <w:rPr>
                <w:rFonts w:ascii="Times New Roman" w:hAnsi="Times New Roman" w:eastAsia="Times New Roman"/>
                <w:b w:val="0"/>
                <w:i w:val="0"/>
                <w:color w:val="000000"/>
                <w:sz w:val="20"/>
              </w:rPr>
              <w:t>Weeks 5–6</w:t>
            </w:r>
          </w:p>
        </w:tc>
        <w:tc>
          <w:tcPr>
            <w:tcW w:type="dxa" w:w="3000"/>
          </w:tcPr>
          <w:p>
            <w:r/>
            <w:r>
              <w:rPr>
                <w:rFonts w:ascii="Times New Roman" w:hAnsi="Times New Roman" w:eastAsia="Times New Roman"/>
                <w:b w:val="0"/>
                <w:i w:val="0"/>
                <w:color w:val="000000"/>
                <w:sz w:val="20"/>
              </w:rPr>
              <w:t>Web Crypto API integration (RSA/AES), IndexedDB keyring, BB84 simulation module</w:t>
            </w:r>
          </w:p>
        </w:tc>
      </w:tr>
      <w:tr>
        <w:tc>
          <w:tcPr>
            <w:tcW w:type="dxa" w:w="3000"/>
          </w:tcPr>
          <w:p>
            <w:r/>
            <w:r>
              <w:rPr>
                <w:rFonts w:ascii="Times New Roman" w:hAnsi="Times New Roman" w:eastAsia="Times New Roman"/>
                <w:b w:val="0"/>
                <w:i w:val="0"/>
                <w:color w:val="000000"/>
                <w:sz w:val="20"/>
              </w:rPr>
              <w:t>Sprint 4: Ledger Integration</w:t>
            </w:r>
          </w:p>
        </w:tc>
        <w:tc>
          <w:tcPr>
            <w:tcW w:type="dxa" w:w="3000"/>
          </w:tcPr>
          <w:p>
            <w:r/>
            <w:r>
              <w:rPr>
                <w:rFonts w:ascii="Times New Roman" w:hAnsi="Times New Roman" w:eastAsia="Times New Roman"/>
                <w:b w:val="0"/>
                <w:i w:val="0"/>
                <w:color w:val="000000"/>
                <w:sz w:val="20"/>
              </w:rPr>
              <w:t>Weeks 7–8</w:t>
            </w:r>
          </w:p>
        </w:tc>
        <w:tc>
          <w:tcPr>
            <w:tcW w:type="dxa" w:w="3000"/>
          </w:tcPr>
          <w:p>
            <w:r/>
            <w:r>
              <w:rPr>
                <w:rFonts w:ascii="Times New Roman" w:hAnsi="Times New Roman" w:eastAsia="Times New Roman"/>
                <w:b w:val="0"/>
                <w:i w:val="0"/>
                <w:color w:val="000000"/>
                <w:sz w:val="20"/>
              </w:rPr>
              <w:t>Solidity contract MessageVerifier.sol, Podman Besu container, Ethers.js bridge</w:t>
            </w:r>
          </w:p>
        </w:tc>
      </w:tr>
      <w:tr>
        <w:tc>
          <w:tcPr>
            <w:tcW w:type="dxa" w:w="3000"/>
          </w:tcPr>
          <w:p>
            <w:r/>
            <w:r>
              <w:rPr>
                <w:rFonts w:ascii="Times New Roman" w:hAnsi="Times New Roman" w:eastAsia="Times New Roman"/>
                <w:b w:val="0"/>
                <w:i w:val="0"/>
                <w:color w:val="000000"/>
                <w:sz w:val="20"/>
              </w:rPr>
              <w:t>Sprint 5: Verification &amp; Testing</w:t>
            </w:r>
          </w:p>
        </w:tc>
        <w:tc>
          <w:tcPr>
            <w:tcW w:type="dxa" w:w="3000"/>
          </w:tcPr>
          <w:p>
            <w:r/>
            <w:r>
              <w:rPr>
                <w:rFonts w:ascii="Times New Roman" w:hAnsi="Times New Roman" w:eastAsia="Times New Roman"/>
                <w:b w:val="0"/>
                <w:i w:val="0"/>
                <w:color w:val="000000"/>
                <w:sz w:val="20"/>
              </w:rPr>
              <w:t>Weeks 9–10</w:t>
            </w:r>
          </w:p>
        </w:tc>
        <w:tc>
          <w:tcPr>
            <w:tcW w:type="dxa" w:w="3000"/>
          </w:tcPr>
          <w:p>
            <w:r/>
            <w:r>
              <w:rPr>
                <w:rFonts w:ascii="Times New Roman" w:hAnsi="Times New Roman" w:eastAsia="Times New Roman"/>
                <w:b w:val="0"/>
                <w:i w:val="0"/>
                <w:color w:val="000000"/>
                <w:sz w:val="20"/>
              </w:rPr>
              <w:t>End-to-end system testing, user walk-throughs, performance benchmarking, reporting</w:t>
            </w:r>
          </w:p>
        </w:tc>
      </w:tr>
    </w:tbl>
    <w:p/>
    <w:p>
      <w:pPr>
        <w:pStyle w:val="Heading2"/>
      </w:pPr>
      <w:r>
        <w:rPr>
          <w:rFonts w:ascii="Times New Roman" w:hAnsi="Times New Roman" w:eastAsia="Times New Roman"/>
          <w:b/>
          <w:i w:val="0"/>
          <w:color w:val="000000"/>
          <w:sz w:val="26"/>
        </w:rPr>
        <w:t>3.2 System Architecture Overview</w:t>
      </w:r>
    </w:p>
    <w:p>
      <w:pPr>
        <w:ind w:firstLine="720"/>
      </w:pPr>
      <w:r>
        <w:rPr>
          <w:rFonts w:ascii="Times New Roman" w:hAnsi="Times New Roman" w:eastAsia="Times New Roman"/>
          <w:b w:val="0"/>
          <w:i w:val="0"/>
          <w:color w:val="000000"/>
          <w:sz w:val="24"/>
        </w:rPr>
        <w:t>QChat employs a three-tier hybrid architecture comprising Presentation, Application, and Verification layers. High-frequency operations (messaging, notifications, Q&amp;A) interact with the cloud Application layer, while audit hashes and identity approvals are committed asynchronously to the Verification layer.</w:t>
      </w:r>
    </w:p>
    <w:tbl>
      <w:tblPr>
        <w:tblStyle w:val="TableGrid"/>
        <w:tblW w:type="auto" w:w="0"/>
        <w:tblLook w:firstColumn="1" w:firstRow="1" w:lastColumn="0" w:lastRow="0" w:noHBand="0" w:noVBand="1" w:val="04A0"/>
      </w:tblPr>
      <w:tblGrid>
        <w:gridCol w:w="2250"/>
        <w:gridCol w:w="2250"/>
        <w:gridCol w:w="2250"/>
        <w:gridCol w:w="2250"/>
      </w:tblGrid>
      <w:tr>
        <w:tc>
          <w:tcPr>
            <w:tcW w:type="dxa" w:w="2250"/>
          </w:tcPr>
          <w:p>
            <w:r/>
            <w:r>
              <w:rPr>
                <w:rFonts w:ascii="Times New Roman" w:hAnsi="Times New Roman" w:eastAsia="Times New Roman"/>
                <w:b/>
                <w:i w:val="0"/>
                <w:color w:val="000000"/>
                <w:sz w:val="20"/>
              </w:rPr>
              <w:t>Layer</w:t>
            </w:r>
          </w:p>
        </w:tc>
        <w:tc>
          <w:tcPr>
            <w:tcW w:type="dxa" w:w="2250"/>
          </w:tcPr>
          <w:p>
            <w:r/>
            <w:r>
              <w:rPr>
                <w:rFonts w:ascii="Times New Roman" w:hAnsi="Times New Roman" w:eastAsia="Times New Roman"/>
                <w:b/>
                <w:i w:val="0"/>
                <w:color w:val="000000"/>
                <w:sz w:val="20"/>
              </w:rPr>
              <w:t>Technology Stack</w:t>
            </w:r>
          </w:p>
        </w:tc>
        <w:tc>
          <w:tcPr>
            <w:tcW w:type="dxa" w:w="2250"/>
          </w:tcPr>
          <w:p>
            <w:r/>
            <w:r>
              <w:rPr>
                <w:rFonts w:ascii="Times New Roman" w:hAnsi="Times New Roman" w:eastAsia="Times New Roman"/>
                <w:b/>
                <w:i w:val="0"/>
                <w:color w:val="000000"/>
                <w:sz w:val="20"/>
              </w:rPr>
              <w:t>Execution Environment</w:t>
            </w:r>
          </w:p>
        </w:tc>
        <w:tc>
          <w:tcPr>
            <w:tcW w:type="dxa" w:w="2250"/>
          </w:tcPr>
          <w:p>
            <w:r/>
            <w:r>
              <w:rPr>
                <w:rFonts w:ascii="Times New Roman" w:hAnsi="Times New Roman" w:eastAsia="Times New Roman"/>
                <w:b/>
                <w:i w:val="0"/>
                <w:color w:val="000000"/>
                <w:sz w:val="20"/>
              </w:rPr>
              <w:t>Primary Responsibility</w:t>
            </w:r>
          </w:p>
        </w:tc>
      </w:tr>
      <w:tr>
        <w:tc>
          <w:tcPr>
            <w:tcW w:type="dxa" w:w="2250"/>
          </w:tcPr>
          <w:p>
            <w:r/>
            <w:r>
              <w:rPr>
                <w:rFonts w:ascii="Times New Roman" w:hAnsi="Times New Roman" w:eastAsia="Times New Roman"/>
                <w:b w:val="0"/>
                <w:i w:val="0"/>
                <w:color w:val="000000"/>
                <w:sz w:val="20"/>
              </w:rPr>
              <w:t>Presentation</w:t>
            </w:r>
          </w:p>
        </w:tc>
        <w:tc>
          <w:tcPr>
            <w:tcW w:type="dxa" w:w="2250"/>
          </w:tcPr>
          <w:p>
            <w:r/>
            <w:r>
              <w:rPr>
                <w:rFonts w:ascii="Times New Roman" w:hAnsi="Times New Roman" w:eastAsia="Times New Roman"/>
                <w:b w:val="0"/>
                <w:i w:val="0"/>
                <w:color w:val="000000"/>
                <w:sz w:val="20"/>
              </w:rPr>
              <w:t>React 19, TypeScript, Vite, Tailwind CSS</w:t>
            </w:r>
          </w:p>
        </w:tc>
        <w:tc>
          <w:tcPr>
            <w:tcW w:type="dxa" w:w="2250"/>
          </w:tcPr>
          <w:p>
            <w:r/>
            <w:r>
              <w:rPr>
                <w:rFonts w:ascii="Times New Roman" w:hAnsi="Times New Roman" w:eastAsia="Times New Roman"/>
                <w:b w:val="0"/>
                <w:i w:val="0"/>
                <w:color w:val="000000"/>
                <w:sz w:val="20"/>
              </w:rPr>
              <w:t>Client Browser (localhost:5173)</w:t>
            </w:r>
          </w:p>
        </w:tc>
        <w:tc>
          <w:tcPr>
            <w:tcW w:type="dxa" w:w="2250"/>
          </w:tcPr>
          <w:p>
            <w:r/>
            <w:r>
              <w:rPr>
                <w:rFonts w:ascii="Times New Roman" w:hAnsi="Times New Roman" w:eastAsia="Times New Roman"/>
                <w:b w:val="0"/>
                <w:i w:val="0"/>
                <w:color w:val="000000"/>
                <w:sz w:val="20"/>
              </w:rPr>
              <w:t>User interface, client-side encryption/decryption, BB84 simulation</w:t>
            </w:r>
          </w:p>
        </w:tc>
      </w:tr>
      <w:tr>
        <w:tc>
          <w:tcPr>
            <w:tcW w:type="dxa" w:w="2250"/>
          </w:tcPr>
          <w:p>
            <w:r/>
            <w:r>
              <w:rPr>
                <w:rFonts w:ascii="Times New Roman" w:hAnsi="Times New Roman" w:eastAsia="Times New Roman"/>
                <w:b w:val="0"/>
                <w:i w:val="0"/>
                <w:color w:val="000000"/>
                <w:sz w:val="20"/>
              </w:rPr>
              <w:t>Application</w:t>
            </w:r>
          </w:p>
        </w:tc>
        <w:tc>
          <w:tcPr>
            <w:tcW w:type="dxa" w:w="2250"/>
          </w:tcPr>
          <w:p>
            <w:r/>
            <w:r>
              <w:rPr>
                <w:rFonts w:ascii="Times New Roman" w:hAnsi="Times New Roman" w:eastAsia="Times New Roman"/>
                <w:b w:val="0"/>
                <w:i w:val="0"/>
                <w:color w:val="000000"/>
                <w:sz w:val="20"/>
              </w:rPr>
              <w:t>Convex Serverless Platform</w:t>
            </w:r>
          </w:p>
        </w:tc>
        <w:tc>
          <w:tcPr>
            <w:tcW w:type="dxa" w:w="2250"/>
          </w:tcPr>
          <w:p>
            <w:r/>
            <w:r>
              <w:rPr>
                <w:rFonts w:ascii="Times New Roman" w:hAnsi="Times New Roman" w:eastAsia="Times New Roman"/>
                <w:b w:val="0"/>
                <w:i w:val="0"/>
                <w:color w:val="000000"/>
                <w:sz w:val="20"/>
              </w:rPr>
              <w:t>Convex Cloud / Local Dev Server</w:t>
            </w:r>
          </w:p>
        </w:tc>
        <w:tc>
          <w:tcPr>
            <w:tcW w:type="dxa" w:w="2250"/>
          </w:tcPr>
          <w:p>
            <w:r/>
            <w:r>
              <w:rPr>
                <w:rFonts w:ascii="Times New Roman" w:hAnsi="Times New Roman" w:eastAsia="Times New Roman"/>
                <w:b w:val="0"/>
                <w:i w:val="0"/>
                <w:color w:val="000000"/>
                <w:sz w:val="20"/>
              </w:rPr>
              <w:t>Real-time state synchronization, document database, encrypted file storage</w:t>
            </w:r>
          </w:p>
        </w:tc>
      </w:tr>
      <w:tr>
        <w:tc>
          <w:tcPr>
            <w:tcW w:type="dxa" w:w="2250"/>
          </w:tcPr>
          <w:p>
            <w:r/>
            <w:r>
              <w:rPr>
                <w:rFonts w:ascii="Times New Roman" w:hAnsi="Times New Roman" w:eastAsia="Times New Roman"/>
                <w:b w:val="0"/>
                <w:i w:val="0"/>
                <w:color w:val="000000"/>
                <w:sz w:val="20"/>
              </w:rPr>
              <w:t>Verification</w:t>
            </w:r>
          </w:p>
        </w:tc>
        <w:tc>
          <w:tcPr>
            <w:tcW w:type="dxa" w:w="2250"/>
          </w:tcPr>
          <w:p>
            <w:r/>
            <w:r>
              <w:rPr>
                <w:rFonts w:ascii="Times New Roman" w:hAnsi="Times New Roman" w:eastAsia="Times New Roman"/>
                <w:b w:val="0"/>
                <w:i w:val="0"/>
                <w:color w:val="000000"/>
                <w:sz w:val="20"/>
              </w:rPr>
              <w:t>Hyperledger Besu, Solidity 0.8.20, Ethers.js v6</w:t>
            </w:r>
          </w:p>
        </w:tc>
        <w:tc>
          <w:tcPr>
            <w:tcW w:type="dxa" w:w="2250"/>
          </w:tcPr>
          <w:p>
            <w:r/>
            <w:r>
              <w:rPr>
                <w:rFonts w:ascii="Times New Roman" w:hAnsi="Times New Roman" w:eastAsia="Times New Roman"/>
                <w:b w:val="0"/>
                <w:i w:val="0"/>
                <w:color w:val="000000"/>
                <w:sz w:val="20"/>
              </w:rPr>
              <w:t>Local Container (127.0.0.1:8545)</w:t>
            </w:r>
          </w:p>
        </w:tc>
        <w:tc>
          <w:tcPr>
            <w:tcW w:type="dxa" w:w="2250"/>
          </w:tcPr>
          <w:p>
            <w:r/>
            <w:r>
              <w:rPr>
                <w:rFonts w:ascii="Times New Roman" w:hAnsi="Times New Roman" w:eastAsia="Times New Roman"/>
                <w:b w:val="0"/>
                <w:i w:val="0"/>
                <w:color w:val="000000"/>
                <w:sz w:val="20"/>
              </w:rPr>
              <w:t>Immutable digest logging (recordHash), on-chain role verification</w:t>
            </w:r>
          </w:p>
        </w:tc>
      </w:tr>
    </w:tbl>
    <w:p/>
    <w:p>
      <w:pPr>
        <w:pStyle w:val="Heading2"/>
      </w:pPr>
      <w:r>
        <w:rPr>
          <w:rFonts w:ascii="Times New Roman" w:hAnsi="Times New Roman" w:eastAsia="Times New Roman"/>
          <w:b/>
          <w:i w:val="0"/>
          <w:color w:val="000000"/>
          <w:sz w:val="26"/>
        </w:rPr>
        <w:t>3.3 Convex Schema and Data Model</w:t>
      </w:r>
    </w:p>
    <w:p>
      <w:pPr>
        <w:ind w:firstLine="720"/>
      </w:pPr>
      <w:r>
        <w:rPr>
          <w:rFonts w:ascii="Times New Roman" w:hAnsi="Times New Roman" w:eastAsia="Times New Roman"/>
          <w:b w:val="0"/>
          <w:i w:val="0"/>
          <w:color w:val="000000"/>
          <w:sz w:val="24"/>
        </w:rPr>
        <w:t>The application database schema is defined in convex/schema.ts. Table 3.1 lists the collections and indexing strategies.</w:t>
      </w:r>
    </w:p>
    <w:tbl>
      <w:tblPr>
        <w:tblStyle w:val="TableGrid"/>
        <w:tblW w:type="auto" w:w="0"/>
        <w:tblLook w:firstColumn="1" w:firstRow="1" w:lastColumn="0" w:lastRow="0" w:noHBand="0" w:noVBand="1" w:val="04A0"/>
      </w:tblPr>
      <w:tblGrid>
        <w:gridCol w:w="2250"/>
        <w:gridCol w:w="2250"/>
        <w:gridCol w:w="2250"/>
        <w:gridCol w:w="2250"/>
      </w:tblGrid>
      <w:tr>
        <w:tc>
          <w:tcPr>
            <w:tcW w:type="dxa" w:w="2250"/>
          </w:tcPr>
          <w:p>
            <w:r/>
            <w:r>
              <w:rPr>
                <w:rFonts w:ascii="Times New Roman" w:hAnsi="Times New Roman" w:eastAsia="Times New Roman"/>
                <w:b/>
                <w:i w:val="0"/>
                <w:color w:val="000000"/>
                <w:sz w:val="20"/>
              </w:rPr>
              <w:t>Collection Name</w:t>
            </w:r>
          </w:p>
        </w:tc>
        <w:tc>
          <w:tcPr>
            <w:tcW w:type="dxa" w:w="2250"/>
          </w:tcPr>
          <w:p>
            <w:r/>
            <w:r>
              <w:rPr>
                <w:rFonts w:ascii="Times New Roman" w:hAnsi="Times New Roman" w:eastAsia="Times New Roman"/>
                <w:b/>
                <w:i w:val="0"/>
                <w:color w:val="000000"/>
                <w:sz w:val="20"/>
              </w:rPr>
              <w:t>Core Schema Fields</w:t>
            </w:r>
          </w:p>
        </w:tc>
        <w:tc>
          <w:tcPr>
            <w:tcW w:type="dxa" w:w="2250"/>
          </w:tcPr>
          <w:p>
            <w:r/>
            <w:r>
              <w:rPr>
                <w:rFonts w:ascii="Times New Roman" w:hAnsi="Times New Roman" w:eastAsia="Times New Roman"/>
                <w:b/>
                <w:i w:val="0"/>
                <w:color w:val="000000"/>
                <w:sz w:val="20"/>
              </w:rPr>
              <w:t>Secondary Indexing</w:t>
            </w:r>
          </w:p>
        </w:tc>
        <w:tc>
          <w:tcPr>
            <w:tcW w:type="dxa" w:w="2250"/>
          </w:tcPr>
          <w:p>
            <w:r/>
            <w:r>
              <w:rPr>
                <w:rFonts w:ascii="Times New Roman" w:hAnsi="Times New Roman" w:eastAsia="Times New Roman"/>
                <w:b/>
                <w:i w:val="0"/>
                <w:color w:val="000000"/>
                <w:sz w:val="20"/>
              </w:rPr>
              <w:t>System Purpose</w:t>
            </w:r>
          </w:p>
        </w:tc>
      </w:tr>
      <w:tr>
        <w:tc>
          <w:tcPr>
            <w:tcW w:type="dxa" w:w="2250"/>
          </w:tcPr>
          <w:p>
            <w:r/>
            <w:r>
              <w:rPr>
                <w:rFonts w:ascii="Times New Roman" w:hAnsi="Times New Roman" w:eastAsia="Times New Roman"/>
                <w:b w:val="0"/>
                <w:i w:val="0"/>
                <w:color w:val="000000"/>
                <w:sz w:val="20"/>
              </w:rPr>
              <w:t>admins</w:t>
            </w:r>
          </w:p>
        </w:tc>
        <w:tc>
          <w:tcPr>
            <w:tcW w:type="dxa" w:w="2250"/>
          </w:tcPr>
          <w:p>
            <w:r/>
            <w:r>
              <w:rPr>
                <w:rFonts w:ascii="Times New Roman" w:hAnsi="Times New Roman" w:eastAsia="Times New Roman"/>
                <w:b w:val="0"/>
                <w:i w:val="0"/>
                <w:color w:val="000000"/>
                <w:sz w:val="20"/>
              </w:rPr>
              <w:t>email, passwordHash, sessionToken</w:t>
            </w:r>
          </w:p>
        </w:tc>
        <w:tc>
          <w:tcPr>
            <w:tcW w:type="dxa" w:w="2250"/>
          </w:tcPr>
          <w:p>
            <w:r/>
            <w:r>
              <w:rPr>
                <w:rFonts w:ascii="Times New Roman" w:hAnsi="Times New Roman" w:eastAsia="Times New Roman"/>
                <w:b w:val="0"/>
                <w:i w:val="0"/>
                <w:color w:val="000000"/>
                <w:sz w:val="20"/>
              </w:rPr>
              <w:t>by_email, by_sessionToken</w:t>
            </w:r>
          </w:p>
        </w:tc>
        <w:tc>
          <w:tcPr>
            <w:tcW w:type="dxa" w:w="2250"/>
          </w:tcPr>
          <w:p>
            <w:r/>
            <w:r>
              <w:rPr>
                <w:rFonts w:ascii="Times New Roman" w:hAnsi="Times New Roman" w:eastAsia="Times New Roman"/>
                <w:b w:val="0"/>
                <w:i w:val="0"/>
                <w:color w:val="000000"/>
                <w:sz w:val="20"/>
              </w:rPr>
              <w:t>Administrative authentication records</w:t>
            </w:r>
          </w:p>
        </w:tc>
      </w:tr>
      <w:tr>
        <w:tc>
          <w:tcPr>
            <w:tcW w:type="dxa" w:w="2250"/>
          </w:tcPr>
          <w:p>
            <w:r/>
            <w:r>
              <w:rPr>
                <w:rFonts w:ascii="Times New Roman" w:hAnsi="Times New Roman" w:eastAsia="Times New Roman"/>
                <w:b w:val="0"/>
                <w:i w:val="0"/>
                <w:color w:val="000000"/>
                <w:sz w:val="20"/>
              </w:rPr>
              <w:t>users</w:t>
            </w:r>
          </w:p>
        </w:tc>
        <w:tc>
          <w:tcPr>
            <w:tcW w:type="dxa" w:w="2250"/>
          </w:tcPr>
          <w:p>
            <w:r/>
            <w:r>
              <w:rPr>
                <w:rFonts w:ascii="Times New Roman" w:hAnsi="Times New Roman" w:eastAsia="Times New Roman"/>
                <w:b w:val="0"/>
                <w:i w:val="0"/>
                <w:color w:val="000000"/>
                <w:sz w:val="20"/>
              </w:rPr>
              <w:t>firstName, lastName, email, role, indexNumber, staffId (PS***), idNumber, walletAddress, verificationStatus</w:t>
            </w:r>
          </w:p>
        </w:tc>
        <w:tc>
          <w:tcPr>
            <w:tcW w:type="dxa" w:w="2250"/>
          </w:tcPr>
          <w:p>
            <w:r/>
            <w:r>
              <w:rPr>
                <w:rFonts w:ascii="Times New Roman" w:hAnsi="Times New Roman" w:eastAsia="Times New Roman"/>
                <w:b w:val="0"/>
                <w:i w:val="0"/>
                <w:color w:val="000000"/>
                <w:sz w:val="20"/>
              </w:rPr>
              <w:t>by_email, by_indexNumber, by_staffId, by_idNumber, by_sessionToken, by_school, by_verificationStatus, by_walletAddress</w:t>
            </w:r>
          </w:p>
        </w:tc>
        <w:tc>
          <w:tcPr>
            <w:tcW w:type="dxa" w:w="2250"/>
          </w:tcPr>
          <w:p>
            <w:r/>
            <w:r>
              <w:rPr>
                <w:rFonts w:ascii="Times New Roman" w:hAnsi="Times New Roman" w:eastAsia="Times New Roman"/>
                <w:b w:val="0"/>
                <w:i w:val="0"/>
                <w:color w:val="000000"/>
                <w:sz w:val="20"/>
              </w:rPr>
              <w:t>Student and lecturer profiles indexed by real-world identifiers</w:t>
            </w:r>
          </w:p>
        </w:tc>
      </w:tr>
      <w:tr>
        <w:tc>
          <w:tcPr>
            <w:tcW w:type="dxa" w:w="2250"/>
          </w:tcPr>
          <w:p>
            <w:r/>
            <w:r>
              <w:rPr>
                <w:rFonts w:ascii="Times New Roman" w:hAnsi="Times New Roman" w:eastAsia="Times New Roman"/>
                <w:b w:val="0"/>
                <w:i w:val="0"/>
                <w:color w:val="000000"/>
                <w:sz w:val="20"/>
              </w:rPr>
              <w:t>chatRooms</w:t>
            </w:r>
          </w:p>
        </w:tc>
        <w:tc>
          <w:tcPr>
            <w:tcW w:type="dxa" w:w="2250"/>
          </w:tcPr>
          <w:p>
            <w:r/>
            <w:r>
              <w:rPr>
                <w:rFonts w:ascii="Times New Roman" w:hAnsi="Times New Roman" w:eastAsia="Times New Roman"/>
                <w:b w:val="0"/>
                <w:i w:val="0"/>
                <w:color w:val="000000"/>
                <w:sz w:val="20"/>
              </w:rPr>
              <w:t>participantIds, bb84Key, bb84Fingerprint</w:t>
            </w:r>
          </w:p>
        </w:tc>
        <w:tc>
          <w:tcPr>
            <w:tcW w:type="dxa" w:w="2250"/>
          </w:tcPr>
          <w:p>
            <w:r/>
            <w:r>
              <w:rPr>
                <w:rFonts w:ascii="Times New Roman" w:hAnsi="Times New Roman" w:eastAsia="Times New Roman"/>
                <w:b w:val="0"/>
                <w:i w:val="0"/>
                <w:color w:val="000000"/>
                <w:sz w:val="20"/>
              </w:rPr>
              <w:t>by_participantKey</w:t>
            </w:r>
          </w:p>
        </w:tc>
        <w:tc>
          <w:tcPr>
            <w:tcW w:type="dxa" w:w="2250"/>
          </w:tcPr>
          <w:p>
            <w:r/>
            <w:r>
              <w:rPr>
                <w:rFonts w:ascii="Times New Roman" w:hAnsi="Times New Roman" w:eastAsia="Times New Roman"/>
                <w:b w:val="0"/>
                <w:i w:val="0"/>
                <w:color w:val="000000"/>
                <w:sz w:val="20"/>
              </w:rPr>
              <w:t>One-to-one conversation room metadata</w:t>
            </w:r>
          </w:p>
        </w:tc>
      </w:tr>
      <w:tr>
        <w:tc>
          <w:tcPr>
            <w:tcW w:type="dxa" w:w="2250"/>
          </w:tcPr>
          <w:p>
            <w:r/>
            <w:r>
              <w:rPr>
                <w:rFonts w:ascii="Times New Roman" w:hAnsi="Times New Roman" w:eastAsia="Times New Roman"/>
                <w:b w:val="0"/>
                <w:i w:val="0"/>
                <w:color w:val="000000"/>
                <w:sz w:val="20"/>
              </w:rPr>
              <w:t>chatRoomMembers</w:t>
            </w:r>
          </w:p>
        </w:tc>
        <w:tc>
          <w:tcPr>
            <w:tcW w:type="dxa" w:w="2250"/>
          </w:tcPr>
          <w:p>
            <w:r/>
            <w:r>
              <w:rPr>
                <w:rFonts w:ascii="Times New Roman" w:hAnsi="Times New Roman" w:eastAsia="Times New Roman"/>
                <w:b w:val="0"/>
                <w:i w:val="0"/>
                <w:color w:val="000000"/>
                <w:sz w:val="20"/>
              </w:rPr>
              <w:t>roomId, userId, unreadCount</w:t>
            </w:r>
          </w:p>
        </w:tc>
        <w:tc>
          <w:tcPr>
            <w:tcW w:type="dxa" w:w="2250"/>
          </w:tcPr>
          <w:p>
            <w:r/>
            <w:r>
              <w:rPr>
                <w:rFonts w:ascii="Times New Roman" w:hAnsi="Times New Roman" w:eastAsia="Times New Roman"/>
                <w:b w:val="0"/>
                <w:i w:val="0"/>
                <w:color w:val="000000"/>
                <w:sz w:val="20"/>
              </w:rPr>
              <w:t>by_userId_and_updatedAt</w:t>
            </w:r>
          </w:p>
        </w:tc>
        <w:tc>
          <w:tcPr>
            <w:tcW w:type="dxa" w:w="2250"/>
          </w:tcPr>
          <w:p>
            <w:r/>
            <w:r>
              <w:rPr>
                <w:rFonts w:ascii="Times New Roman" w:hAnsi="Times New Roman" w:eastAsia="Times New Roman"/>
                <w:b w:val="0"/>
                <w:i w:val="0"/>
                <w:color w:val="000000"/>
                <w:sz w:val="20"/>
              </w:rPr>
              <w:t>Unread badges and member room state</w:t>
            </w:r>
          </w:p>
        </w:tc>
      </w:tr>
      <w:tr>
        <w:tc>
          <w:tcPr>
            <w:tcW w:type="dxa" w:w="2250"/>
          </w:tcPr>
          <w:p>
            <w:r/>
            <w:r>
              <w:rPr>
                <w:rFonts w:ascii="Times New Roman" w:hAnsi="Times New Roman" w:eastAsia="Times New Roman"/>
                <w:b w:val="0"/>
                <w:i w:val="0"/>
                <w:color w:val="000000"/>
                <w:sz w:val="20"/>
              </w:rPr>
              <w:t>messages</w:t>
            </w:r>
          </w:p>
        </w:tc>
        <w:tc>
          <w:tcPr>
            <w:tcW w:type="dxa" w:w="2250"/>
          </w:tcPr>
          <w:p>
            <w:r/>
            <w:r>
              <w:rPr>
                <w:rFonts w:ascii="Times New Roman" w:hAnsi="Times New Roman" w:eastAsia="Times New Roman"/>
                <w:b w:val="0"/>
                <w:i w:val="0"/>
                <w:color w:val="000000"/>
                <w:sz w:val="20"/>
              </w:rPr>
              <w:t>text, iv, isEncrypted, blockchainTxHash, attachments</w:t>
            </w:r>
          </w:p>
        </w:tc>
        <w:tc>
          <w:tcPr>
            <w:tcW w:type="dxa" w:w="2250"/>
          </w:tcPr>
          <w:p>
            <w:r/>
            <w:r>
              <w:rPr>
                <w:rFonts w:ascii="Times New Roman" w:hAnsi="Times New Roman" w:eastAsia="Times New Roman"/>
                <w:b w:val="0"/>
                <w:i w:val="0"/>
                <w:color w:val="000000"/>
                <w:sz w:val="20"/>
              </w:rPr>
              <w:t>by_roomId_and_createdAt</w:t>
            </w:r>
          </w:p>
        </w:tc>
        <w:tc>
          <w:tcPr>
            <w:tcW w:type="dxa" w:w="2250"/>
          </w:tcPr>
          <w:p>
            <w:r/>
            <w:r>
              <w:rPr>
                <w:rFonts w:ascii="Times New Roman" w:hAnsi="Times New Roman" w:eastAsia="Times New Roman"/>
                <w:b w:val="0"/>
                <w:i w:val="0"/>
                <w:color w:val="000000"/>
                <w:sz w:val="20"/>
              </w:rPr>
              <w:t>Encrypted message payloads and audit tx hashes</w:t>
            </w:r>
          </w:p>
        </w:tc>
      </w:tr>
      <w:tr>
        <w:tc>
          <w:tcPr>
            <w:tcW w:type="dxa" w:w="2250"/>
          </w:tcPr>
          <w:p>
            <w:r/>
            <w:r>
              <w:rPr>
                <w:rFonts w:ascii="Times New Roman" w:hAnsi="Times New Roman" w:eastAsia="Times New Roman"/>
                <w:b w:val="0"/>
                <w:i w:val="0"/>
                <w:color w:val="000000"/>
                <w:sz w:val="20"/>
              </w:rPr>
              <w:t>questions</w:t>
            </w:r>
          </w:p>
        </w:tc>
        <w:tc>
          <w:tcPr>
            <w:tcW w:type="dxa" w:w="2250"/>
          </w:tcPr>
          <w:p>
            <w:r/>
            <w:r>
              <w:rPr>
                <w:rFonts w:ascii="Times New Roman" w:hAnsi="Times New Roman" w:eastAsia="Times New Roman"/>
                <w:b w:val="0"/>
                <w:i w:val="0"/>
                <w:color w:val="000000"/>
                <w:sz w:val="20"/>
              </w:rPr>
              <w:t>title, body, hashtags</w:t>
            </w:r>
          </w:p>
        </w:tc>
        <w:tc>
          <w:tcPr>
            <w:tcW w:type="dxa" w:w="2250"/>
          </w:tcPr>
          <w:p>
            <w:r/>
            <w:r>
              <w:rPr>
                <w:rFonts w:ascii="Times New Roman" w:hAnsi="Times New Roman" w:eastAsia="Times New Roman"/>
                <w:b w:val="0"/>
                <w:i w:val="0"/>
                <w:color w:val="000000"/>
                <w:sz w:val="20"/>
              </w:rPr>
              <w:t>by_createdAt</w:t>
            </w:r>
          </w:p>
        </w:tc>
        <w:tc>
          <w:tcPr>
            <w:tcW w:type="dxa" w:w="2250"/>
          </w:tcPr>
          <w:p>
            <w:r/>
            <w:r>
              <w:rPr>
                <w:rFonts w:ascii="Times New Roman" w:hAnsi="Times New Roman" w:eastAsia="Times New Roman"/>
                <w:b w:val="0"/>
                <w:i w:val="0"/>
                <w:color w:val="000000"/>
                <w:sz w:val="20"/>
              </w:rPr>
              <w:t>Hashtag-indexed community Q&amp;A posts</w:t>
            </w:r>
          </w:p>
        </w:tc>
      </w:tr>
      <w:tr>
        <w:tc>
          <w:tcPr>
            <w:tcW w:type="dxa" w:w="2250"/>
          </w:tcPr>
          <w:p>
            <w:r/>
            <w:r>
              <w:rPr>
                <w:rFonts w:ascii="Times New Roman" w:hAnsi="Times New Roman" w:eastAsia="Times New Roman"/>
                <w:b w:val="0"/>
                <w:i w:val="0"/>
                <w:color w:val="000000"/>
                <w:sz w:val="20"/>
              </w:rPr>
              <w:t>answers</w:t>
            </w:r>
          </w:p>
        </w:tc>
        <w:tc>
          <w:tcPr>
            <w:tcW w:type="dxa" w:w="2250"/>
          </w:tcPr>
          <w:p>
            <w:r/>
            <w:r>
              <w:rPr>
                <w:rFonts w:ascii="Times New Roman" w:hAnsi="Times New Roman" w:eastAsia="Times New Roman"/>
                <w:b w:val="0"/>
                <w:i w:val="0"/>
                <w:color w:val="000000"/>
                <w:sz w:val="20"/>
              </w:rPr>
              <w:t>questionId, body</w:t>
            </w:r>
          </w:p>
        </w:tc>
        <w:tc>
          <w:tcPr>
            <w:tcW w:type="dxa" w:w="2250"/>
          </w:tcPr>
          <w:p>
            <w:r/>
            <w:r>
              <w:rPr>
                <w:rFonts w:ascii="Times New Roman" w:hAnsi="Times New Roman" w:eastAsia="Times New Roman"/>
                <w:b w:val="0"/>
                <w:i w:val="0"/>
                <w:color w:val="000000"/>
                <w:sz w:val="20"/>
              </w:rPr>
              <w:t>by_questionId_and_createdAt</w:t>
            </w:r>
          </w:p>
        </w:tc>
        <w:tc>
          <w:tcPr>
            <w:tcW w:type="dxa" w:w="2250"/>
          </w:tcPr>
          <w:p>
            <w:r/>
            <w:r>
              <w:rPr>
                <w:rFonts w:ascii="Times New Roman" w:hAnsi="Times New Roman" w:eastAsia="Times New Roman"/>
                <w:b w:val="0"/>
                <w:i w:val="0"/>
                <w:color w:val="000000"/>
                <w:sz w:val="20"/>
              </w:rPr>
              <w:t>Community answers linked to questions</w:t>
            </w:r>
          </w:p>
        </w:tc>
      </w:tr>
      <w:tr>
        <w:tc>
          <w:tcPr>
            <w:tcW w:type="dxa" w:w="2250"/>
          </w:tcPr>
          <w:p>
            <w:r/>
            <w:r>
              <w:rPr>
                <w:rFonts w:ascii="Times New Roman" w:hAnsi="Times New Roman" w:eastAsia="Times New Roman"/>
                <w:b w:val="0"/>
                <w:i w:val="0"/>
                <w:color w:val="000000"/>
                <w:sz w:val="20"/>
              </w:rPr>
              <w:t>notifications</w:t>
            </w:r>
          </w:p>
        </w:tc>
        <w:tc>
          <w:tcPr>
            <w:tcW w:type="dxa" w:w="2250"/>
          </w:tcPr>
          <w:p>
            <w:r/>
            <w:r>
              <w:rPr>
                <w:rFonts w:ascii="Times New Roman" w:hAnsi="Times New Roman" w:eastAsia="Times New Roman"/>
                <w:b w:val="0"/>
                <w:i w:val="0"/>
                <w:color w:val="000000"/>
                <w:sz w:val="20"/>
              </w:rPr>
              <w:t>userId, type, read</w:t>
            </w:r>
          </w:p>
        </w:tc>
        <w:tc>
          <w:tcPr>
            <w:tcW w:type="dxa" w:w="2250"/>
          </w:tcPr>
          <w:p>
            <w:r/>
            <w:r>
              <w:rPr>
                <w:rFonts w:ascii="Times New Roman" w:hAnsi="Times New Roman" w:eastAsia="Times New Roman"/>
                <w:b w:val="0"/>
                <w:i w:val="0"/>
                <w:color w:val="000000"/>
                <w:sz w:val="20"/>
              </w:rPr>
              <w:t>by_userId_and_createdAt</w:t>
            </w:r>
          </w:p>
        </w:tc>
        <w:tc>
          <w:tcPr>
            <w:tcW w:type="dxa" w:w="2250"/>
          </w:tcPr>
          <w:p>
            <w:r/>
            <w:r>
              <w:rPr>
                <w:rFonts w:ascii="Times New Roman" w:hAnsi="Times New Roman" w:eastAsia="Times New Roman"/>
                <w:b w:val="0"/>
                <w:i w:val="0"/>
                <w:color w:val="000000"/>
                <w:sz w:val="20"/>
              </w:rPr>
              <w:t>User alert and system event notifications</w:t>
            </w:r>
          </w:p>
        </w:tc>
      </w:tr>
      <w:tr>
        <w:tc>
          <w:tcPr>
            <w:tcW w:type="dxa" w:w="2250"/>
          </w:tcPr>
          <w:p>
            <w:r/>
            <w:r>
              <w:rPr>
                <w:rFonts w:ascii="Times New Roman" w:hAnsi="Times New Roman" w:eastAsia="Times New Roman"/>
                <w:b w:val="0"/>
                <w:i w:val="0"/>
                <w:color w:val="000000"/>
                <w:sz w:val="20"/>
              </w:rPr>
              <w:t>verificationRequests</w:t>
            </w:r>
          </w:p>
        </w:tc>
        <w:tc>
          <w:tcPr>
            <w:tcW w:type="dxa" w:w="2250"/>
          </w:tcPr>
          <w:p>
            <w:r/>
            <w:r>
              <w:rPr>
                <w:rFonts w:ascii="Times New Roman" w:hAnsi="Times New Roman" w:eastAsia="Times New Roman"/>
                <w:b w:val="0"/>
                <w:i w:val="0"/>
                <w:color w:val="000000"/>
                <w:sz w:val="20"/>
              </w:rPr>
              <w:t>evidence, status, approved</w:t>
            </w:r>
          </w:p>
        </w:tc>
        <w:tc>
          <w:tcPr>
            <w:tcW w:type="dxa" w:w="2250"/>
          </w:tcPr>
          <w:p>
            <w:r/>
            <w:r>
              <w:rPr>
                <w:rFonts w:ascii="Times New Roman" w:hAnsi="Times New Roman" w:eastAsia="Times New Roman"/>
                <w:b w:val="0"/>
                <w:i w:val="0"/>
                <w:color w:val="000000"/>
                <w:sz w:val="20"/>
              </w:rPr>
              <w:t>by_userId</w:t>
            </w:r>
          </w:p>
        </w:tc>
        <w:tc>
          <w:tcPr>
            <w:tcW w:type="dxa" w:w="2250"/>
          </w:tcPr>
          <w:p>
            <w:r/>
            <w:r>
              <w:rPr>
                <w:rFonts w:ascii="Times New Roman" w:hAnsi="Times New Roman" w:eastAsia="Times New Roman"/>
                <w:b w:val="0"/>
                <w:i w:val="0"/>
                <w:color w:val="000000"/>
                <w:sz w:val="20"/>
              </w:rPr>
              <w:t>Institutional identity review queue</w:t>
            </w:r>
          </w:p>
        </w:tc>
      </w:tr>
    </w:tbl>
    <w:p/>
    <w:p>
      <w:pPr>
        <w:pStyle w:val="Heading2"/>
      </w:pPr>
      <w:r>
        <w:rPr>
          <w:rFonts w:ascii="Times New Roman" w:hAnsi="Times New Roman" w:eastAsia="Times New Roman"/>
          <w:b/>
          <w:i w:val="0"/>
          <w:color w:val="000000"/>
          <w:sz w:val="26"/>
        </w:rPr>
        <w:t>3.4 Cryptographic Engineering Pipeline</w:t>
      </w:r>
    </w:p>
    <w:p>
      <w:pPr>
        <w:pStyle w:val="Heading3"/>
      </w:pPr>
      <w:r>
        <w:rPr>
          <w:rFonts w:ascii="Times New Roman" w:hAnsi="Times New Roman" w:eastAsia="Times New Roman"/>
          <w:b/>
          <w:i w:val="0"/>
          <w:color w:val="000000"/>
          <w:sz w:val="26"/>
        </w:rPr>
        <w:t>3.4.1 RSA Identity Key Generation and Persistence</w:t>
      </w:r>
    </w:p>
    <w:p>
      <w:pPr>
        <w:ind w:firstLine="720"/>
      </w:pPr>
      <w:r>
        <w:rPr>
          <w:rFonts w:ascii="Times New Roman" w:hAnsi="Times New Roman" w:eastAsia="Times New Roman"/>
          <w:b w:val="0"/>
          <w:i w:val="0"/>
          <w:color w:val="000000"/>
          <w:sz w:val="24"/>
        </w:rPr>
        <w:t>Upon initial account registration, the CryptographicLoginGatekeeper component (src/App.tsx) triggers generateClientIdentityKeys() in src/services/web3Service.ts. The W3C Web Crypto API generates an RSA-OAEP 2048-bit keypair. The public key is exported as a SubjectPublicKeyInfo (SPKI) Base64 string and stored on the user's Convex document. The private CryptoKey object is stored locally in the browser's IndexedDB keyring (Mozilla Developer Network, 2024).</w:t>
      </w:r>
    </w:p>
    <w:p>
      <w:pPr>
        <w:pStyle w:val="Heading3"/>
      </w:pPr>
      <w:r>
        <w:rPr>
          <w:rFonts w:ascii="Times New Roman" w:hAnsi="Times New Roman" w:eastAsia="Times New Roman"/>
          <w:b/>
          <w:i w:val="0"/>
          <w:color w:val="000000"/>
          <w:sz w:val="26"/>
        </w:rPr>
        <w:t>3.4.2 AES-GCM Payload Encryption</w:t>
      </w:r>
    </w:p>
    <w:p>
      <w:pPr>
        <w:ind w:firstLine="720"/>
      </w:pPr>
      <w:r>
        <w:rPr>
          <w:rFonts w:ascii="Times New Roman" w:hAnsi="Times New Roman" w:eastAsia="Times New Roman"/>
          <w:b w:val="0"/>
          <w:i w:val="0"/>
          <w:color w:val="000000"/>
          <w:sz w:val="24"/>
        </w:rPr>
        <w:t>Message payloads and file attachments are encrypted client-side using 256-bit AES-GCM (src/services/keyExchange.ts). For each message, the client generates a cryptographic 12-byte Initialization Vector (IV). Plaintext text or binary file ArrayBuffers are encrypted, and the resulting ciphertext and IV are transmitted to Convex (National Institute of Standards and Technology, 2001).</w:t>
      </w:r>
    </w:p>
    <w:p>
      <w:pPr>
        <w:pStyle w:val="Heading3"/>
      </w:pPr>
      <w:r>
        <w:rPr>
          <w:rFonts w:ascii="Times New Roman" w:hAnsi="Times New Roman" w:eastAsia="Times New Roman"/>
          <w:b/>
          <w:i w:val="0"/>
          <w:color w:val="000000"/>
          <w:sz w:val="26"/>
        </w:rPr>
        <w:t>3.4.3 On-Chain Hash Recording via Ethers.js</w:t>
      </w:r>
    </w:p>
    <w:p>
      <w:pPr>
        <w:ind w:firstLine="720"/>
      </w:pPr>
      <w:r>
        <w:rPr>
          <w:rFonts w:ascii="Times New Roman" w:hAnsi="Times New Roman" w:eastAsia="Times New Roman"/>
          <w:b w:val="0"/>
          <w:i w:val="0"/>
          <w:color w:val="000000"/>
          <w:sz w:val="24"/>
        </w:rPr>
        <w:t>When sensitive mode is active, the browser computes the SHA-256 digest of the message payload. The client invokes logHashToBlockchain() in src/services/web3Service.ts, connecting via JsonRpcProvider to the local Besu node at 127.0.0.1:8545. The contract method recordHash(messageId, messageHash, sender, receiver) executes on MessageVerifier.sol, storing the immutable hash on the ledger (Ethers.js Contributors, 2024). The returned transaction hash is saved to the Convex message record.</w:t>
      </w:r>
    </w:p>
    <w:p>
      <w:pPr>
        <w:pStyle w:val="Heading2"/>
      </w:pPr>
      <w:r>
        <w:rPr>
          <w:rFonts w:ascii="Times New Roman" w:hAnsi="Times New Roman" w:eastAsia="Times New Roman"/>
          <w:b/>
          <w:i w:val="0"/>
          <w:color w:val="000000"/>
          <w:sz w:val="26"/>
        </w:rPr>
        <w:t>3.5 BB84 Quantum Key Distribution Simulation</w:t>
      </w:r>
    </w:p>
    <w:p>
      <w:pPr>
        <w:ind w:firstLine="720"/>
      </w:pPr>
      <w:r>
        <w:rPr>
          <w:rFonts w:ascii="Times New Roman" w:hAnsi="Times New Roman" w:eastAsia="Times New Roman"/>
          <w:b w:val="0"/>
          <w:i w:val="0"/>
          <w:color w:val="000000"/>
          <w:sz w:val="24"/>
        </w:rPr>
        <w:t>The BB84 module (src/lib/bb84.ts) simulates quantum key exchange mechanics using cryptographically secure random numbers (window.crypto.getRandomValues). The process executes through four stages:</w:t>
      </w:r>
    </w:p>
    <w:p>
      <w:pPr>
        <w:pStyle w:val="ListNumber"/>
      </w:pPr>
      <w:r>
        <w:rPr>
          <w:rFonts w:ascii="Times New Roman" w:hAnsi="Times New Roman" w:eastAsia="Times New Roman"/>
          <w:b w:val="0"/>
          <w:i w:val="0"/>
          <w:color w:val="000000"/>
          <w:sz w:val="24"/>
        </w:rPr>
        <w:t>State Preparation: Alice generates a random bit sequence and selects random preparation bases (Rectilinear + or Diagonal ×).</w:t>
      </w:r>
    </w:p>
    <w:p>
      <w:pPr>
        <w:pStyle w:val="ListNumber"/>
      </w:pPr>
      <w:r>
        <w:rPr>
          <w:rFonts w:ascii="Times New Roman" w:hAnsi="Times New Roman" w:eastAsia="Times New Roman"/>
          <w:b w:val="0"/>
          <w:i w:val="0"/>
          <w:color w:val="000000"/>
          <w:sz w:val="24"/>
        </w:rPr>
        <w:t>Measurement &amp; Sifting: Bob selects random measurement bases. Alice and Bob compare bases over a public channel, retaining bits where bases matched (sifted key).</w:t>
      </w:r>
    </w:p>
    <w:p>
      <w:pPr>
        <w:pStyle w:val="ListNumber"/>
      </w:pPr>
      <w:r>
        <w:rPr>
          <w:rFonts w:ascii="Times New Roman" w:hAnsi="Times New Roman" w:eastAsia="Times New Roman"/>
          <w:b w:val="0"/>
          <w:i w:val="0"/>
          <w:color w:val="000000"/>
          <w:sz w:val="24"/>
        </w:rPr>
        <w:t>Error Estimation: Quantum Bit Error Rate (QBER) is calculated by checking bit mismatches across sample bits.</w:t>
      </w:r>
    </w:p>
    <w:p>
      <w:pPr>
        <w:pStyle w:val="ListNumber"/>
      </w:pPr>
      <w:r>
        <w:rPr>
          <w:rFonts w:ascii="Times New Roman" w:hAnsi="Times New Roman" w:eastAsia="Times New Roman"/>
          <w:b w:val="0"/>
          <w:i w:val="0"/>
          <w:color w:val="000000"/>
          <w:sz w:val="24"/>
        </w:rPr>
        <w:t>Key Distillation &amp; Abort: If QBER exceeds 0.11 (11%), the module aborts key distillation (Scarani et al., 2009). If QBER ≤ 0.11, a 256-bit session key is derived and formatted as a hex fingerprint (XXXX-XXXX-XXXX).</w:t>
      </w:r>
    </w:p>
    <w:p>
      <w:pPr>
        <w:pStyle w:val="Heading2"/>
      </w:pPr>
      <w:r>
        <w:rPr>
          <w:rFonts w:ascii="Times New Roman" w:hAnsi="Times New Roman" w:eastAsia="Times New Roman"/>
          <w:b/>
          <w:i w:val="0"/>
          <w:color w:val="000000"/>
          <w:sz w:val="26"/>
        </w:rPr>
        <w:t>3.6 Smart Contract Design</w:t>
      </w:r>
    </w:p>
    <w:p>
      <w:pPr>
        <w:ind w:firstLine="720"/>
      </w:pPr>
      <w:r>
        <w:rPr>
          <w:rFonts w:ascii="Times New Roman" w:hAnsi="Times New Roman" w:eastAsia="Times New Roman"/>
          <w:b w:val="0"/>
          <w:i w:val="0"/>
          <w:color w:val="000000"/>
          <w:sz w:val="24"/>
        </w:rPr>
        <w:t>MessageVerifier.sol (Solidity 0.8.20) maintains message records and user role state on the private Besu network. Core contract functions include:</w:t>
      </w:r>
    </w:p>
    <w:p>
      <w:pPr>
        <w:pStyle w:val="ListBullet"/>
      </w:pPr>
      <w:r>
        <w:rPr>
          <w:rFonts w:ascii="Times New Roman" w:hAnsi="Times New Roman" w:eastAsia="Times New Roman"/>
          <w:b w:val="0"/>
          <w:i w:val="0"/>
          <w:color w:val="000000"/>
          <w:sz w:val="24"/>
        </w:rPr>
        <w:t>recordHash(string messageId, bytes32 messageHash, address sender, address receiver): Stores payload digest; reverts on duplicate message ID.</w:t>
      </w:r>
    </w:p>
    <w:p>
      <w:pPr>
        <w:pStyle w:val="ListBullet"/>
      </w:pPr>
      <w:r>
        <w:rPr>
          <w:rFonts w:ascii="Times New Roman" w:hAnsi="Times New Roman" w:eastAsia="Times New Roman"/>
          <w:b w:val="0"/>
          <w:i w:val="0"/>
          <w:color w:val="000000"/>
          <w:sz w:val="24"/>
        </w:rPr>
        <w:t>verifyHash(string messageId): Read-only view function returning stored bytes32 hash for integrity verification.</w:t>
      </w:r>
    </w:p>
    <w:p>
      <w:pPr>
        <w:pStyle w:val="ListBullet"/>
      </w:pPr>
      <w:r>
        <w:rPr>
          <w:rFonts w:ascii="Times New Roman" w:hAnsi="Times New Roman" w:eastAsia="Times New Roman"/>
          <w:b w:val="0"/>
          <w:i w:val="0"/>
          <w:color w:val="000000"/>
          <w:sz w:val="24"/>
        </w:rPr>
        <w:t>verifyUser(address user, string role): Admin-only function registering verified user identity and institutional role on-chain.</w:t>
      </w:r>
    </w:p>
    <w:p>
      <w:pPr>
        <w:pStyle w:val="ListBullet"/>
      </w:pPr>
      <w:r>
        <w:rPr>
          <w:rFonts w:ascii="Times New Roman" w:hAnsi="Times New Roman" w:eastAsia="Times New Roman"/>
          <w:b w:val="0"/>
          <w:i w:val="0"/>
          <w:color w:val="000000"/>
          <w:sz w:val="24"/>
        </w:rPr>
        <w:t>verifyUserWithIndex(address user, string role, string indexNumber): Binds student index number (e.g., UEB3509022) to role and wallet address on-chain.</w:t>
      </w:r>
    </w:p>
    <w:p>
      <w:pPr>
        <w:pStyle w:val="ListBullet"/>
      </w:pPr>
      <w:r>
        <w:rPr>
          <w:rFonts w:ascii="Times New Roman" w:hAnsi="Times New Roman" w:eastAsia="Times New Roman"/>
          <w:b w:val="0"/>
          <w:i w:val="0"/>
          <w:color w:val="000000"/>
          <w:sz w:val="24"/>
        </w:rPr>
        <w:t>verifyUserWithStaffId(address user, string role, string staffId): Binds lecturer staff ID in PS*** format (e.g., PS001, PS123) to role and wallet address on-chain.</w:t>
      </w:r>
    </w:p>
    <w:p>
      <w:pPr>
        <w:pStyle w:val="ListBullet"/>
      </w:pPr>
      <w:r>
        <w:rPr>
          <w:rFonts w:ascii="Times New Roman" w:hAnsi="Times New Roman" w:eastAsia="Times New Roman"/>
          <w:b w:val="0"/>
          <w:i w:val="0"/>
          <w:color w:val="000000"/>
          <w:sz w:val="24"/>
        </w:rPr>
        <w:t>getUserRole(address user), getUserIndexNumber(address user), getUserStaffId(address user): View functions returning on-chain identity bindings.</w:t>
      </w:r>
    </w:p>
    <w:p>
      <w:pPr>
        <w:pStyle w:val="Heading2"/>
      </w:pPr>
      <w:r>
        <w:rPr>
          <w:rFonts w:ascii="Times New Roman" w:hAnsi="Times New Roman" w:eastAsia="Times New Roman"/>
          <w:b/>
          <w:i w:val="0"/>
          <w:color w:val="000000"/>
          <w:sz w:val="26"/>
        </w:rPr>
        <w:t>3.7 Data Flow Sequences</w:t>
      </w:r>
    </w:p>
    <w:p>
      <w:pPr>
        <w:ind w:firstLine="720"/>
      </w:pPr>
      <w:r>
        <w:rPr>
          <w:rFonts w:ascii="Times New Roman" w:hAnsi="Times New Roman" w:eastAsia="Times New Roman"/>
          <w:b w:val="0"/>
          <w:i w:val="0"/>
          <w:color w:val="000000"/>
          <w:sz w:val="24"/>
        </w:rPr>
        <w:t>Message Flow: Input message/file → Client AES-GCM encryption → Compute SHA-256 payload hash → Send ciphertext to Convex → Execute Besu recordHash() via Ethers.js → Attach txHash to Convex message → Recipient decrypts payload and verifies hash.</w:t>
      </w:r>
    </w:p>
    <w:p>
      <w:pPr>
        <w:ind w:firstLine="720"/>
      </w:pPr>
      <w:r>
        <w:rPr>
          <w:rFonts w:ascii="Times New Roman" w:hAnsi="Times New Roman" w:eastAsia="Times New Roman"/>
          <w:b w:val="0"/>
          <w:i w:val="0"/>
          <w:color w:val="000000"/>
          <w:sz w:val="24"/>
        </w:rPr>
        <w:t>Verification Flow: Admin enters search identifier (Email, Student Index Number UEB3509022, or Lecturer Staff ID PS***) → Query Convex database for user profile and 30-day message history → Inspect Cryptographic Audit Trail comparing Convex mutable DB timestamp against Besu immutable block timestamp → Validate content SHA-256 hash match → Generate and print formal verification audit report.</w:t>
      </w:r>
    </w:p>
    <w:p>
      <w:pPr>
        <w:pStyle w:val="Heading2"/>
      </w:pPr>
      <w:r>
        <w:rPr>
          <w:rFonts w:ascii="Times New Roman" w:hAnsi="Times New Roman" w:eastAsia="Times New Roman"/>
          <w:b/>
          <w:i w:val="0"/>
          <w:color w:val="000000"/>
          <w:sz w:val="26"/>
        </w:rPr>
        <w:t>3.8 User Interface Routing</w:t>
      </w:r>
    </w:p>
    <w:p>
      <w:pPr>
        <w:ind w:firstLine="720"/>
      </w:pPr>
      <w:r>
        <w:rPr>
          <w:rFonts w:ascii="Times New Roman" w:hAnsi="Times New Roman" w:eastAsia="Times New Roman"/>
          <w:b w:val="0"/>
          <w:i w:val="0"/>
          <w:color w:val="000000"/>
          <w:sz w:val="24"/>
        </w:rPr>
        <w:t>The interface includes eleven routes: LandingPage, Register, Login, ForgotPassword, MessagesList, QAPage, Explore, VerifyProfile, EditProfile, Admin, and BB84 Key Setup.</w:t>
      </w:r>
    </w:p>
    <w:p>
      <w:pPr>
        <w:pStyle w:val="Heading2"/>
      </w:pPr>
      <w:r>
        <w:rPr>
          <w:rFonts w:ascii="Times New Roman" w:hAnsi="Times New Roman" w:eastAsia="Times New Roman"/>
          <w:b/>
          <w:i w:val="0"/>
          <w:color w:val="000000"/>
          <w:sz w:val="26"/>
        </w:rPr>
        <w:t>3.9 Threat Matrix and Mitigation Strategies</w:t>
      </w:r>
    </w:p>
    <w:p>
      <w:pPr>
        <w:ind w:firstLine="720"/>
      </w:pPr>
      <w:r>
        <w:rPr>
          <w:rFonts w:ascii="Times New Roman" w:hAnsi="Times New Roman" w:eastAsia="Times New Roman"/>
          <w:b w:val="0"/>
          <w:i w:val="0"/>
          <w:color w:val="000000"/>
          <w:sz w:val="24"/>
        </w:rPr>
        <w:t>Table 3.2 details the primary security threats addressed during system design.</w:t>
      </w:r>
    </w:p>
    <w:tbl>
      <w:tblPr>
        <w:tblStyle w:val="TableGrid"/>
        <w:tblW w:type="auto" w:w="0"/>
        <w:tblLook w:firstColumn="1" w:firstRow="1" w:lastColumn="0" w:lastRow="0" w:noHBand="0" w:noVBand="1" w:val="04A0"/>
      </w:tblPr>
      <w:tblGrid>
        <w:gridCol w:w="3000"/>
        <w:gridCol w:w="3000"/>
        <w:gridCol w:w="3000"/>
      </w:tblGrid>
      <w:tr>
        <w:tc>
          <w:tcPr>
            <w:tcW w:type="dxa" w:w="3000"/>
          </w:tcPr>
          <w:p>
            <w:r/>
            <w:r>
              <w:rPr>
                <w:rFonts w:ascii="Times New Roman" w:hAnsi="Times New Roman" w:eastAsia="Times New Roman"/>
                <w:b/>
                <w:i w:val="0"/>
                <w:color w:val="000000"/>
                <w:sz w:val="20"/>
              </w:rPr>
              <w:t>Threat Vector</w:t>
            </w:r>
          </w:p>
        </w:tc>
        <w:tc>
          <w:tcPr>
            <w:tcW w:type="dxa" w:w="3000"/>
          </w:tcPr>
          <w:p>
            <w:r/>
            <w:r>
              <w:rPr>
                <w:rFonts w:ascii="Times New Roman" w:hAnsi="Times New Roman" w:eastAsia="Times New Roman"/>
                <w:b/>
                <w:i w:val="0"/>
                <w:color w:val="000000"/>
                <w:sz w:val="20"/>
              </w:rPr>
              <w:t>Security Impact</w:t>
            </w:r>
          </w:p>
        </w:tc>
        <w:tc>
          <w:tcPr>
            <w:tcW w:type="dxa" w:w="3000"/>
          </w:tcPr>
          <w:p>
            <w:r/>
            <w:r>
              <w:rPr>
                <w:rFonts w:ascii="Times New Roman" w:hAnsi="Times New Roman" w:eastAsia="Times New Roman"/>
                <w:b/>
                <w:i w:val="0"/>
                <w:color w:val="000000"/>
                <w:sz w:val="20"/>
              </w:rPr>
              <w:t>Mitigation Mechanism</w:t>
            </w:r>
          </w:p>
        </w:tc>
      </w:tr>
      <w:tr>
        <w:tc>
          <w:tcPr>
            <w:tcW w:type="dxa" w:w="3000"/>
          </w:tcPr>
          <w:p>
            <w:r/>
            <w:r>
              <w:rPr>
                <w:rFonts w:ascii="Times New Roman" w:hAnsi="Times New Roman" w:eastAsia="Times New Roman"/>
                <w:b w:val="0"/>
                <w:i w:val="0"/>
                <w:color w:val="000000"/>
                <w:sz w:val="20"/>
              </w:rPr>
              <w:t>Convex DB Modification</w:t>
            </w:r>
          </w:p>
        </w:tc>
        <w:tc>
          <w:tcPr>
            <w:tcW w:type="dxa" w:w="3000"/>
          </w:tcPr>
          <w:p>
            <w:r/>
            <w:r>
              <w:rPr>
                <w:rFonts w:ascii="Times New Roman" w:hAnsi="Times New Roman" w:eastAsia="Times New Roman"/>
                <w:b w:val="0"/>
                <w:i w:val="0"/>
                <w:color w:val="000000"/>
                <w:sz w:val="20"/>
              </w:rPr>
              <w:t>Unauthorized payload alteration by DB admin</w:t>
            </w:r>
          </w:p>
        </w:tc>
        <w:tc>
          <w:tcPr>
            <w:tcW w:type="dxa" w:w="3000"/>
          </w:tcPr>
          <w:p>
            <w:r/>
            <w:r>
              <w:rPr>
                <w:rFonts w:ascii="Times New Roman" w:hAnsi="Times New Roman" w:eastAsia="Times New Roman"/>
                <w:b w:val="0"/>
                <w:i w:val="0"/>
                <w:color w:val="000000"/>
                <w:sz w:val="20"/>
              </w:rPr>
              <w:t>SHA-256 hash on Besu fails verifyHash() comparison</w:t>
            </w:r>
          </w:p>
        </w:tc>
      </w:tr>
      <w:tr>
        <w:tc>
          <w:tcPr>
            <w:tcW w:type="dxa" w:w="3000"/>
          </w:tcPr>
          <w:p>
            <w:r/>
            <w:r>
              <w:rPr>
                <w:rFonts w:ascii="Times New Roman" w:hAnsi="Times New Roman" w:eastAsia="Times New Roman"/>
                <w:b w:val="0"/>
                <w:i w:val="0"/>
                <w:color w:val="000000"/>
                <w:sz w:val="20"/>
              </w:rPr>
              <w:t>Cloud Eavesdropping</w:t>
            </w:r>
          </w:p>
        </w:tc>
        <w:tc>
          <w:tcPr>
            <w:tcW w:type="dxa" w:w="3000"/>
          </w:tcPr>
          <w:p>
            <w:r/>
            <w:r>
              <w:rPr>
                <w:rFonts w:ascii="Times New Roman" w:hAnsi="Times New Roman" w:eastAsia="Times New Roman"/>
                <w:b w:val="0"/>
                <w:i w:val="0"/>
                <w:color w:val="000000"/>
                <w:sz w:val="20"/>
              </w:rPr>
              <w:t>Server admin inspecting chat content</w:t>
            </w:r>
          </w:p>
        </w:tc>
        <w:tc>
          <w:tcPr>
            <w:tcW w:type="dxa" w:w="3000"/>
          </w:tcPr>
          <w:p>
            <w:r/>
            <w:r>
              <w:rPr>
                <w:rFonts w:ascii="Times New Roman" w:hAnsi="Times New Roman" w:eastAsia="Times New Roman"/>
                <w:b w:val="0"/>
                <w:i w:val="0"/>
                <w:color w:val="000000"/>
                <w:sz w:val="20"/>
              </w:rPr>
              <w:t>Payloads stored as AES-GCM ciphertext; private keys stay local</w:t>
            </w:r>
          </w:p>
        </w:tc>
      </w:tr>
      <w:tr>
        <w:tc>
          <w:tcPr>
            <w:tcW w:type="dxa" w:w="3000"/>
          </w:tcPr>
          <w:p>
            <w:r/>
            <w:r>
              <w:rPr>
                <w:rFonts w:ascii="Times New Roman" w:hAnsi="Times New Roman" w:eastAsia="Times New Roman"/>
                <w:b w:val="0"/>
                <w:i w:val="0"/>
                <w:color w:val="000000"/>
                <w:sz w:val="20"/>
              </w:rPr>
              <w:t>Role Impersonation</w:t>
            </w:r>
          </w:p>
        </w:tc>
        <w:tc>
          <w:tcPr>
            <w:tcW w:type="dxa" w:w="3000"/>
          </w:tcPr>
          <w:p>
            <w:r/>
            <w:r>
              <w:rPr>
                <w:rFonts w:ascii="Times New Roman" w:hAnsi="Times New Roman" w:eastAsia="Times New Roman"/>
                <w:b w:val="0"/>
                <w:i w:val="0"/>
                <w:color w:val="000000"/>
                <w:sz w:val="20"/>
              </w:rPr>
              <w:t>Unauthorized user claiming lecturer status</w:t>
            </w:r>
          </w:p>
        </w:tc>
        <w:tc>
          <w:tcPr>
            <w:tcW w:type="dxa" w:w="3000"/>
          </w:tcPr>
          <w:p>
            <w:r/>
            <w:r>
              <w:rPr>
                <w:rFonts w:ascii="Times New Roman" w:hAnsi="Times New Roman" w:eastAsia="Times New Roman"/>
                <w:b w:val="0"/>
                <w:i w:val="0"/>
                <w:color w:val="000000"/>
                <w:sz w:val="20"/>
              </w:rPr>
              <w:t>Admin evidence workflow + immutable Besu verifyUser() role</w:t>
            </w:r>
          </w:p>
        </w:tc>
      </w:tr>
      <w:tr>
        <w:tc>
          <w:tcPr>
            <w:tcW w:type="dxa" w:w="3000"/>
          </w:tcPr>
          <w:p>
            <w:r/>
            <w:r>
              <w:rPr>
                <w:rFonts w:ascii="Times New Roman" w:hAnsi="Times New Roman" w:eastAsia="Times New Roman"/>
                <w:b w:val="0"/>
                <w:i w:val="0"/>
                <w:color w:val="000000"/>
                <w:sz w:val="20"/>
              </w:rPr>
              <w:t>Eavesdropping on Key Sim</w:t>
            </w:r>
          </w:p>
        </w:tc>
        <w:tc>
          <w:tcPr>
            <w:tcW w:type="dxa" w:w="3000"/>
          </w:tcPr>
          <w:p>
            <w:r/>
            <w:r>
              <w:rPr>
                <w:rFonts w:ascii="Times New Roman" w:hAnsi="Times New Roman" w:eastAsia="Times New Roman"/>
                <w:b w:val="0"/>
                <w:i w:val="0"/>
                <w:color w:val="000000"/>
                <w:sz w:val="20"/>
              </w:rPr>
              <w:t>Simulated noise on quantum channel</w:t>
            </w:r>
          </w:p>
        </w:tc>
        <w:tc>
          <w:tcPr>
            <w:tcW w:type="dxa" w:w="3000"/>
          </w:tcPr>
          <w:p>
            <w:r/>
            <w:r>
              <w:rPr>
                <w:rFonts w:ascii="Times New Roman" w:hAnsi="Times New Roman" w:eastAsia="Times New Roman"/>
                <w:b w:val="0"/>
                <w:i w:val="0"/>
                <w:color w:val="000000"/>
                <w:sz w:val="20"/>
              </w:rPr>
              <w:t>Session abort enforced when QBER &gt; 11%</w:t>
            </w:r>
          </w:p>
        </w:tc>
      </w:tr>
    </w:tbl>
    <w:p/>
    <w:sectPr w:rsidR="00FC693F" w:rsidRPr="0006063C" w:rsidSect="00034616">
      <w:pgSz w:w="12240" w:h="15840"/>
      <w:pgMar w:top="1440" w:right="144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6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