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Chapter 4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Implementation, Testing, and Results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4.1 Implementation Environment and Tooling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QChat was constructed and evaluated across two primary developer workstations running Fedora 41 Workstation and Windows 11 Enterprise (via Podman containers). Node.js LTS, pnpm, and Vite 8 served the frontend application. Serverless functions were synchronized using Convex 1.40.0. The private blockchain environment ran Hyperledger Besu on Docker/Podman, and smart contracts were compiled using Hardhat and Solidity 0.8.20.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0"/>
        <w:gridCol w:w="3000"/>
        <w:gridCol w:w="3000"/>
      </w:tblGrid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System Component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Technology / Library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Version / Configuration</w:t>
            </w:r>
          </w:p>
        </w:tc>
      </w:tr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Frontend Framework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React 19 + TypeScript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Vite 8 HMR (:5173)</w:t>
            </w:r>
          </w:p>
        </w:tc>
      </w:tr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Application Serverless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Convex Platform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v1.40.0 Cloud Sync</w:t>
            </w:r>
          </w:p>
        </w:tc>
      </w:tr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Private Ledger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Hyperledger Besu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QBFT Consensus, ChainId 1337, GasPrice 0</w:t>
            </w:r>
          </w:p>
        </w:tc>
      </w:tr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Smart Contracts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Hardhat + Solidity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v0.8.20 Compiler Target</w:t>
            </w:r>
          </w:p>
        </w:tc>
      </w:tr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Client Cryptography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W3C Web Crypto API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Native Browser Engine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4.2 Frontend Architecture and Gatekeeper Component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Application routes sit in src/route/, while cryptographic helpers reside in src/services/ and src/lib/. Identity key generation is managed by CryptographicLoginGatekeeper in src/App.tsx, which automatically provisions missing RSA keypairs upon login.</w:t>
      </w:r>
    </w:p>
    <w:p>
      <w:r>
        <w:rPr>
          <w:rFonts w:ascii="Times New Roman" w:hAnsi="Times New Roman" w:eastAsia="Times New Roman"/>
          <w:b w:val="0"/>
          <w:i/>
          <w:color w:val="000000"/>
          <w:sz w:val="24"/>
        </w:rPr>
        <w:t>Listing 4.1 — Identity Key Initialization (src/App.tsx, shortened)</w:t>
      </w:r>
    </w:p>
    <w:p>
      <w:pPr>
        <w:spacing w:before="120" w:after="120"/>
        <w:ind w:left="360"/>
      </w:pPr>
      <w:r>
        <w:rPr>
          <w:rFonts w:ascii="Courier New" w:hAnsi="Courier New" w:eastAsia="Courier New"/>
          <w:b w:val="0"/>
          <w:i w:val="0"/>
          <w:color w:val="000000"/>
          <w:sz w:val="18"/>
        </w:rPr>
        <w:t>export function CryptographicLoginGatekeeper({ currentUserId }) {</w:t>
        <w:br/>
        <w:t xml:space="preserve">  const userProfile = useQuery(api.users.getById, { id: currentUserId });</w:t>
        <w:br/>
        <w:t xml:space="preserve">  const updateProfileKeys = useMutation(api.users.updateProfileKeys);</w:t>
        <w:br/>
        <w:t xml:space="preserve">  useEffect(() =&gt; {</w:t>
        <w:br/>
        <w:t xml:space="preserve">    async function enforceIdentityKeys() {</w:t>
        <w:br/>
        <w:t xml:space="preserve">      if (userProfile &amp;&amp; !userProfile.hasKeypair) {</w:t>
        <w:br/>
        <w:t xml:space="preserve">        const pub = await generateClientIdentityKeys(currentUserId);</w:t>
        <w:br/>
        <w:t xml:space="preserve">        await updateProfileKeys({ id: currentUserId, publicKey: pub, hasKeypair: true });</w:t>
        <w:br/>
        <w:t xml:space="preserve">      }</w:t>
        <w:br/>
        <w:t xml:space="preserve">    }</w:t>
        <w:br/>
        <w:t xml:space="preserve">    enforceIdentityKeys();</w:t>
        <w:br/>
        <w:t xml:space="preserve">  }, [userProfile, currentUserId, updateProfileKeys]);</w:t>
        <w:br/>
        <w:t xml:space="preserve">  return null;</w:t>
        <w:br/>
        <w:t>}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4.3 Backend State Management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Convex backend functions in convex/ manage reactive queries and mutations. Document schemas enforce validation rules defined in convex/schema.ts.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4.4 Smart Contract Interoperability via Ethers.js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The frontend communicates with MessageVerifier.sol using Ethers.js v6. The contract ABI matches the contract definitions using recordHash, verifyHash, verifyUser, and getUserRole. Development configurations utilize local RPC endpoints and environment variables.</w:t>
      </w:r>
    </w:p>
    <w:p>
      <w:r>
        <w:rPr>
          <w:rFonts w:ascii="Times New Roman" w:hAnsi="Times New Roman" w:eastAsia="Times New Roman"/>
          <w:b w:val="0"/>
          <w:i/>
          <w:color w:val="000000"/>
          <w:sz w:val="24"/>
        </w:rPr>
        <w:t>Listing 4.2 — Ledger Hash Commit (src/services/web3Service.ts, shortened)</w:t>
      </w:r>
    </w:p>
    <w:p>
      <w:pPr>
        <w:spacing w:before="120" w:after="120"/>
        <w:ind w:left="360"/>
      </w:pPr>
      <w:r>
        <w:rPr>
          <w:rFonts w:ascii="Courier New" w:hAnsi="Courier New" w:eastAsia="Courier New"/>
          <w:b w:val="0"/>
          <w:i w:val="0"/>
          <w:color w:val="000000"/>
          <w:sz w:val="18"/>
        </w:rPr>
        <w:t>const CONTRACT_ABI = [</w:t>
        <w:br/>
        <w:t xml:space="preserve">  "function recordHash(string messageId, bytes32 messageHash, address sender, address receiver) external",</w:t>
        <w:br/>
        <w:t xml:space="preserve">  "function verifyHash(string messageId) external view returns (bytes32)",</w:t>
        <w:br/>
        <w:t>];</w:t>
        <w:br/>
        <w:t>// Connected via JsonRpcProvider to http://127.0.0.1:8545</w:t>
        <w:br/>
        <w:t>const tx = await contract.recordHash(msgId, cleanHash, systemWallet.address, ethers.ZeroAddress, {</w:t>
        <w:br/>
        <w:t xml:space="preserve">  gasLimit: 500000,</w:t>
        <w:br/>
        <w:t xml:space="preserve">  gasPrice: 0,</w:t>
        <w:br/>
        <w:t>});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4.5 Cryptographic and BB84 Engine Verification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The BB84 module (runBB84Simulation) generates 256 sifted key bits, computes QBER, and formats fingerprint hashes. Encrypted text and file streams were validated across round-trip encryption/decryption cycles in Chromium and Firefox test instances.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4.6 Verification and Empirical Results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4.6.1 Functional Verification Suite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Table 4.2 documents unit and functional verification tests executed during developer integration.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Functional Subsystem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Test Scenario Executed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Observed Outcome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Verification Status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Web Crypto Engine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RSA-OAEP 2048 keygen on account register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Public key committed to Convex; private key saved to IndexedDB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AES-GCM Cipher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Encrypt and decrypt text payload with valid IV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Plaintext recovered successfully; invalid key throws error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BB84 Protocol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Execute 256-bit sifted key generation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Sifted key derived; fingerprint formatted correctly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QBER Abort Mechanism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Inject quantum noise into measurement bases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Session abort triggered when QBER &gt; 11%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Besu Contract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Execute recordHash and attempt duplicate ID write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First hash recorded; duplicate message ID tx reverts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Role Governance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Execute verifyUser as admin vs non-admin wallet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Admin call succeeds; non-admin call reverts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4.6.2 Internal User Acceptance Walk-Throughs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System evaluation was conducted via structured walk-through scenarios involving four project team members operating under student, lecturer, and administrator personas.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Scenario ID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Assigned Persona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Walk-Through Task Description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Execution Result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UAT-01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Student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Register account, complete login, submit verification ID document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Completed successfully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UAT-02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Administrator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Review verification queue in Admin.tsx, approve request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Convex status updated; Besu verifyUser executed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UAT-03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Student / Lecturer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Initiate sensitive chat room, execute BB84 simulation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Sifted key derived; fingerprint displayed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UAT-04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Student / Lecturer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Transmit protected message attachment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Payload encrypted; Besu txHash linked to message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UAT-05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Lecturer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Post course question with hashtags on Q&amp;A board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Post indexed; notification delivered to members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4.6.3 Empirical Localhost Benchmarking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Latency performance was measured on developer testbed hardware (Intel Core i7, 16GB RAM, Fedora 41 / Besu local node) using performance.now() and transaction receipt timestamps.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0"/>
        <w:gridCol w:w="3000"/>
        <w:gridCol w:w="3000"/>
      </w:tblGrid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Execution Phase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Mean Local Duration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Operational Notes</w:t>
            </w:r>
          </w:p>
        </w:tc>
      </w:tr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RSA-OAEP 2048 Keygen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~140 ms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One-time execution upon registration</w:t>
            </w:r>
          </w:p>
        </w:tc>
      </w:tr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BB84 256-bit Simulation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~10–15 ms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In-memory basis generation and sifting</w:t>
            </w:r>
          </w:p>
        </w:tc>
      </w:tr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AES-GCM Payload Encrypt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~2 ms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Short message payload encryption</w:t>
            </w:r>
          </w:p>
        </w:tc>
      </w:tr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Convex WebSocket Sync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~50 ms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Cloud mutation round-trip time</w:t>
            </w:r>
          </w:p>
        </w:tc>
      </w:tr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Besu recordHash Commit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~0.3–0.5 s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Local QBFT consensus transaction confirmation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4.7 Evaluation Against Project Objectives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All six project objectives were fulfilled at prototype level: (1) React 19 + Convex interface operational; (2) Web Crypto RSA/AES pipeline active; (3) Besu recordHash smart contract deployed; (4) BB84 TypeScript simulation functional; (5) Admin role verification working; (6) Empirical testing completed.</w:t>
      </w:r>
    </w:p>
    <w:sectPr w:rsidR="00FC693F" w:rsidRPr="0006063C" w:rsidSect="00034616"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6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