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Chapter 5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Conclusion and Recommendations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5.1 System Implementation Summary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QChat demonstrates a functional hybrid architecture combining real-time cloud data delivery with private blockchain immutability. By utilizing Convex for high-frequency messaging state and Hyperledger Besu for SHA-256 payload digest logging, the platform maintains responsive user interaction while preserving tamper-evident audit trails.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5.2 Conclusions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key technical conclusions derived from this project include: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Hybrid cloud/ledger architectures effectively reconcile real-time messaging performance with immutable audit logging.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Client-side W3C Web Crypto APIs enable robust in-browser payload encryption without relying on external cryptography libraries.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Private permissioned ledgers running zero-gas consensus allow institutional hash logging without transaction fee costs.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Software simulation of BB84 sifting and QBER abort thresholds provides an accessible educational model for quantum cryptography concepts.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Dual-layer role verification effectively binds cloud profile data to immutable ledger state.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5.3 System Limitations and Future Engineering Recommendations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project team recommends the following enhancements for future research cycles: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Multi-Node Consortium Deployment: Expand the local single-node Besu setup into a multi-validator QBFT consortium distributed across institutional departments.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NIST Post-Quantum Cryptography Integration: Upgrade the BB84 educational simulator to include standardized post-quantum algorithms such as ML-KEM (Kyber) for production key exchange (Bernstein &amp; Lange, 2017).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Institutional Single Sign-On (SSO): Integrate SAML 2.0 / OAuth 2.0 identity providers to replace local account credentials.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Mobile Web Crypto Optimization: Adapt the React frontend into React Native with native hardware security module (HSM) key storage.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Automated Benchmark Suites: Implement automated performance load testing under multi-user campus networks.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