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28"/>
        </w:rPr>
        <w:t>UNIVERSITY OF ENERGY AND NATURAL RESOURCES</w:t>
      </w:r>
    </w:p>
    <w:p>
      <w:pPr>
        <w:jc w:val="center"/>
      </w:pPr>
      <w:r>
        <w:rPr>
          <w:rFonts w:ascii="Times New Roman" w:hAnsi="Times New Roman" w:eastAsia="Times New Roman"/>
          <w:b w:val="0"/>
          <w:i w:val="0"/>
          <w:color w:val="000000"/>
          <w:sz w:val="24"/>
        </w:rPr>
        <w:t>Department of Computer Science and Informatics</w:t>
      </w:r>
    </w:p>
    <w:p>
      <w:pPr>
        <w:jc w:val="center"/>
      </w:pPr>
      <w:r>
        <w:rPr>
          <w:rFonts w:ascii="Times New Roman" w:hAnsi="Times New Roman" w:eastAsia="Times New Roman"/>
          <w:b/>
          <w:i w:val="0"/>
          <w:color w:val="000000"/>
          <w:sz w:val="32"/>
        </w:rPr>
        <w:t>QChat: A Hybrid Web2/Web3 Secure Institutional Messaging and File-Sharing Platform</w:t>
      </w:r>
    </w:p>
    <w:p>
      <w:pPr>
        <w:jc w:val="center"/>
      </w:pPr>
      <w:r>
        <w:rPr>
          <w:rFonts w:ascii="Times New Roman" w:hAnsi="Times New Roman" w:eastAsia="Times New Roman"/>
          <w:b w:val="0"/>
          <w:i/>
          <w:color w:val="000000"/>
          <w:sz w:val="24"/>
        </w:rPr>
        <w:t>A Final Year Project Report submitted in partial fulfilment of the requirements for the award of the Bachelor of Science (B.Sc.) degree in Computer Science</w:t>
      </w:r>
    </w:p>
    <w:p>
      <w:pPr>
        <w:jc w:val="center"/>
      </w:pPr>
      <w:r>
        <w:rPr>
          <w:rFonts w:ascii="Times New Roman" w:hAnsi="Times New Roman" w:eastAsia="Times New Roman"/>
          <w:b w:val="0"/>
          <w:i w:val="0"/>
          <w:color w:val="000000"/>
          <w:sz w:val="24"/>
        </w:rPr>
        <w:t>Submitted by</w:t>
      </w:r>
    </w:p>
    <w:p>
      <w:pPr>
        <w:jc w:val="center"/>
      </w:pPr>
      <w:r>
        <w:rPr>
          <w:rFonts w:ascii="Times New Roman" w:hAnsi="Times New Roman" w:eastAsia="Times New Roman"/>
          <w:b w:val="0"/>
          <w:i w:val="0"/>
          <w:color w:val="000000"/>
          <w:sz w:val="24"/>
        </w:rPr>
        <w:t>Korang Bright Agyei    UEB3501222</w:t>
      </w:r>
    </w:p>
    <w:p>
      <w:pPr>
        <w:jc w:val="center"/>
      </w:pPr>
      <w:r>
        <w:rPr>
          <w:rFonts w:ascii="Times New Roman" w:hAnsi="Times New Roman" w:eastAsia="Times New Roman"/>
          <w:b w:val="0"/>
          <w:i w:val="0"/>
          <w:color w:val="000000"/>
          <w:sz w:val="24"/>
        </w:rPr>
        <w:t>Mohammed Idris Adam    UEB3501022</w:t>
      </w:r>
    </w:p>
    <w:p>
      <w:pPr>
        <w:jc w:val="center"/>
      </w:pPr>
      <w:r>
        <w:rPr>
          <w:rFonts w:ascii="Times New Roman" w:hAnsi="Times New Roman" w:eastAsia="Times New Roman"/>
          <w:b w:val="0"/>
          <w:i w:val="0"/>
          <w:color w:val="000000"/>
          <w:sz w:val="24"/>
        </w:rPr>
        <w:t>Benaiah Amarh Anang    UEB3512522</w:t>
      </w:r>
    </w:p>
    <w:p>
      <w:pPr>
        <w:jc w:val="center"/>
      </w:pPr>
      <w:r>
        <w:rPr>
          <w:rFonts w:ascii="Times New Roman" w:hAnsi="Times New Roman" w:eastAsia="Times New Roman"/>
          <w:b w:val="0"/>
          <w:i w:val="0"/>
          <w:color w:val="000000"/>
          <w:sz w:val="24"/>
        </w:rPr>
        <w:t>Osei Nana Kwaku    UEB3509022</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Declaration of Originality</w:t>
      </w:r>
    </w:p>
    <w:p>
      <w:pPr>
        <w:ind w:firstLine="720"/>
      </w:pPr>
      <w:r>
        <w:rPr>
          <w:rFonts w:ascii="Times New Roman" w:hAnsi="Times New Roman" w:eastAsia="Times New Roman"/>
          <w:b w:val="0"/>
          <w:i w:val="0"/>
          <w:color w:val="000000"/>
          <w:sz w:val="24"/>
        </w:rPr>
        <w:t>We, Korang Bright Agyei (UEB3501222); Mohammed Idris Adam (UEB3501022); Benaiah Amarh Anang (UEB3512522); Osei Nana Kwaku (UEB3509022), declare that this project report titled 'QChat: A Hybrid Web2/Web3 Secure Institutional Messaging and File-Sharing Platform' is our own original work conducted under the supervision of Dr Peter Nimbe. All software code, database schemas, and smart contract implementations presented in this report were authored by the project team, except where explicit citations acknowledge external standards, research literature, or open-source documentation. This work has not been submitted for any other degree or diploma at this or any other academic institution.</w:t>
      </w:r>
    </w:p>
    <w:p>
      <w:r>
        <w:rPr>
          <w:rFonts w:ascii="Times New Roman" w:hAnsi="Times New Roman" w:eastAsia="Times New Roman"/>
          <w:b w:val="0"/>
          <w:i w:val="0"/>
          <w:color w:val="000000"/>
          <w:sz w:val="24"/>
        </w:rPr>
        <w:t>Student Signatures and Date: ______________________</w:t>
      </w:r>
    </w:p>
    <w:p>
      <w:pPr>
        <w:pStyle w:val="Heading1"/>
      </w:pPr>
      <w:r>
        <w:rPr>
          <w:rFonts w:ascii="Times New Roman" w:hAnsi="Times New Roman" w:eastAsia="Times New Roman"/>
          <w:b/>
          <w:i w:val="0"/>
          <w:color w:val="000000"/>
          <w:sz w:val="28"/>
        </w:rPr>
        <w:t>Certification</w:t>
      </w:r>
    </w:p>
    <w:p>
      <w:pPr>
        <w:ind w:firstLine="720"/>
      </w:pPr>
      <w:r>
        <w:rPr>
          <w:rFonts w:ascii="Times New Roman" w:hAnsi="Times New Roman" w:eastAsia="Times New Roman"/>
          <w:b w:val="0"/>
          <w:i w:val="0"/>
          <w:color w:val="000000"/>
          <w:sz w:val="24"/>
        </w:rPr>
        <w:t>We hereby certify that this project report was prepared under our supervision and is recommended for examination in partial fulfilment of the requirements for the award of the B.Sc. Computer Science degree.</w:t>
      </w:r>
    </w:p>
    <w:p>
      <w:r>
        <w:rPr>
          <w:rFonts w:ascii="Times New Roman" w:hAnsi="Times New Roman" w:eastAsia="Times New Roman"/>
          <w:b w:val="0"/>
          <w:i w:val="0"/>
          <w:color w:val="000000"/>
          <w:sz w:val="24"/>
        </w:rPr>
        <w:t>Dr Peter Nimbe    (Supervisor)    Signature: __________    Date: ______</w:t>
      </w:r>
    </w:p>
    <w:p>
      <w:r>
        <w:rPr>
          <w:rFonts w:ascii="Times New Roman" w:hAnsi="Times New Roman" w:eastAsia="Times New Roman"/>
          <w:b w:val="0"/>
          <w:i w:val="0"/>
          <w:color w:val="000000"/>
          <w:sz w:val="24"/>
        </w:rPr>
        <w:t>Head of Department    Signature: __________    Date: ______</w:t>
      </w:r>
    </w:p>
    <w:p>
      <w:r>
        <w:rPr>
          <w:rFonts w:ascii="Times New Roman" w:hAnsi="Times New Roman" w:eastAsia="Times New Roman"/>
          <w:b w:val="0"/>
          <w:i w:val="0"/>
          <w:color w:val="000000"/>
          <w:sz w:val="24"/>
        </w:rPr>
        <w:t>External Examiner    Signature: __________    Date: ______</w:t>
      </w:r>
    </w:p>
    <w:p>
      <w:pPr>
        <w:pStyle w:val="Heading1"/>
      </w:pPr>
      <w:r>
        <w:rPr>
          <w:rFonts w:ascii="Times New Roman" w:hAnsi="Times New Roman" w:eastAsia="Times New Roman"/>
          <w:b/>
          <w:i w:val="0"/>
          <w:color w:val="000000"/>
          <w:sz w:val="28"/>
        </w:rPr>
        <w:t>Acknowledgements</w:t>
      </w:r>
    </w:p>
    <w:p>
      <w:pPr>
        <w:ind w:firstLine="720"/>
      </w:pPr>
      <w:r>
        <w:rPr>
          <w:rFonts w:ascii="Times New Roman" w:hAnsi="Times New Roman" w:eastAsia="Times New Roman"/>
          <w:b w:val="0"/>
          <w:i w:val="0"/>
          <w:color w:val="000000"/>
          <w:sz w:val="24"/>
        </w:rPr>
        <w:t>We express our gratitude to Almighty God for guidance throughout this academic program. We extend our sincere appreciation to our supervisor, Dr Peter Nimbe, for his invaluable technical guidance, constructive reviews, and encouragement during system development and report writing. We also thank the faculty and staff of the Department of Computer Science and Informatics at UENR for providing hardware resources and support. Finally, we thank our families and peers for their constant support.</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Institutional messaging and document exchange at the University of Energy and Natural Resources (UENR) rely heavily on commercial instant messaging applications and cloud learning tools. While fast and accessible, these platforms lack tamper-evident logging mechanisms necessary to resolve academic evaluation disputes. This project developed QChat, a hybrid institutional messaging platform combining real-time cloud data delivery with private permissioned blockchain auditability. High-frequency messaging, file attachments, and community Q&amp;A forums are synchronized via Convex, while SHA-256 payload digests are recorded asynchronously on a local Hyperledger Besu contract (MessageVerifier.sol). Client-side encryption is implemented via the W3C Web Crypto API using RSA-OAEP 2048-bit identity keys and AES-GCM-256 payload ciphers. An integrated TypeScript BB84 simulation module models photon sifting, Quantum Bit Error Rate (QBER) calculation, and a 11% abort threshold (Bennett &amp; Brassard, 2014/1984; Scarani et al., 2009). Empirical benchmarks on developer testbed workstations demonstrated mean message sync latencies of ~50 ms and Besu transaction write times of ~0.3–0.5 s. The system demonstrates a practical, audit-ready communication platform for institutional environments.</w:t>
      </w:r>
    </w:p>
    <w:p>
      <w:pPr>
        <w:pStyle w:val="Heading1"/>
      </w:pPr>
      <w:r>
        <w:rPr>
          <w:rFonts w:ascii="Times New Roman" w:hAnsi="Times New Roman" w:eastAsia="Times New Roman"/>
          <w:b/>
          <w:i w:val="0"/>
          <w:color w:val="000000"/>
          <w:sz w:val="28"/>
        </w:rPr>
        <w:t>Table of Contents</w:t>
      </w:r>
    </w:p>
    <w:p>
      <w:pPr>
        <w:pStyle w:val="ListBullet"/>
      </w:pPr>
      <w:r>
        <w:rPr>
          <w:rFonts w:ascii="Times New Roman" w:hAnsi="Times New Roman" w:eastAsia="Times New Roman"/>
          <w:b w:val="0"/>
          <w:i w:val="0"/>
          <w:color w:val="000000"/>
          <w:sz w:val="24"/>
        </w:rPr>
        <w:t>Preliminary Pages — Title, Declaration, Certification, Acknowledgements, Abstract</w:t>
      </w:r>
    </w:p>
    <w:p>
      <w:pPr>
        <w:pStyle w:val="ListBullet"/>
      </w:pPr>
      <w:r>
        <w:rPr>
          <w:rFonts w:ascii="Times New Roman" w:hAnsi="Times New Roman" w:eastAsia="Times New Roman"/>
          <w:b w:val="0"/>
          <w:i w:val="0"/>
          <w:color w:val="000000"/>
          <w:sz w:val="24"/>
        </w:rPr>
        <w:t>Chapter 1 — Introduction</w:t>
      </w:r>
    </w:p>
    <w:p>
      <w:pPr>
        <w:pStyle w:val="ListBullet"/>
      </w:pPr>
      <w:r>
        <w:rPr>
          <w:rFonts w:ascii="Times New Roman" w:hAnsi="Times New Roman" w:eastAsia="Times New Roman"/>
          <w:b w:val="0"/>
          <w:i w:val="0"/>
          <w:color w:val="000000"/>
          <w:sz w:val="24"/>
        </w:rPr>
        <w:t>Chapter 2 — Literature Review</w:t>
      </w:r>
    </w:p>
    <w:p>
      <w:pPr>
        <w:pStyle w:val="ListBullet"/>
      </w:pPr>
      <w:r>
        <w:rPr>
          <w:rFonts w:ascii="Times New Roman" w:hAnsi="Times New Roman" w:eastAsia="Times New Roman"/>
          <w:b w:val="0"/>
          <w:i w:val="0"/>
          <w:color w:val="000000"/>
          <w:sz w:val="24"/>
        </w:rPr>
        <w:t>Chapter 3 — Methodology and System Design</w:t>
      </w:r>
    </w:p>
    <w:p>
      <w:pPr>
        <w:pStyle w:val="ListBullet"/>
      </w:pPr>
      <w:r>
        <w:rPr>
          <w:rFonts w:ascii="Times New Roman" w:hAnsi="Times New Roman" w:eastAsia="Times New Roman"/>
          <w:b w:val="0"/>
          <w:i w:val="0"/>
          <w:color w:val="000000"/>
          <w:sz w:val="24"/>
        </w:rPr>
        <w:t>Chapter 4 — Implementation, Testing, and Results</w:t>
      </w:r>
    </w:p>
    <w:p>
      <w:pPr>
        <w:pStyle w:val="ListBullet"/>
      </w:pPr>
      <w:r>
        <w:rPr>
          <w:rFonts w:ascii="Times New Roman" w:hAnsi="Times New Roman" w:eastAsia="Times New Roman"/>
          <w:b w:val="0"/>
          <w:i w:val="0"/>
          <w:color w:val="000000"/>
          <w:sz w:val="24"/>
        </w:rPr>
        <w:t>Chapter 5 — Conclusion and Recommendations</w:t>
      </w:r>
    </w:p>
    <w:p>
      <w:pPr>
        <w:pStyle w:val="ListBullet"/>
      </w:pPr>
      <w:r>
        <w:rPr>
          <w:rFonts w:ascii="Times New Roman" w:hAnsi="Times New Roman" w:eastAsia="Times New Roman"/>
          <w:b w:val="0"/>
          <w:i w:val="0"/>
          <w:color w:val="000000"/>
          <w:sz w:val="24"/>
        </w:rPr>
        <w:t>References (APA 7th Edition)</w:t>
      </w:r>
    </w:p>
    <w:p>
      <w:pPr>
        <w:pStyle w:val="ListBullet"/>
      </w:pPr>
      <w:r>
        <w:rPr>
          <w:rFonts w:ascii="Times New Roman" w:hAnsi="Times New Roman" w:eastAsia="Times New Roman"/>
          <w:b w:val="0"/>
          <w:i w:val="0"/>
          <w:color w:val="000000"/>
          <w:sz w:val="24"/>
        </w:rPr>
        <w:t>Appendix A — Selected Application Source Code</w:t>
      </w:r>
    </w:p>
    <w:p>
      <w:pPr>
        <w:pStyle w:val="ListBullet"/>
      </w:pPr>
      <w:r>
        <w:rPr>
          <w:rFonts w:ascii="Times New Roman" w:hAnsi="Times New Roman" w:eastAsia="Times New Roman"/>
          <w:b w:val="0"/>
          <w:i w:val="0"/>
          <w:color w:val="000000"/>
          <w:sz w:val="24"/>
        </w:rPr>
        <w:t>Appendix B — MessageVerifier.sol Contract</w:t>
      </w:r>
    </w:p>
    <w:p>
      <w:pPr>
        <w:pStyle w:val="ListBullet"/>
      </w:pPr>
      <w:r>
        <w:rPr>
          <w:rFonts w:ascii="Times New Roman" w:hAnsi="Times New Roman" w:eastAsia="Times New Roman"/>
          <w:b w:val="0"/>
          <w:i w:val="0"/>
          <w:color w:val="000000"/>
          <w:sz w:val="24"/>
        </w:rPr>
        <w:t>Appendix C — BB84 Simulation Module</w:t>
      </w:r>
    </w:p>
    <w:p>
      <w:pPr>
        <w:pStyle w:val="ListBullet"/>
      </w:pPr>
      <w:r>
        <w:rPr>
          <w:rFonts w:ascii="Times New Roman" w:hAnsi="Times New Roman" w:eastAsia="Times New Roman"/>
          <w:b w:val="0"/>
          <w:i w:val="0"/>
          <w:color w:val="000000"/>
          <w:sz w:val="24"/>
        </w:rPr>
        <w:t>Appendix D — User Acceptance Walk-Through Records</w:t>
      </w:r>
    </w:p>
    <w:p>
      <w:pPr>
        <w:pStyle w:val="ListBullet"/>
      </w:pPr>
      <w:r>
        <w:rPr>
          <w:rFonts w:ascii="Times New Roman" w:hAnsi="Times New Roman" w:eastAsia="Times New Roman"/>
          <w:b w:val="0"/>
          <w:i w:val="0"/>
          <w:color w:val="000000"/>
          <w:sz w:val="24"/>
        </w:rPr>
        <w:t>Appendix E — Project Sprint Timeline</w:t>
      </w:r>
    </w:p>
    <w:p>
      <w:pPr>
        <w:pStyle w:val="Heading1"/>
      </w:pPr>
      <w:r>
        <w:rPr>
          <w:rFonts w:ascii="Times New Roman" w:hAnsi="Times New Roman" w:eastAsia="Times New Roman"/>
          <w:b/>
          <w:i w:val="0"/>
          <w:color w:val="000000"/>
          <w:sz w:val="28"/>
        </w:rPr>
        <w:t>List of Tables</w:t>
      </w:r>
    </w:p>
    <w:p>
      <w:pPr>
        <w:pStyle w:val="ListBullet"/>
      </w:pPr>
      <w:r>
        <w:rPr>
          <w:rFonts w:ascii="Times New Roman" w:hAnsi="Times New Roman" w:eastAsia="Times New Roman"/>
          <w:b w:val="0"/>
          <w:i w:val="0"/>
          <w:color w:val="000000"/>
          <w:sz w:val="24"/>
        </w:rPr>
        <w:t>Table 2.1 Comparative Analysis of Messaging Systems</w:t>
      </w:r>
    </w:p>
    <w:p>
      <w:pPr>
        <w:pStyle w:val="ListBullet"/>
      </w:pPr>
      <w:r>
        <w:rPr>
          <w:rFonts w:ascii="Times New Roman" w:hAnsi="Times New Roman" w:eastAsia="Times New Roman"/>
          <w:b w:val="0"/>
          <w:i w:val="0"/>
          <w:color w:val="000000"/>
          <w:sz w:val="24"/>
        </w:rPr>
        <w:t>Table 3.1 Convex Database Collections &amp; Indexing</w:t>
      </w:r>
    </w:p>
    <w:p>
      <w:pPr>
        <w:pStyle w:val="ListBullet"/>
      </w:pPr>
      <w:r>
        <w:rPr>
          <w:rFonts w:ascii="Times New Roman" w:hAnsi="Times New Roman" w:eastAsia="Times New Roman"/>
          <w:b w:val="0"/>
          <w:i w:val="0"/>
          <w:color w:val="000000"/>
          <w:sz w:val="24"/>
        </w:rPr>
        <w:t>Table 3.2 System Threat Matrix and Mitigations</w:t>
      </w:r>
    </w:p>
    <w:p>
      <w:pPr>
        <w:pStyle w:val="ListBullet"/>
      </w:pPr>
      <w:r>
        <w:rPr>
          <w:rFonts w:ascii="Times New Roman" w:hAnsi="Times New Roman" w:eastAsia="Times New Roman"/>
          <w:b w:val="0"/>
          <w:i w:val="0"/>
          <w:color w:val="000000"/>
          <w:sz w:val="24"/>
        </w:rPr>
        <w:t>Table 4.1 Development Tooling and Stack Versions</w:t>
      </w:r>
    </w:p>
    <w:p>
      <w:pPr>
        <w:pStyle w:val="ListBullet"/>
      </w:pPr>
      <w:r>
        <w:rPr>
          <w:rFonts w:ascii="Times New Roman" w:hAnsi="Times New Roman" w:eastAsia="Times New Roman"/>
          <w:b w:val="0"/>
          <w:i w:val="0"/>
          <w:color w:val="000000"/>
          <w:sz w:val="24"/>
        </w:rPr>
        <w:t>Table 4.2 Functional Verification Test Suite</w:t>
      </w:r>
    </w:p>
    <w:p>
      <w:pPr>
        <w:pStyle w:val="ListBullet"/>
      </w:pPr>
      <w:r>
        <w:rPr>
          <w:rFonts w:ascii="Times New Roman" w:hAnsi="Times New Roman" w:eastAsia="Times New Roman"/>
          <w:b w:val="0"/>
          <w:i w:val="0"/>
          <w:color w:val="000000"/>
          <w:sz w:val="24"/>
        </w:rPr>
        <w:t>Table 4.3 Internal User Acceptance Walk-Throughs</w:t>
      </w:r>
    </w:p>
    <w:p>
      <w:pPr>
        <w:pStyle w:val="ListBullet"/>
      </w:pPr>
      <w:r>
        <w:rPr>
          <w:rFonts w:ascii="Times New Roman" w:hAnsi="Times New Roman" w:eastAsia="Times New Roman"/>
          <w:b w:val="0"/>
          <w:i w:val="0"/>
          <w:color w:val="000000"/>
          <w:sz w:val="24"/>
        </w:rPr>
        <w:t>Table 4.4 Localhost Empirical Benchmark Latencies</w:t>
      </w:r>
    </w:p>
    <w:p>
      <w:pPr>
        <w:pStyle w:val="Heading1"/>
      </w:pPr>
      <w:r>
        <w:rPr>
          <w:rFonts w:ascii="Times New Roman" w:hAnsi="Times New Roman" w:eastAsia="Times New Roman"/>
          <w:b/>
          <w:i w:val="0"/>
          <w:color w:val="000000"/>
          <w:sz w:val="28"/>
        </w:rPr>
        <w:t>List of Abbreviations</w:t>
      </w:r>
    </w:p>
    <w:p>
      <w:pPr>
        <w:pStyle w:val="ListBullet"/>
      </w:pPr>
      <w:r>
        <w:rPr>
          <w:rFonts w:ascii="Times New Roman" w:hAnsi="Times New Roman" w:eastAsia="Times New Roman"/>
          <w:b w:val="0"/>
          <w:i w:val="0"/>
          <w:color w:val="000000"/>
          <w:sz w:val="24"/>
        </w:rPr>
        <w:t>AES-GCM — Advanced Encryption Standard Galois/Counter Mode</w:t>
      </w:r>
    </w:p>
    <w:p>
      <w:pPr>
        <w:pStyle w:val="ListBullet"/>
      </w:pPr>
      <w:r>
        <w:rPr>
          <w:rFonts w:ascii="Times New Roman" w:hAnsi="Times New Roman" w:eastAsia="Times New Roman"/>
          <w:b w:val="0"/>
          <w:i w:val="0"/>
          <w:color w:val="000000"/>
          <w:sz w:val="24"/>
        </w:rPr>
        <w:t>BB84 — Bennett and Brassard 1984 Quantum Key Distribution Protocol</w:t>
      </w:r>
    </w:p>
    <w:p>
      <w:pPr>
        <w:pStyle w:val="ListBullet"/>
      </w:pPr>
      <w:r>
        <w:rPr>
          <w:rFonts w:ascii="Times New Roman" w:hAnsi="Times New Roman" w:eastAsia="Times New Roman"/>
          <w:b w:val="0"/>
          <w:i w:val="0"/>
          <w:color w:val="000000"/>
          <w:sz w:val="24"/>
        </w:rPr>
        <w:t>QBER — Quantum Bit Error Rate</w:t>
      </w:r>
    </w:p>
    <w:p>
      <w:pPr>
        <w:pStyle w:val="ListBullet"/>
      </w:pPr>
      <w:r>
        <w:rPr>
          <w:rFonts w:ascii="Times New Roman" w:hAnsi="Times New Roman" w:eastAsia="Times New Roman"/>
          <w:b w:val="0"/>
          <w:i w:val="0"/>
          <w:color w:val="000000"/>
          <w:sz w:val="24"/>
        </w:rPr>
        <w:t>QKD — Quantum Key Distribution</w:t>
      </w:r>
    </w:p>
    <w:p>
      <w:pPr>
        <w:pStyle w:val="ListBullet"/>
      </w:pPr>
      <w:r>
        <w:rPr>
          <w:rFonts w:ascii="Times New Roman" w:hAnsi="Times New Roman" w:eastAsia="Times New Roman"/>
          <w:b w:val="0"/>
          <w:i w:val="0"/>
          <w:color w:val="000000"/>
          <w:sz w:val="24"/>
        </w:rPr>
        <w:t>QBFT — Quorum Byzantine Fault Tolerance</w:t>
      </w:r>
    </w:p>
    <w:p>
      <w:pPr>
        <w:pStyle w:val="ListBullet"/>
      </w:pPr>
      <w:r>
        <w:rPr>
          <w:rFonts w:ascii="Times New Roman" w:hAnsi="Times New Roman" w:eastAsia="Times New Roman"/>
          <w:b w:val="0"/>
          <w:i w:val="0"/>
          <w:color w:val="000000"/>
          <w:sz w:val="24"/>
        </w:rPr>
        <w:t>RBAC — Role-Based Access Control</w:t>
      </w:r>
    </w:p>
    <w:p>
      <w:pPr>
        <w:pStyle w:val="ListBullet"/>
      </w:pPr>
      <w:r>
        <w:rPr>
          <w:rFonts w:ascii="Times New Roman" w:hAnsi="Times New Roman" w:eastAsia="Times New Roman"/>
          <w:b w:val="0"/>
          <w:i w:val="0"/>
          <w:color w:val="000000"/>
          <w:sz w:val="24"/>
        </w:rPr>
        <w:t>SPKI — Subject Public Key Info</w:t>
      </w:r>
    </w:p>
    <w:p>
      <w:pPr>
        <w:pStyle w:val="ListBullet"/>
      </w:pPr>
      <w:r>
        <w:rPr>
          <w:rFonts w:ascii="Times New Roman" w:hAnsi="Times New Roman" w:eastAsia="Times New Roman"/>
          <w:b w:val="0"/>
          <w:i w:val="0"/>
          <w:color w:val="000000"/>
          <w:sz w:val="24"/>
        </w:rPr>
        <w:t>UAT — User Acceptance Testing</w:t>
      </w:r>
    </w:p>
    <w:p>
      <w:pPr>
        <w:pStyle w:val="ListBullet"/>
      </w:pPr>
      <w:r>
        <w:rPr>
          <w:rFonts w:ascii="Times New Roman" w:hAnsi="Times New Roman" w:eastAsia="Times New Roman"/>
          <w:b w:val="0"/>
          <w:i w:val="0"/>
          <w:color w:val="000000"/>
          <w:sz w:val="24"/>
        </w:rPr>
        <w:t>W3C — World Wide Web Consortium</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p>
      <w:pPr>
        <w:pStyle w:val="Heading1"/>
      </w:pPr>
      <w:r>
        <w:rPr>
          <w:rFonts w:ascii="Times New Roman" w:hAnsi="Times New Roman" w:eastAsia="Times New Roman"/>
          <w:b/>
          <w:i w:val="0"/>
          <w:color w:val="000000"/>
          <w:sz w:val="28"/>
        </w:rPr>
        <w:t>Appendix A — Selected Application Code</w:t>
      </w:r>
    </w:p>
    <w:p>
      <w:pPr>
        <w:ind w:firstLine="720"/>
      </w:pPr>
      <w:r>
        <w:rPr>
          <w:rFonts w:ascii="Times New Roman" w:hAnsi="Times New Roman" w:eastAsia="Times New Roman"/>
          <w:b w:val="0"/>
          <w:i w:val="0"/>
          <w:color w:val="000000"/>
          <w:sz w:val="24"/>
        </w:rPr>
        <w:t>Source code for QChat is maintained in the project repository. Key client gatekeeper functions and cryptography helpers are highlighted in Chapter 4.</w:t>
      </w:r>
    </w:p>
    <w:p>
      <w:pPr>
        <w:pStyle w:val="Heading1"/>
      </w:pPr>
      <w:r>
        <w:rPr>
          <w:rFonts w:ascii="Times New Roman" w:hAnsi="Times New Roman" w:eastAsia="Times New Roman"/>
          <w:b/>
          <w:i w:val="0"/>
          <w:color w:val="000000"/>
          <w:sz w:val="28"/>
        </w:rPr>
        <w:t>Appendix B — MessageVerifier.sol Smart Contract</w:t>
      </w:r>
    </w:p>
    <w:p>
      <w:pPr>
        <w:ind w:firstLine="720"/>
      </w:pPr>
      <w:r>
        <w:rPr>
          <w:rFonts w:ascii="Times New Roman" w:hAnsi="Times New Roman" w:eastAsia="Times New Roman"/>
          <w:b w:val="0"/>
          <w:i w:val="0"/>
          <w:color w:val="000000"/>
          <w:sz w:val="24"/>
        </w:rPr>
        <w:t>Contract Path: contract/contracts/MessageVerifier.sol. Compiled with Solidity ^0.8.20 under MIT license. Provides recordHash, verifyHash, verifyUser, and getUserRole methods.</w:t>
      </w:r>
    </w:p>
    <w:p>
      <w:pPr>
        <w:pStyle w:val="Heading1"/>
      </w:pPr>
      <w:r>
        <w:rPr>
          <w:rFonts w:ascii="Times New Roman" w:hAnsi="Times New Roman" w:eastAsia="Times New Roman"/>
          <w:b/>
          <w:i w:val="0"/>
          <w:color w:val="000000"/>
          <w:sz w:val="28"/>
        </w:rPr>
        <w:t>Appendix C — BB84 Simulation Module Summary</w:t>
      </w:r>
    </w:p>
    <w:p>
      <w:pPr>
        <w:ind w:firstLine="720"/>
      </w:pPr>
      <w:r>
        <w:rPr>
          <w:rFonts w:ascii="Times New Roman" w:hAnsi="Times New Roman" w:eastAsia="Times New Roman"/>
          <w:b w:val="0"/>
          <w:i w:val="0"/>
          <w:color w:val="000000"/>
          <w:sz w:val="24"/>
        </w:rPr>
        <w:t>Module Path: src/lib/bb84.ts. Classical software simulation utilizing window.crypto.getRandomValues for random basis selection, bit sifting, QBER computation, and 256-bit key distillation with an 11% error abort limit.</w:t>
      </w:r>
    </w:p>
    <w:p>
      <w:pPr>
        <w:pStyle w:val="Heading1"/>
      </w:pPr>
      <w:r>
        <w:rPr>
          <w:rFonts w:ascii="Times New Roman" w:hAnsi="Times New Roman" w:eastAsia="Times New Roman"/>
          <w:b/>
          <w:i w:val="0"/>
          <w:color w:val="000000"/>
          <w:sz w:val="28"/>
        </w:rPr>
        <w:t>Appendix D — Walk-Through Scenario Notes</w:t>
      </w:r>
    </w:p>
    <w:p>
      <w:pPr>
        <w:ind w:firstLine="720"/>
      </w:pPr>
      <w:r>
        <w:rPr>
          <w:rFonts w:ascii="Times New Roman" w:hAnsi="Times New Roman" w:eastAsia="Times New Roman"/>
          <w:b w:val="0"/>
          <w:i w:val="0"/>
          <w:color w:val="000000"/>
          <w:sz w:val="24"/>
        </w:rPr>
        <w:t>Internal testbed notes confirmed that during local execution, message payload hashes successfully committed to the Besu node when the Podman container was active, and gracefully reported node connection status when offline.</w:t>
      </w:r>
    </w:p>
    <w:p>
      <w:pPr>
        <w:pStyle w:val="Heading1"/>
      </w:pPr>
      <w:r>
        <w:rPr>
          <w:rFonts w:ascii="Times New Roman" w:hAnsi="Times New Roman" w:eastAsia="Times New Roman"/>
          <w:b/>
          <w:i w:val="0"/>
          <w:color w:val="000000"/>
          <w:sz w:val="28"/>
        </w:rPr>
        <w:t>Appendix E — Ten-Week Sprint Timeline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Weeks</w:t>
            </w:r>
          </w:p>
        </w:tc>
        <w:tc>
          <w:tcPr>
            <w:tcW w:type="dxa" w:w="3000"/>
          </w:tcPr>
          <w:p>
            <w:r/>
            <w:r>
              <w:rPr>
                <w:rFonts w:ascii="Times New Roman" w:hAnsi="Times New Roman" w:eastAsia="Times New Roman"/>
                <w:b/>
                <w:i w:val="0"/>
                <w:color w:val="000000"/>
                <w:sz w:val="20"/>
              </w:rPr>
              <w:t>Completion Status</w:t>
            </w:r>
          </w:p>
        </w:tc>
      </w:tr>
      <w:tr>
        <w:tc>
          <w:tcPr>
            <w:tcW w:type="dxa" w:w="3000"/>
          </w:tcPr>
          <w:p>
            <w:r/>
            <w:r>
              <w:rPr>
                <w:rFonts w:ascii="Times New Roman" w:hAnsi="Times New Roman" w:eastAsia="Times New Roman"/>
                <w:b w:val="0"/>
                <w:i w:val="0"/>
                <w:color w:val="000000"/>
                <w:sz w:val="20"/>
              </w:rPr>
              <w:t>UI Foundation</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Convex Integration</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Crypto &amp; BB84 Engine</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Besu Smart Contract</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Verification &amp; Final Report</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Completed</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