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Times New Roman"/>
          <w:b/>
          <w:i w:val="0"/>
          <w:color w:val="000000"/>
          <w:sz w:val="28"/>
        </w:rPr>
        <w:t>Chapter 2</w:t>
      </w:r>
    </w:p>
    <w:p>
      <w:pPr>
        <w:pStyle w:val="Heading1"/>
      </w:pPr>
      <w:r>
        <w:rPr>
          <w:rFonts w:ascii="Times New Roman" w:hAnsi="Times New Roman" w:eastAsia="Times New Roman"/>
          <w:b/>
          <w:i w:val="0"/>
          <w:color w:val="000000"/>
          <w:sz w:val="28"/>
        </w:rPr>
        <w:t>Literature Review</w:t>
      </w:r>
    </w:p>
    <w:p>
      <w:pPr>
        <w:pStyle w:val="Heading2"/>
      </w:pPr>
      <w:r>
        <w:rPr>
          <w:rFonts w:ascii="Times New Roman" w:hAnsi="Times New Roman" w:eastAsia="Times New Roman"/>
          <w:b/>
          <w:i w:val="0"/>
          <w:color w:val="000000"/>
          <w:sz w:val="26"/>
        </w:rPr>
        <w:t>2.1 Academic Communication and Scholarly Discussion Platforms</w:t>
      </w:r>
    </w:p>
    <w:p>
      <w:pPr>
        <w:ind w:firstLine="720"/>
      </w:pPr>
      <w:r>
        <w:rPr>
          <w:rFonts w:ascii="Times New Roman" w:hAnsi="Times New Roman" w:eastAsia="Times New Roman"/>
          <w:b w:val="0"/>
          <w:i w:val="0"/>
          <w:color w:val="000000"/>
          <w:sz w:val="24"/>
        </w:rPr>
        <w:t>Academic dialogue is the cornerstone of higher education. Historically, universities conducted coursework clarification through physical office hours, recitation sections, and lecture halls. As student enrollments expanded, institutions adopted digital communication tools to maintain student-lecturer contact. However, current software solutions in universities fall into two flawed categories: rigid Learning Management System (LMS) forums or informal commercial chat applications.</w:t>
      </w:r>
    </w:p>
    <w:p>
      <w:pPr>
        <w:ind w:firstLine="720"/>
      </w:pPr>
      <w:r>
        <w:rPr>
          <w:rFonts w:ascii="Times New Roman" w:hAnsi="Times New Roman" w:eastAsia="Times New Roman"/>
          <w:b w:val="0"/>
          <w:i w:val="0"/>
          <w:color w:val="000000"/>
          <w:sz w:val="24"/>
        </w:rPr>
        <w:t>Learning Management Systems such as Canvas, Moodle, and Blackboard provide built-in discussion boards. While these tools are institutionally managed, their user experience is notoriously cumbersome. LMS discussion boards suffer from rigid course silos, meaning students cannot discover discussions across related disciplines or consult faculty in adjacent departments. Furthermore, traditional LMS boards lack instant push delivery, operating on slow page refreshes that discourage lively academic debate. Consequently, student participation rates on LMS discussion forums remain low.</w:t>
      </w:r>
    </w:p>
    <w:p>
      <w:pPr>
        <w:ind w:firstLine="720"/>
      </w:pPr>
      <w:r>
        <w:rPr>
          <w:rFonts w:ascii="Times New Roman" w:hAnsi="Times New Roman" w:eastAsia="Times New Roman"/>
          <w:b w:val="0"/>
          <w:i w:val="0"/>
          <w:color w:val="000000"/>
          <w:sz w:val="24"/>
        </w:rPr>
        <w:t>Specialized academic question-and-answer tools such as Piazza (Piazza Technologies, 2024) and Stack Overflow demonstrated the power of threaded, upvoted academic inquiry. Piazza proved that students engage actively when discussion boards mimic modern social feeds. Nevertheless, commercial platforms operate as external third-party software vendors, frequently introducing paywalls, commercial advertisements, and data monetization practices. Crucially, they lack cryptographic identity verification tied to university roles and offer zero immutable auditability for institutional record preservation.</w:t>
      </w:r>
    </w:p>
    <w:p>
      <w:pPr>
        <w:ind w:firstLine="720"/>
      </w:pPr>
      <w:r>
        <w:rPr>
          <w:rFonts w:ascii="Times New Roman" w:hAnsi="Times New Roman" w:eastAsia="Times New Roman"/>
          <w:b w:val="0"/>
          <w:i w:val="0"/>
          <w:color w:val="000000"/>
          <w:sz w:val="24"/>
        </w:rPr>
        <w:t>Faced with these limitations, students and faculty universally default to commercial messaging applications like WhatsApp (Meta, 2023). While WhatsApp delivers instant mobile messaging, its adoption for higher education communication creates severe dysfunction. It requires lecturers to expose personal phone numbers, inviting late-night calls and unsolicited messages. Moreover, WhatsApp groups are unstructured: questions and answers are buried in linear chat streams, academic files cannot be indexed, and answers cannot be referenced by future student cohorts. Most importantly, WhatsApp allows "Delete for Everyone" and offers no mechanism to cryptographically prove that an announcement, assignment instruction, or submission was made.</w:t>
      </w:r>
    </w:p>
    <w:p>
      <w:pPr>
        <w:pStyle w:val="Heading2"/>
      </w:pPr>
      <w:r>
        <w:rPr>
          <w:rFonts w:ascii="Times New Roman" w:hAnsi="Times New Roman" w:eastAsia="Times New Roman"/>
          <w:b/>
          <w:i w:val="0"/>
          <w:color w:val="000000"/>
          <w:sz w:val="26"/>
        </w:rPr>
        <w:t>2.2 Real-Time Cloud Persistence and Reactive State</w:t>
      </w:r>
    </w:p>
    <w:p>
      <w:pPr>
        <w:ind w:firstLine="720"/>
      </w:pPr>
      <w:r>
        <w:rPr>
          <w:rFonts w:ascii="Times New Roman" w:hAnsi="Times New Roman" w:eastAsia="Times New Roman"/>
          <w:b w:val="0"/>
          <w:i w:val="0"/>
          <w:color w:val="000000"/>
          <w:sz w:val="24"/>
        </w:rPr>
        <w:t>Traditional HTTP polling introduces significant network latency and server overhead for interactive campus applications. Modern web systems utilize persistent WebSocket connections to enable push-based state synchronization. Convex utilizes an end-to-end reactive architecture where client components subscribe directly to database queries over WebSockets (Convex Development Team, 2024). When a mutation executes—such as a student posting a question or a lecturer submitting an answer—the database automatically recalculates affected query subscriptions and pushes minimal diffs to connected browsers within 50 to 100 milliseconds. This eliminates polling while providing instant user interface reactivity.</w:t>
      </w:r>
    </w:p>
    <w:p>
      <w:pPr>
        <w:pStyle w:val="Heading2"/>
      </w:pPr>
      <w:r>
        <w:rPr>
          <w:rFonts w:ascii="Times New Roman" w:hAnsi="Times New Roman" w:eastAsia="Times New Roman"/>
          <w:b/>
          <w:i w:val="0"/>
          <w:color w:val="000000"/>
          <w:sz w:val="26"/>
        </w:rPr>
        <w:t>2.3 Symmetric and Asymmetric Cryptography Systems</w:t>
      </w:r>
    </w:p>
    <w:p>
      <w:pPr>
        <w:ind w:firstLine="720"/>
      </w:pPr>
      <w:r>
        <w:rPr>
          <w:rFonts w:ascii="Times New Roman" w:hAnsi="Times New Roman" w:eastAsia="Times New Roman"/>
          <w:b w:val="0"/>
          <w:i w:val="0"/>
          <w:color w:val="000000"/>
          <w:sz w:val="24"/>
        </w:rPr>
        <w:t>Symmetric encryption ciphers such as AES-GCM (Advanced Encryption Standard in Galois/Counter Mode) utilize a single secret key for encryption and authenticated decryption, delivering high mathematical throughput and tamper detection (National Institute of Standards and Technology, 2001). Asymmetric cryptosystems like RSA-OAEP utilize distinct public and private key pairs, allowing parties to establish secure communication without sharing private credentials in advance (Rivest et al., 1978; Diffie &amp; Hellman, 1976). Established messaging protocols, such as Signal's Extended Triple Diffie-Hellman (Marlinspike &amp; Perrin, 2016), combine asymmetric key negotiation with symmetric payload ciphers. {APP} adopts this hybrid approach: the browser W3C Web Crypto API executes AES-GCM-256 for message payload encryption, while 2048-bit RSA-OAEP keypairs manage user identity and key exchange (Mozilla Developer Network, 2024). Private keys remain strictly within client-side IndexedDB storage.</w:t>
      </w:r>
    </w:p>
    <w:p>
      <w:pPr>
        <w:pStyle w:val="Heading2"/>
      </w:pPr>
      <w:r>
        <w:rPr>
          <w:rFonts w:ascii="Times New Roman" w:hAnsi="Times New Roman" w:eastAsia="Times New Roman"/>
          <w:b/>
          <w:i w:val="0"/>
          <w:color w:val="000000"/>
          <w:sz w:val="26"/>
        </w:rPr>
        <w:t>2.4 Permissioned Distributed Ledgers and Smart Contracts</w:t>
      </w:r>
    </w:p>
    <w:p>
      <w:pPr>
        <w:ind w:firstLine="720"/>
      </w:pPr>
      <w:r>
        <w:rPr>
          <w:rFonts w:ascii="Times New Roman" w:hAnsi="Times New Roman" w:eastAsia="Times New Roman"/>
          <w:b w:val="0"/>
          <w:i w:val="0"/>
          <w:color w:val="000000"/>
          <w:sz w:val="24"/>
        </w:rPr>
        <w:t>Public distributed ledgers maintain tamper-evident event histories across decentralized networks (Nakamoto, 2008). Ethereum advanced distributed ledger technology by introducing deterministic smart contracts executed on the Ethereum Virtual Machine (Wood, 2014). However, public networks impose volatile transaction gas fees and expose student transactions to public scrutiny. In institutional environments, permissioned distributed ledgers like Hyperledger Besu running Quorum Byzantine Fault Tolerance (QBFT) consensus provide zero-gas transaction execution, high throughput, and deterministic finality (Hyperledger Foundation, 2024; Castro &amp; Liskov, 2002). Smart contracts authored in Solidity 0.8.20 enforce programmatic state validation rules on-chain (Ethereum Foundation, 2024).</w:t>
      </w:r>
    </w:p>
    <w:p>
      <w:pPr>
        <w:pStyle w:val="Heading2"/>
      </w:pPr>
      <w:r>
        <w:rPr>
          <w:rFonts w:ascii="Times New Roman" w:hAnsi="Times New Roman" w:eastAsia="Times New Roman"/>
          <w:b/>
          <w:i w:val="0"/>
          <w:color w:val="000000"/>
          <w:sz w:val="26"/>
        </w:rPr>
        <w:t>2.5 Quantum Key Distribution and the 11% QBER Limit</w:t>
      </w:r>
    </w:p>
    <w:p>
      <w:pPr>
        <w:ind w:firstLine="720"/>
      </w:pPr>
      <w:r>
        <w:rPr>
          <w:rFonts w:ascii="Times New Roman" w:hAnsi="Times New Roman" w:eastAsia="Times New Roman"/>
          <w:b w:val="0"/>
          <w:i w:val="0"/>
          <w:color w:val="000000"/>
          <w:sz w:val="24"/>
        </w:rPr>
        <w:t>The BB84 protocol (Bennett &amp; Brassard, 2014/1984) establishes secret session keys between two endpoints using polarized photon states. Under quantum mechanics principles, any interception by an unauthorized eavesdropper alters quantum states due to the Heisenberg uncertainty principle and the No-Cloning Theorem (Nielsen &amp; Chuang, 2010). Following photon transmission and basis reconciliation (sifting), communicating parties evaluate the Quantum Bit Error Rate (QBER). Rigorous mathematical proofs by Shor and Preskill (2000), Gisin et al. (2002), and Scarani et al. (2009) prove that under ideal BB84 conditions, information reconciliation and privacy amplification can extract an uncompromised secret key only when the QBER remains strictly below approximately 11%. If the QBER exceeds 0.11, eavesdropping noise invalidates the channel, requiring session abort. {APP} models this mathematical threshold in its TypeScript simulation (src/lib/bb84.ts).</w:t>
      </w:r>
    </w:p>
    <w:p>
      <w:pPr>
        <w:pStyle w:val="Heading2"/>
      </w:pPr>
      <w:r>
        <w:rPr>
          <w:rFonts w:ascii="Times New Roman" w:hAnsi="Times New Roman" w:eastAsia="Times New Roman"/>
          <w:b/>
          <w:i w:val="0"/>
          <w:color w:val="000000"/>
          <w:sz w:val="26"/>
        </w:rPr>
        <w:t>2.6 Dual-Layer Role-Based Access Control</w:t>
      </w:r>
    </w:p>
    <w:p>
      <w:pPr>
        <w:ind w:firstLine="720"/>
      </w:pPr>
      <w:r>
        <w:rPr>
          <w:rFonts w:ascii="Times New Roman" w:hAnsi="Times New Roman" w:eastAsia="Times New Roman"/>
          <w:b w:val="0"/>
          <w:i w:val="0"/>
          <w:color w:val="000000"/>
          <w:sz w:val="24"/>
        </w:rPr>
        <w:t>Traditional web applications store role attributes in standard relational databases. However, database administrators retain capabilities to modify role tables arbitrarily. Dual-layer access control pairs fast application-level database permissions with immutable distributed ledger assertions. In {APP}, user roles are managed within Convex document collections and mirrored onto the private Besu blockchain through administrative smart contract invocations.</w:t>
      </w:r>
    </w:p>
    <w:p>
      <w:pPr>
        <w:pStyle w:val="Heading2"/>
      </w:pPr>
      <w:r>
        <w:rPr>
          <w:rFonts w:ascii="Times New Roman" w:hAnsi="Times New Roman" w:eastAsia="Times New Roman"/>
          <w:b/>
          <w:i w:val="0"/>
          <w:color w:val="000000"/>
          <w:sz w:val="26"/>
        </w:rPr>
        <w:t>2.7 Comparative Review of Related Systems</w:t>
      </w:r>
    </w:p>
    <w:p>
      <w:pPr>
        <w:ind w:firstLine="720"/>
      </w:pPr>
      <w:r>
        <w:rPr>
          <w:rFonts w:ascii="Times New Roman" w:hAnsi="Times New Roman" w:eastAsia="Times New Roman"/>
          <w:b w:val="0"/>
          <w:i w:val="0"/>
          <w:color w:val="000000"/>
          <w:sz w:val="24"/>
        </w:rPr>
        <w:t>Table 2.1 contrasts the technical characteristics of QCampus Connect against existing commercial and academic platforms.</w:t>
      </w:r>
    </w:p>
    <w:tbl>
      <w:tblPr>
        <w:tblStyle w:val="TableGrid"/>
        <w:tblW w:type="auto" w:w="0"/>
        <w:tblLook w:firstColumn="1" w:firstRow="1" w:lastColumn="0" w:lastRow="0" w:noHBand="0" w:noVBand="1" w:val="04A0"/>
      </w:tblPr>
      <w:tblGrid>
        <w:gridCol w:w="1500"/>
        <w:gridCol w:w="1500"/>
        <w:gridCol w:w="1500"/>
        <w:gridCol w:w="1500"/>
        <w:gridCol w:w="1500"/>
        <w:gridCol w:w="1500"/>
      </w:tblGrid>
      <w:tr>
        <w:tc>
          <w:tcPr>
            <w:tcW w:type="dxa" w:w="1500"/>
          </w:tcPr>
          <w:p>
            <w:r/>
            <w:r>
              <w:rPr>
                <w:rFonts w:ascii="Times New Roman" w:hAnsi="Times New Roman" w:eastAsia="Times New Roman"/>
                <w:b/>
                <w:i w:val="0"/>
                <w:color w:val="000000"/>
                <w:sz w:val="20"/>
              </w:rPr>
              <w:t>System</w:t>
            </w:r>
          </w:p>
        </w:tc>
        <w:tc>
          <w:tcPr>
            <w:tcW w:type="dxa" w:w="1500"/>
          </w:tcPr>
          <w:p>
            <w:r/>
            <w:r>
              <w:rPr>
                <w:rFonts w:ascii="Times New Roman" w:hAnsi="Times New Roman" w:eastAsia="Times New Roman"/>
                <w:b/>
                <w:i w:val="0"/>
                <w:color w:val="000000"/>
                <w:sz w:val="20"/>
              </w:rPr>
              <w:t>Academic Q&amp;A Forum</w:t>
            </w:r>
          </w:p>
        </w:tc>
        <w:tc>
          <w:tcPr>
            <w:tcW w:type="dxa" w:w="1500"/>
          </w:tcPr>
          <w:p>
            <w:r/>
            <w:r>
              <w:rPr>
                <w:rFonts w:ascii="Times New Roman" w:hAnsi="Times New Roman" w:eastAsia="Times New Roman"/>
                <w:b/>
                <w:i w:val="0"/>
                <w:color w:val="000000"/>
                <w:sz w:val="20"/>
              </w:rPr>
              <w:t>Lecturer Rank Badges</w:t>
            </w:r>
          </w:p>
        </w:tc>
        <w:tc>
          <w:tcPr>
            <w:tcW w:type="dxa" w:w="1500"/>
          </w:tcPr>
          <w:p>
            <w:r/>
            <w:r>
              <w:rPr>
                <w:rFonts w:ascii="Times New Roman" w:hAnsi="Times New Roman" w:eastAsia="Times New Roman"/>
                <w:b/>
                <w:i w:val="0"/>
                <w:color w:val="000000"/>
                <w:sz w:val="20"/>
              </w:rPr>
              <w:t>Real-Time Push</w:t>
            </w:r>
          </w:p>
        </w:tc>
        <w:tc>
          <w:tcPr>
            <w:tcW w:type="dxa" w:w="1500"/>
          </w:tcPr>
          <w:p>
            <w:r/>
            <w:r>
              <w:rPr>
                <w:rFonts w:ascii="Times New Roman" w:hAnsi="Times New Roman" w:eastAsia="Times New Roman"/>
                <w:b/>
                <w:i w:val="0"/>
                <w:color w:val="000000"/>
                <w:sz w:val="20"/>
              </w:rPr>
              <w:t>Ledger Audit Trail</w:t>
            </w:r>
          </w:p>
        </w:tc>
        <w:tc>
          <w:tcPr>
            <w:tcW w:type="dxa" w:w="1500"/>
          </w:tcPr>
          <w:p>
            <w:r/>
            <w:r>
              <w:rPr>
                <w:rFonts w:ascii="Times New Roman" w:hAnsi="Times New Roman" w:eastAsia="Times New Roman"/>
                <w:b/>
                <w:i w:val="0"/>
                <w:color w:val="000000"/>
                <w:sz w:val="20"/>
              </w:rPr>
              <w:t>Private Follow-up DM</w:t>
            </w:r>
          </w:p>
        </w:tc>
      </w:tr>
      <w:tr>
        <w:tc>
          <w:tcPr>
            <w:tcW w:type="dxa" w:w="1500"/>
          </w:tcPr>
          <w:p>
            <w:r/>
            <w:r>
              <w:rPr>
                <w:rFonts w:ascii="Times New Roman" w:hAnsi="Times New Roman" w:eastAsia="Times New Roman"/>
                <w:b w:val="0"/>
                <w:i w:val="0"/>
                <w:color w:val="000000"/>
                <w:sz w:val="20"/>
              </w:rPr>
              <w:t>WhatsApp / Telegram</w:t>
            </w:r>
          </w:p>
        </w:tc>
        <w:tc>
          <w:tcPr>
            <w:tcW w:type="dxa" w:w="1500"/>
          </w:tcPr>
          <w:p>
            <w:r/>
            <w:r>
              <w:rPr>
                <w:rFonts w:ascii="Times New Roman" w:hAnsi="Times New Roman" w:eastAsia="Times New Roman"/>
                <w:b w:val="0"/>
                <w:i w:val="0"/>
                <w:color w:val="000000"/>
                <w:sz w:val="20"/>
              </w:rPr>
              <w:t>No (Linear Chat)</w:t>
            </w:r>
          </w:p>
        </w:tc>
        <w:tc>
          <w:tcPr>
            <w:tcW w:type="dxa" w:w="1500"/>
          </w:tcPr>
          <w:p>
            <w:r/>
            <w:r>
              <w:rPr>
                <w:rFonts w:ascii="Times New Roman" w:hAnsi="Times New Roman" w:eastAsia="Times New Roman"/>
                <w:b w:val="0"/>
                <w:i w:val="0"/>
                <w:color w:val="000000"/>
                <w:sz w:val="20"/>
              </w:rPr>
              <w:t>None (Unverified)</w:t>
            </w:r>
          </w:p>
        </w:tc>
        <w:tc>
          <w:tcPr>
            <w:tcW w:type="dxa" w:w="1500"/>
          </w:tcPr>
          <w:p>
            <w:r/>
            <w:r>
              <w:rPr>
                <w:rFonts w:ascii="Times New Roman" w:hAnsi="Times New Roman" w:eastAsia="Times New Roman"/>
                <w:b w:val="0"/>
                <w:i w:val="0"/>
                <w:color w:val="000000"/>
                <w:sz w:val="20"/>
              </w:rPr>
              <w:t>High (WebSockets)</w:t>
            </w:r>
          </w:p>
        </w:tc>
        <w:tc>
          <w:tcPr>
            <w:tcW w:type="dxa" w:w="1500"/>
          </w:tcPr>
          <w:p>
            <w:r/>
            <w:r>
              <w:rPr>
                <w:rFonts w:ascii="Times New Roman" w:hAnsi="Times New Roman" w:eastAsia="Times New Roman"/>
                <w:b w:val="0"/>
                <w:i w:val="0"/>
                <w:color w:val="000000"/>
                <w:sz w:val="20"/>
              </w:rPr>
              <w:t>None</w:t>
            </w:r>
          </w:p>
        </w:tc>
        <w:tc>
          <w:tcPr>
            <w:tcW w:type="dxa" w:w="1500"/>
          </w:tcPr>
          <w:p>
            <w:r/>
            <w:r>
              <w:rPr>
                <w:rFonts w:ascii="Times New Roman" w:hAnsi="Times New Roman" w:eastAsia="Times New Roman"/>
                <w:b w:val="0"/>
                <w:i w:val="0"/>
                <w:color w:val="000000"/>
                <w:sz w:val="20"/>
              </w:rPr>
              <w:t>Native (Primary)</w:t>
            </w:r>
          </w:p>
        </w:tc>
      </w:tr>
      <w:tr>
        <w:tc>
          <w:tcPr>
            <w:tcW w:type="dxa" w:w="1500"/>
          </w:tcPr>
          <w:p>
            <w:r/>
            <w:r>
              <w:rPr>
                <w:rFonts w:ascii="Times New Roman" w:hAnsi="Times New Roman" w:eastAsia="Times New Roman"/>
                <w:b w:val="0"/>
                <w:i w:val="0"/>
                <w:color w:val="000000"/>
                <w:sz w:val="20"/>
              </w:rPr>
              <w:t>Canvas / Moodle LMS</w:t>
            </w:r>
          </w:p>
        </w:tc>
        <w:tc>
          <w:tcPr>
            <w:tcW w:type="dxa" w:w="1500"/>
          </w:tcPr>
          <w:p>
            <w:r/>
            <w:r>
              <w:rPr>
                <w:rFonts w:ascii="Times New Roman" w:hAnsi="Times New Roman" w:eastAsia="Times New Roman"/>
                <w:b w:val="0"/>
                <w:i w:val="0"/>
                <w:color w:val="000000"/>
                <w:sz w:val="20"/>
              </w:rPr>
              <w:t>Yes (Course Silo)</w:t>
            </w:r>
          </w:p>
        </w:tc>
        <w:tc>
          <w:tcPr>
            <w:tcW w:type="dxa" w:w="1500"/>
          </w:tcPr>
          <w:p>
            <w:r/>
            <w:r>
              <w:rPr>
                <w:rFonts w:ascii="Times New Roman" w:hAnsi="Times New Roman" w:eastAsia="Times New Roman"/>
                <w:b w:val="0"/>
                <w:i w:val="0"/>
                <w:color w:val="000000"/>
                <w:sz w:val="20"/>
              </w:rPr>
              <w:t>Role Only (No Rank)</w:t>
            </w:r>
          </w:p>
        </w:tc>
        <w:tc>
          <w:tcPr>
            <w:tcW w:type="dxa" w:w="1500"/>
          </w:tcPr>
          <w:p>
            <w:r/>
            <w:r>
              <w:rPr>
                <w:rFonts w:ascii="Times New Roman" w:hAnsi="Times New Roman" w:eastAsia="Times New Roman"/>
                <w:b w:val="0"/>
                <w:i w:val="0"/>
                <w:color w:val="000000"/>
                <w:sz w:val="20"/>
              </w:rPr>
              <w:t>Low (HTTP Polling)</w:t>
            </w:r>
          </w:p>
        </w:tc>
        <w:tc>
          <w:tcPr>
            <w:tcW w:type="dxa" w:w="1500"/>
          </w:tcPr>
          <w:p>
            <w:r/>
            <w:r>
              <w:rPr>
                <w:rFonts w:ascii="Times New Roman" w:hAnsi="Times New Roman" w:eastAsia="Times New Roman"/>
                <w:b w:val="0"/>
                <w:i w:val="0"/>
                <w:color w:val="000000"/>
                <w:sz w:val="20"/>
              </w:rPr>
              <w:t>None (Mutable SQL)</w:t>
            </w:r>
          </w:p>
        </w:tc>
        <w:tc>
          <w:tcPr>
            <w:tcW w:type="dxa" w:w="1500"/>
          </w:tcPr>
          <w:p>
            <w:r/>
            <w:r>
              <w:rPr>
                <w:rFonts w:ascii="Times New Roman" w:hAnsi="Times New Roman" w:eastAsia="Times New Roman"/>
                <w:b w:val="0"/>
                <w:i w:val="0"/>
                <w:color w:val="000000"/>
                <w:sz w:val="20"/>
              </w:rPr>
              <w:t>None / Email</w:t>
            </w:r>
          </w:p>
        </w:tc>
      </w:tr>
      <w:tr>
        <w:tc>
          <w:tcPr>
            <w:tcW w:type="dxa" w:w="1500"/>
          </w:tcPr>
          <w:p>
            <w:r/>
            <w:r>
              <w:rPr>
                <w:rFonts w:ascii="Times New Roman" w:hAnsi="Times New Roman" w:eastAsia="Times New Roman"/>
                <w:b w:val="0"/>
                <w:i w:val="0"/>
                <w:color w:val="000000"/>
                <w:sz w:val="20"/>
              </w:rPr>
              <w:t>Piazza / Ed Discussion</w:t>
            </w:r>
          </w:p>
        </w:tc>
        <w:tc>
          <w:tcPr>
            <w:tcW w:type="dxa" w:w="1500"/>
          </w:tcPr>
          <w:p>
            <w:r/>
            <w:r>
              <w:rPr>
                <w:rFonts w:ascii="Times New Roman" w:hAnsi="Times New Roman" w:eastAsia="Times New Roman"/>
                <w:b w:val="0"/>
                <w:i w:val="0"/>
                <w:color w:val="000000"/>
                <w:sz w:val="20"/>
              </w:rPr>
              <w:t>Yes (Proprietary)</w:t>
            </w:r>
          </w:p>
        </w:tc>
        <w:tc>
          <w:tcPr>
            <w:tcW w:type="dxa" w:w="1500"/>
          </w:tcPr>
          <w:p>
            <w:r/>
            <w:r>
              <w:rPr>
                <w:rFonts w:ascii="Times New Roman" w:hAnsi="Times New Roman" w:eastAsia="Times New Roman"/>
                <w:b w:val="0"/>
                <w:i w:val="0"/>
                <w:color w:val="000000"/>
                <w:sz w:val="20"/>
              </w:rPr>
              <w:t>Instructor Tag</w:t>
            </w:r>
          </w:p>
        </w:tc>
        <w:tc>
          <w:tcPr>
            <w:tcW w:type="dxa" w:w="1500"/>
          </w:tcPr>
          <w:p>
            <w:r/>
            <w:r>
              <w:rPr>
                <w:rFonts w:ascii="Times New Roman" w:hAnsi="Times New Roman" w:eastAsia="Times New Roman"/>
                <w:b w:val="0"/>
                <w:i w:val="0"/>
                <w:color w:val="000000"/>
                <w:sz w:val="20"/>
              </w:rPr>
              <w:t>Moderate (Cloud)</w:t>
            </w:r>
          </w:p>
        </w:tc>
        <w:tc>
          <w:tcPr>
            <w:tcW w:type="dxa" w:w="1500"/>
          </w:tcPr>
          <w:p>
            <w:r/>
            <w:r>
              <w:rPr>
                <w:rFonts w:ascii="Times New Roman" w:hAnsi="Times New Roman" w:eastAsia="Times New Roman"/>
                <w:b w:val="0"/>
                <w:i w:val="0"/>
                <w:color w:val="000000"/>
                <w:sz w:val="20"/>
              </w:rPr>
              <w:t>None (Cloud Database)</w:t>
            </w:r>
          </w:p>
        </w:tc>
        <w:tc>
          <w:tcPr>
            <w:tcW w:type="dxa" w:w="1500"/>
          </w:tcPr>
          <w:p>
            <w:r/>
            <w:r>
              <w:rPr>
                <w:rFonts w:ascii="Times New Roman" w:hAnsi="Times New Roman" w:eastAsia="Times New Roman"/>
                <w:b w:val="0"/>
                <w:i w:val="0"/>
                <w:color w:val="000000"/>
                <w:sz w:val="20"/>
              </w:rPr>
              <w:t>Limited</w:t>
            </w:r>
          </w:p>
        </w:tc>
      </w:tr>
      <w:tr>
        <w:tc>
          <w:tcPr>
            <w:tcW w:type="dxa" w:w="1500"/>
          </w:tcPr>
          <w:p>
            <w:r/>
            <w:r>
              <w:rPr>
                <w:rFonts w:ascii="Times New Roman" w:hAnsi="Times New Roman" w:eastAsia="Times New Roman"/>
                <w:b w:val="0"/>
                <w:i w:val="0"/>
                <w:color w:val="000000"/>
                <w:sz w:val="20"/>
              </w:rPr>
              <w:t>Reddit / Stack Overflow</w:t>
            </w:r>
          </w:p>
        </w:tc>
        <w:tc>
          <w:tcPr>
            <w:tcW w:type="dxa" w:w="1500"/>
          </w:tcPr>
          <w:p>
            <w:r/>
            <w:r>
              <w:rPr>
                <w:rFonts w:ascii="Times New Roman" w:hAnsi="Times New Roman" w:eastAsia="Times New Roman"/>
                <w:b w:val="0"/>
                <w:i w:val="0"/>
                <w:color w:val="000000"/>
                <w:sz w:val="20"/>
              </w:rPr>
              <w:t>Yes (Public)</w:t>
            </w:r>
          </w:p>
        </w:tc>
        <w:tc>
          <w:tcPr>
            <w:tcW w:type="dxa" w:w="1500"/>
          </w:tcPr>
          <w:p>
            <w:r/>
            <w:r>
              <w:rPr>
                <w:rFonts w:ascii="Times New Roman" w:hAnsi="Times New Roman" w:eastAsia="Times New Roman"/>
                <w:b w:val="0"/>
                <w:i w:val="0"/>
                <w:color w:val="000000"/>
                <w:sz w:val="20"/>
              </w:rPr>
              <w:t>Karma Scores</w:t>
            </w:r>
          </w:p>
        </w:tc>
        <w:tc>
          <w:tcPr>
            <w:tcW w:type="dxa" w:w="1500"/>
          </w:tcPr>
          <w:p>
            <w:r/>
            <w:r>
              <w:rPr>
                <w:rFonts w:ascii="Times New Roman" w:hAnsi="Times New Roman" w:eastAsia="Times New Roman"/>
                <w:b w:val="0"/>
                <w:i w:val="0"/>
                <w:color w:val="000000"/>
                <w:sz w:val="20"/>
              </w:rPr>
              <w:t>Moderate (Polling/WS)</w:t>
            </w:r>
          </w:p>
        </w:tc>
        <w:tc>
          <w:tcPr>
            <w:tcW w:type="dxa" w:w="1500"/>
          </w:tcPr>
          <w:p>
            <w:r/>
            <w:r>
              <w:rPr>
                <w:rFonts w:ascii="Times New Roman" w:hAnsi="Times New Roman" w:eastAsia="Times New Roman"/>
                <w:b w:val="0"/>
                <w:i w:val="0"/>
                <w:color w:val="000000"/>
                <w:sz w:val="20"/>
              </w:rPr>
              <w:t>None (Silent Edits)</w:t>
            </w:r>
          </w:p>
        </w:tc>
        <w:tc>
          <w:tcPr>
            <w:tcW w:type="dxa" w:w="1500"/>
          </w:tcPr>
          <w:p>
            <w:r/>
            <w:r>
              <w:rPr>
                <w:rFonts w:ascii="Times New Roman" w:hAnsi="Times New Roman" w:eastAsia="Times New Roman"/>
                <w:b w:val="0"/>
                <w:i w:val="0"/>
                <w:color w:val="000000"/>
                <w:sz w:val="20"/>
              </w:rPr>
              <w:t>Basic Chat</w:t>
            </w:r>
          </w:p>
        </w:tc>
      </w:tr>
      <w:tr>
        <w:tc>
          <w:tcPr>
            <w:tcW w:type="dxa" w:w="1500"/>
          </w:tcPr>
          <w:p>
            <w:r/>
            <w:r>
              <w:rPr>
                <w:rFonts w:ascii="Times New Roman" w:hAnsi="Times New Roman" w:eastAsia="Times New Roman"/>
                <w:b w:val="0"/>
                <w:i w:val="0"/>
                <w:color w:val="000000"/>
                <w:sz w:val="20"/>
              </w:rPr>
              <w:t>Public Web3 dApps</w:t>
            </w:r>
          </w:p>
        </w:tc>
        <w:tc>
          <w:tcPr>
            <w:tcW w:type="dxa" w:w="1500"/>
          </w:tcPr>
          <w:p>
            <w:r/>
            <w:r>
              <w:rPr>
                <w:rFonts w:ascii="Times New Roman" w:hAnsi="Times New Roman" w:eastAsia="Times New Roman"/>
                <w:b w:val="0"/>
                <w:i w:val="0"/>
                <w:color w:val="000000"/>
                <w:sz w:val="20"/>
              </w:rPr>
              <w:t>No (Token Chat)</w:t>
            </w:r>
          </w:p>
        </w:tc>
        <w:tc>
          <w:tcPr>
            <w:tcW w:type="dxa" w:w="1500"/>
          </w:tcPr>
          <w:p>
            <w:r/>
            <w:r>
              <w:rPr>
                <w:rFonts w:ascii="Times New Roman" w:hAnsi="Times New Roman" w:eastAsia="Times New Roman"/>
                <w:b w:val="0"/>
                <w:i w:val="0"/>
                <w:color w:val="000000"/>
                <w:sz w:val="20"/>
              </w:rPr>
              <w:t>Wallet Address</w:t>
            </w:r>
          </w:p>
        </w:tc>
        <w:tc>
          <w:tcPr>
            <w:tcW w:type="dxa" w:w="1500"/>
          </w:tcPr>
          <w:p>
            <w:r/>
            <w:r>
              <w:rPr>
                <w:rFonts w:ascii="Times New Roman" w:hAnsi="Times New Roman" w:eastAsia="Times New Roman"/>
                <w:b w:val="0"/>
                <w:i w:val="0"/>
                <w:color w:val="000000"/>
                <w:sz w:val="20"/>
              </w:rPr>
              <w:t>Low (Block Polling)</w:t>
            </w:r>
          </w:p>
        </w:tc>
        <w:tc>
          <w:tcPr>
            <w:tcW w:type="dxa" w:w="1500"/>
          </w:tcPr>
          <w:p>
            <w:r/>
            <w:r>
              <w:rPr>
                <w:rFonts w:ascii="Times New Roman" w:hAnsi="Times New Roman" w:eastAsia="Times New Roman"/>
                <w:b w:val="0"/>
                <w:i w:val="0"/>
                <w:color w:val="000000"/>
                <w:sz w:val="20"/>
              </w:rPr>
              <w:t>Full On-Chain (High Gas)</w:t>
            </w:r>
          </w:p>
        </w:tc>
        <w:tc>
          <w:tcPr>
            <w:tcW w:type="dxa" w:w="1500"/>
          </w:tcPr>
          <w:p>
            <w:r/>
            <w:r>
              <w:rPr>
                <w:rFonts w:ascii="Times New Roman" w:hAnsi="Times New Roman" w:eastAsia="Times New Roman"/>
                <w:b w:val="0"/>
                <w:i w:val="0"/>
                <w:color w:val="000000"/>
                <w:sz w:val="20"/>
              </w:rPr>
              <w:t>Wallet-to-Wallet</w:t>
            </w:r>
          </w:p>
        </w:tc>
      </w:tr>
      <w:tr>
        <w:tc>
          <w:tcPr>
            <w:tcW w:type="dxa" w:w="1500"/>
          </w:tcPr>
          <w:p>
            <w:r/>
            <w:r>
              <w:rPr>
                <w:rFonts w:ascii="Times New Roman" w:hAnsi="Times New Roman" w:eastAsia="Times New Roman"/>
                <w:b w:val="0"/>
                <w:i w:val="0"/>
                <w:color w:val="000000"/>
                <w:sz w:val="20"/>
              </w:rPr>
              <w:t>QCampus Connect (This Project)</w:t>
            </w:r>
          </w:p>
        </w:tc>
        <w:tc>
          <w:tcPr>
            <w:tcW w:type="dxa" w:w="1500"/>
          </w:tcPr>
          <w:p>
            <w:r/>
            <w:r>
              <w:rPr>
                <w:rFonts w:ascii="Times New Roman" w:hAnsi="Times New Roman" w:eastAsia="Times New Roman"/>
                <w:b w:val="0"/>
                <w:i w:val="0"/>
                <w:color w:val="000000"/>
                <w:sz w:val="20"/>
              </w:rPr>
              <w:t>Yes (Department-Targeted)</w:t>
            </w:r>
          </w:p>
        </w:tc>
        <w:tc>
          <w:tcPr>
            <w:tcW w:type="dxa" w:w="1500"/>
          </w:tcPr>
          <w:p>
            <w:r/>
            <w:r>
              <w:rPr>
                <w:rFonts w:ascii="Times New Roman" w:hAnsi="Times New Roman" w:eastAsia="Times New Roman"/>
                <w:b w:val="0"/>
                <w:i w:val="0"/>
                <w:color w:val="000000"/>
                <w:sz w:val="20"/>
              </w:rPr>
              <w:t>Verified (Dr, Prof, Eng)</w:t>
            </w:r>
          </w:p>
        </w:tc>
        <w:tc>
          <w:tcPr>
            <w:tcW w:type="dxa" w:w="1500"/>
          </w:tcPr>
          <w:p>
            <w:r/>
            <w:r>
              <w:rPr>
                <w:rFonts w:ascii="Times New Roman" w:hAnsi="Times New Roman" w:eastAsia="Times New Roman"/>
                <w:b w:val="0"/>
                <w:i w:val="0"/>
                <w:color w:val="000000"/>
                <w:sz w:val="20"/>
              </w:rPr>
              <w:t>High (Convex WS)</w:t>
            </w:r>
          </w:p>
        </w:tc>
        <w:tc>
          <w:tcPr>
            <w:tcW w:type="dxa" w:w="1500"/>
          </w:tcPr>
          <w:p>
            <w:r/>
            <w:r>
              <w:rPr>
                <w:rFonts w:ascii="Times New Roman" w:hAnsi="Times New Roman" w:eastAsia="Times New Roman"/>
                <w:b w:val="0"/>
                <w:i w:val="0"/>
                <w:color w:val="000000"/>
                <w:sz w:val="20"/>
              </w:rPr>
              <w:t>Private Besu (QBFT)</w:t>
            </w:r>
          </w:p>
        </w:tc>
        <w:tc>
          <w:tcPr>
            <w:tcW w:type="dxa" w:w="1500"/>
          </w:tcPr>
          <w:p>
            <w:r/>
            <w:r>
              <w:rPr>
                <w:rFonts w:ascii="Times New Roman" w:hAnsi="Times New Roman" w:eastAsia="Times New Roman"/>
                <w:b w:val="0"/>
                <w:i w:val="0"/>
                <w:color w:val="000000"/>
                <w:sz w:val="20"/>
              </w:rPr>
              <w:t>End-to-End Encrypted</w:t>
            </w:r>
          </w:p>
        </w:tc>
      </w:tr>
    </w:tbl>
    <w:p/>
    <w:p>
      <w:pPr>
        <w:pStyle w:val="Heading2"/>
      </w:pPr>
      <w:r>
        <w:rPr>
          <w:rFonts w:ascii="Times New Roman" w:hAnsi="Times New Roman" w:eastAsia="Times New Roman"/>
          <w:b/>
          <w:i w:val="0"/>
          <w:color w:val="000000"/>
          <w:sz w:val="26"/>
        </w:rPr>
        <w:t>2.8 Identified Domain Gaps</w:t>
      </w:r>
    </w:p>
    <w:p>
      <w:pPr>
        <w:ind w:firstLine="720"/>
      </w:pPr>
      <w:r>
        <w:rPr>
          <w:rFonts w:ascii="Times New Roman" w:hAnsi="Times New Roman" w:eastAsia="Times New Roman"/>
          <w:b w:val="0"/>
          <w:i w:val="0"/>
          <w:color w:val="000000"/>
          <w:sz w:val="24"/>
        </w:rPr>
        <w:t>This literature review reveals three primary deficiencies in contemporary campus software:</w:t>
      </w:r>
    </w:p>
    <w:p>
      <w:pPr>
        <w:pStyle w:val="ListNumber"/>
      </w:pPr>
      <w:r>
        <w:rPr>
          <w:rFonts w:ascii="Times New Roman" w:hAnsi="Times New Roman" w:eastAsia="Times New Roman"/>
          <w:b w:val="0"/>
          <w:i w:val="0"/>
          <w:color w:val="000000"/>
          <w:sz w:val="24"/>
        </w:rPr>
        <w:t>Absence of an Open, Verified Academic Forum: Universities lack an accessible platform where students can seek coursework help and share findings without infringing on faculty personal phone numbers or standing in office queues.</w:t>
      </w:r>
    </w:p>
    <w:p>
      <w:pPr>
        <w:pStyle w:val="ListNumber"/>
      </w:pPr>
      <w:r>
        <w:rPr>
          <w:rFonts w:ascii="Times New Roman" w:hAnsi="Times New Roman" w:eastAsia="Times New Roman"/>
          <w:b w:val="0"/>
          <w:i w:val="0"/>
          <w:color w:val="000000"/>
          <w:sz w:val="24"/>
        </w:rPr>
        <w:t>Lack of Verified Academic Authority: Existing social chat tools treat all members identically, failing to distinguish authoritative answers authored by verified departmental scholars from casual peer speculation.</w:t>
      </w:r>
    </w:p>
    <w:p>
      <w:pPr>
        <w:pStyle w:val="ListNumber"/>
      </w:pPr>
      <w:r>
        <w:rPr>
          <w:rFonts w:ascii="Times New Roman" w:hAnsi="Times New Roman" w:eastAsia="Times New Roman"/>
          <w:b w:val="0"/>
          <w:i w:val="0"/>
          <w:color w:val="000000"/>
          <w:sz w:val="24"/>
        </w:rPr>
        <w:t>Vulnerability of Academic Records to Tampering: Current learning platforms rely exclusively on mutable cloud databases where audit logs can be altered, pruned, or disputed without cryptographic verification.</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