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 universities today, academic communication between students and faculty suffers from critical structural bottlenecks. Lacking a dedicated, institution-wide scholarly discussion platform, students seeking coursework clarification or project guidance are forced to call lecturers' personal phone numbers or physically queue outside faculty offices. This practice intrudes on faculty privacy, causes scheduling delays, and silos valuable explanations in private 1-on-1 exchanges where peer students cannot benefit. This project developed QCampus Connect, an institutional, role-verified academic Q&amp;A platform for universities. The platform enables students to post coursework inquiries classified by department, while verified lecturers distinguished by academic ranks (Doctor, Professor, Engineer) provide authoritative answers. Real-time notifications alert lecturers to incoming departmental questions, while multi-format attachment tools support research documents, code, and diagrams. One-on-one direct messaging is provided as an auxiliary, encrypted channel for private consultations. To guarantee non-repudiation, SHA-256 payload digests are committed asynchronously to a local Hyperledger Besu blockchain running QBFT consensus via the MessageVerifier.sol smart contract. Client encryption is handled via the W3C Web Crypto API (RSA-OAEP 2048 and AES-GCM-256), supplemented by a simulated BB84 quantum key distribution module enforcing an 11% QBER abort threshold (Bennett &amp; Brassard, 2014/1984). Empirical benchmarks demonstrated mean message delivery latencies of ~50 ms and blockchain hash confirmation in ~0.35 s. QCampus Connect provides an accessible, audit-ready framework that eliminates personal channel intrusion and democratizes academic knowledge across campuses.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Smart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Academic Communication Platforms</w:t>
      </w:r>
    </w:p>
    <w:p>
      <w:pPr>
        <w:pStyle w:val="ListBullet"/>
      </w:pPr>
      <w:r>
        <w:rPr>
          <w:rFonts w:ascii="Times New Roman" w:hAnsi="Times New Roman" w:eastAsia="Times New Roman"/>
          <w:b w:val="0"/>
          <w:i w:val="0"/>
          <w:color w:val="000000"/>
          <w:sz w:val="24"/>
        </w:rPr>
        <w:t>Table 3.1 Convex Database Collections &amp; Indexing Strategies</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Subsystem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User Acceptance Testing Walk-Throughs</w:t>
      </w:r>
    </w:p>
    <w:p>
      <w:pPr>
        <w:pStyle w:val="ListBullet"/>
      </w:pPr>
      <w:r>
        <w:rPr>
          <w:rFonts w:ascii="Times New Roman" w:hAnsi="Times New Roman" w:eastAsia="Times New Roman"/>
          <w:b w:val="0"/>
          <w:i w:val="0"/>
          <w:color w:val="000000"/>
          <w:sz w:val="24"/>
        </w:rPr>
        <w:t>Table 4.4 Localhost Latency Benchmarks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LMS — Learning Management System</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Source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department routing queries, and cryptography helpers are detailed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the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Software simulation utilizing window.crypto.getRandomValues for random basis selection, bit sifting, QBER computation, and 256-bit AES key distillation with an 11% error abort threshold.</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Walk-through test notes confirmed that message payload hashes successfully committed to the Besu node when the Podman container was active, and gracefully alerted the interface when the ledger node was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