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Heading1"/>
      </w:pPr>
      <w:bookmarkStart w:id="20" w:name="abstract"/>
      <w:r>
        <w:t xml:space="preserve">Abstract</w:t>
      </w:r>
      <w:bookmarkEnd w:id="20"/>
    </w:p>
    <w:p>
      <w:pPr>
        <w:pStyle w:val="FirstParagraph"/>
      </w:pPr>
      <w:r>
        <w:t xml:space="preserve">Honeybee foraging is an extraordinary collective behaviour that is directed by the waggle dance communication system, whereby colony foraging effort is allocated through a series of feedback loops. Here, we present a mathematical framework to quantify how use of the waggle dance shifts in different landscape types. By decoding dances inside hives, we infer the proportion that are performed by bees that forage individually, and those that forage collectively. By applying this methodology to data from twenty hives, we show our model closely fits real-world honeybee foraging patterns and we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The extraordinary waggle dance communication system of honeybees (Apis spp.) is a key example of how social behaviour can take on a form extending beyond that of the individual units</w:t>
      </w:r>
      <w:r>
        <w:t xml:space="preserve"> </w:t>
      </w:r>
      <w:r>
        <w:t xml:space="preserve">(</w:t>
      </w:r>
      <w:r>
        <w:rPr>
          <w:i/>
        </w:rPr>
        <w:t xml:space="preserve">1</w:t>
      </w:r>
      <w:r>
        <w:t xml:space="preserve">)</w:t>
      </w:r>
      <w:r>
        <w:t xml:space="preserve">, such that groups function as collectives that make decisions as a single entity. Within colonies, a series of simple rules determine when and how much bees perform the waggle dance (Fig. 1) mean that choices between feeding sites occur at the level of the group rather than the individual</w:t>
      </w:r>
      <w:r>
        <w:t xml:space="preserve"> </w:t>
      </w:r>
      <w:r>
        <w:t xml:space="preserve">(</w:t>
      </w:r>
      <w:r>
        <w:rPr>
          <w:i/>
        </w:rPr>
        <w:t xml:space="preserve">2</w:t>
      </w:r>
      <w:r>
        <w:t xml:space="preserve">)</w:t>
      </w:r>
      <w:r>
        <w:t xml:space="preserve">. For example, because the number of dance circuits performed by a bee on returning from a food source reflects the net energetic benefits of the trip, more of the colony’s workforce will be recruited to the richer of two equidistant sources</w:t>
      </w:r>
      <w:r>
        <w:t xml:space="preserve"> </w:t>
      </w:r>
      <w:r>
        <w:t xml:space="preserve">(</w:t>
      </w:r>
      <w:r>
        <w:rPr>
          <w:i/>
        </w:rPr>
        <w:t xml:space="preserve">3</w:t>
      </w:r>
      <w:r>
        <w:t xml:space="preserve">)</w:t>
      </w:r>
      <w:r>
        <w:t xml:space="preserve">, or the closer of two equally rich sources</w:t>
      </w:r>
      <w:r>
        <w:t xml:space="preserve"> </w:t>
      </w:r>
      <w:r>
        <w:t xml:space="preserve">(</w:t>
      </w:r>
      <w:r>
        <w:rPr>
          <w:i/>
        </w:rPr>
        <w:t xml:space="preserve">4</w:t>
      </w:r>
      <w:r>
        <w:t xml:space="preserve">)</w:t>
      </w:r>
      <w:r>
        <w:t xml:space="preserve">. This is without requiring any individuals to visit multiple resources to make a direct comparison. The resulting colony-level decisions are a prime example of how self-organized collective behaviour could increase the foraging efficiency of groups.</w:t>
      </w:r>
    </w:p>
    <w:p>
      <w:pPr>
        <w:pStyle w:val="BodyText"/>
      </w:pPr>
      <w:r>
        <w:t xml:space="preserve">A wealth of research now shows that foraging bees frequently do not use dance information to find forage sites</w:t>
      </w:r>
      <w:r>
        <w:t xml:space="preserve"> </w:t>
      </w:r>
      <w:r>
        <w:t xml:space="preserve">(</w:t>
      </w:r>
      <w:r>
        <w:rPr>
          <w:i/>
        </w:rPr>
        <w:t xml:space="preserve">5</w:t>
      </w:r>
      <w:r>
        <w:t xml:space="preserve">)</w:t>
      </w:r>
      <w:r>
        <w:t xml:space="preserve">. Accordingly, in many situations, colonies that are prevented from communicating via dances achieve equal or even greater foraging success than their wild-type counterparts</w:t>
      </w:r>
      <w:r>
        <w:t xml:space="preserve"> </w:t>
      </w:r>
      <w:r>
        <w:t xml:space="preserve">(</w:t>
      </w:r>
      <w:r>
        <w:rPr>
          <w:i/>
        </w:rPr>
        <w:t xml:space="preserve">6</w:t>
      </w:r>
      <w:r>
        <w:t xml:space="preserve">–</w:t>
      </w:r>
      <w:r>
        <w:rPr>
          <w:i/>
        </w:rPr>
        <w:t xml:space="preserve">9</w:t>
      </w:r>
      <w:r>
        <w:t xml:space="preserve">)</w:t>
      </w:r>
      <w:r>
        <w:t xml:space="preserve">. This plasticity in the use of collective behaviour is intriguing because it may provide clues as to the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 Apis -unparalleled in even a single other social insect- remain obscure</w:t>
      </w:r>
      <w:r>
        <w:t xml:space="preserve"> </w:t>
      </w:r>
      <w:r>
        <w:t xml:space="preserve">(</w:t>
      </w:r>
      <w:r>
        <w:rPr>
          <w:i/>
        </w:rPr>
        <w:t xml:space="preserve">10</w:t>
      </w:r>
      <w:r>
        <w:t xml:space="preserve">)</w:t>
      </w:r>
      <w:r>
        <w:t xml:space="preserve">. While it is likely that the spatiotemporal distribution of forage was key, some studies find the benefits of dance communication to be realized only in challenging environments where resources are clumped or ephemeral</w:t>
      </w:r>
      <w:r>
        <w:t xml:space="preserve"> </w:t>
      </w:r>
      <w:r>
        <w:t xml:space="preserve">(</w:t>
      </w:r>
      <w:r>
        <w:rPr>
          <w:i/>
        </w:rPr>
        <w:t xml:space="preserve">6</w:t>
      </w:r>
      <w:r>
        <w:t xml:space="preserve">,</w:t>
      </w:r>
      <w:r>
        <w:t xml:space="preserve"> </w:t>
      </w:r>
      <w:r>
        <w:rPr>
          <w:i/>
        </w:rPr>
        <w:t xml:space="preserve">7</w:t>
      </w:r>
      <w:r>
        <w:t xml:space="preserve">,</w:t>
      </w:r>
      <w:r>
        <w:t xml:space="preserve"> </w:t>
      </w:r>
      <w:r>
        <w:rPr>
          <w:i/>
        </w:rPr>
        <w:t xml:space="preserve">11</w:t>
      </w:r>
      <w:r>
        <w:t xml:space="preserve">)</w:t>
      </w:r>
      <w:r>
        <w:t xml:space="preserve">, while others find no effects of landscape heterogeneity</w:t>
      </w:r>
      <w:r>
        <w:t xml:space="preserve"> </w:t>
      </w:r>
      <w:r>
        <w:t xml:space="preserve">(</w:t>
      </w:r>
      <w:r>
        <w:rPr>
          <w:i/>
        </w:rPr>
        <w:t xml:space="preserve">12</w:t>
      </w:r>
      <w:r>
        <w:t xml:space="preserve">)</w:t>
      </w:r>
      <w:r>
        <w:t xml:space="preserve">. Others have found that dancing comes at a cost in challenging environments</w:t>
      </w:r>
      <w:r>
        <w:t xml:space="preserve"> </w:t>
      </w:r>
      <w:r>
        <w:t xml:space="preserve">(</w:t>
      </w:r>
      <w:r>
        <w:rPr>
          <w:i/>
        </w:rPr>
        <w:t xml:space="preserve">9</w:t>
      </w:r>
      <w:r>
        <w:t xml:space="preserve">)</w:t>
      </w:r>
      <w:r>
        <w:t xml:space="preserve"> </w:t>
      </w:r>
      <w:r>
        <w:t xml:space="preserve">and is most beneficial when species richness is high</w:t>
      </w:r>
      <w:r>
        <w:t xml:space="preserve"> </w:t>
      </w:r>
      <w:r>
        <w:t xml:space="preserve">(</w:t>
      </w:r>
      <w:r>
        <w:rPr>
          <w:i/>
        </w:rPr>
        <w:t xml:space="preserve">13</w:t>
      </w:r>
      <w:r>
        <w:t xml:space="preserve">)</w:t>
      </w:r>
      <w:r>
        <w:t xml:space="preserve">. However, identifying how variation in landscape structure is associated with waggle dance use is practically difficult.</w:t>
      </w:r>
    </w:p>
    <w:p>
      <w:pPr>
        <w:pStyle w:val="BodyText"/>
      </w:pPr>
      <w:r>
        <w:t xml:space="preserve">Attempts to identify the circumstances in which dance communication is important have been challenging because they require constant monitoring of real-world colony weight</w:t>
      </w:r>
      <w:r>
        <w:t xml:space="preserve"> </w:t>
      </w:r>
      <w:r>
        <w:t xml:space="preserve">(</w:t>
      </w:r>
      <w:r>
        <w:rPr>
          <w:i/>
        </w:rPr>
        <w:t xml:space="preserve">6</w:t>
      </w:r>
      <w:r>
        <w:t xml:space="preserve">,</w:t>
      </w:r>
      <w:r>
        <w:t xml:space="preserve"> </w:t>
      </w:r>
      <w:r>
        <w:rPr>
          <w:i/>
        </w:rPr>
        <w:t xml:space="preserve">7</w:t>
      </w:r>
      <w:r>
        <w:t xml:space="preserve">,</w:t>
      </w:r>
      <w:r>
        <w:t xml:space="preserve"> </w:t>
      </w:r>
      <w:r>
        <w:rPr>
          <w:i/>
        </w:rPr>
        <w:t xml:space="preserve">11</w:t>
      </w:r>
      <w:r>
        <w:t xml:space="preserve">,</w:t>
      </w:r>
      <w:r>
        <w:t xml:space="preserve"> </w:t>
      </w:r>
      <w:r>
        <w:rPr>
          <w:i/>
        </w:rPr>
        <w:t xml:space="preserve">12</w:t>
      </w:r>
      <w:r>
        <w:t xml:space="preserve">,</w:t>
      </w:r>
      <w:r>
        <w:t xml:space="preserve"> </w:t>
      </w:r>
      <w:r>
        <w:rPr>
          <w:i/>
        </w:rPr>
        <w:t xml:space="preserve">14</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15</w:t>
      </w:r>
      <w:r>
        <w:t xml:space="preserve">)</w:t>
      </w:r>
      <w:r>
        <w:t xml:space="preserve">. To do this at a scale that allows inter-colony variation in foraging environments at sufficient replication is a major logistical hurdle (but see</w:t>
      </w:r>
      <w:r>
        <w:t xml:space="preserve"> </w:t>
      </w:r>
      <w:r>
        <w:t xml:space="preserve">(</w:t>
      </w:r>
      <w:r>
        <w:rPr>
          <w:i/>
        </w:rPr>
        <w:t xml:space="preserve">12</w:t>
      </w:r>
      <w:r>
        <w:t xml:space="preserve">)</w:t>
      </w:r>
      <w:r>
        <w:t xml:space="preserve">), particularly given that multiple landscape variables may interact to determine the utility of dance communication.</w:t>
      </w:r>
    </w:p>
    <w:p>
      <w:pPr>
        <w:pStyle w:val="CaptionedFigure"/>
      </w:pPr>
      <w:r>
        <w:drawing>
          <wp:inline>
            <wp:extent cx="4385450" cy="2119328"/>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 (16).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2, 16–19). Although bees that follow dances do not specifically interpret this information on an individual level (3), the resulting over-representation of high-quality sites on the dance-floor means that they are more likely to encounter dances that advertise better forage (20), and provides the colony with a mechanism to select the most profitable resources in their environment (21)."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4385450" cy="2119328"/>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t xml:space="preserve"> </w:t>
      </w:r>
      <w:r>
        <w:t xml:space="preserve">(</w:t>
      </w:r>
      <w:r>
        <w:rPr>
          <w:i/>
        </w:rPr>
        <w:t xml:space="preserve">16</w:t>
      </w:r>
      <w:r>
        <w:t xml:space="preserve">)</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2</w:t>
      </w:r>
      <w:r>
        <w:t xml:space="preserve">,</w:t>
      </w:r>
      <w:r>
        <w:t xml:space="preserve"> </w:t>
      </w:r>
      <w:r>
        <w:rPr>
          <w:i/>
        </w:rPr>
        <w:t xml:space="preserve">16</w:t>
      </w:r>
      <w:r>
        <w:t xml:space="preserve">–</w:t>
      </w:r>
      <w:r>
        <w:rPr>
          <w:i/>
        </w:rPr>
        <w:t xml:space="preserve">19</w:t>
      </w:r>
      <w:r>
        <w:t xml:space="preserve">)</w:t>
      </w:r>
      <w:r>
        <w:t xml:space="preserve">. Although bees that follow dances do not specifically interpret this information on an individual level</w:t>
      </w:r>
      <w:r>
        <w:t xml:space="preserve"> </w:t>
      </w:r>
      <w:r>
        <w:t xml:space="preserve">(</w:t>
      </w:r>
      <w:r>
        <w:rPr>
          <w:i/>
        </w:rPr>
        <w:t xml:space="preserve">3</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20</w:t>
      </w:r>
      <w:r>
        <w:t xml:space="preserve">)</w:t>
      </w:r>
      <w:r>
        <w:t xml:space="preserve">, and provides the colony with a mechanism to select the most profitable resources in their environment</w:t>
      </w:r>
      <w:r>
        <w:t xml:space="preserve"> </w:t>
      </w:r>
      <w:r>
        <w:t xml:space="preserve">(</w:t>
      </w:r>
      <w:r>
        <w:rPr>
          <w:i/>
        </w:rPr>
        <w:t xml:space="preserve">21</w:t>
      </w:r>
      <w:r>
        <w:t xml:space="preserve">)</w:t>
      </w:r>
      <w:r>
        <w:t xml:space="preserv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t xml:space="preserve"> </w:t>
      </w:r>
      <w:r>
        <w:t xml:space="preserve">(</w:t>
      </w:r>
      <w:r>
        <w:rPr>
          <w:i/>
        </w:rPr>
        <w:t xml:space="preserve">20</w:t>
      </w:r>
      <w:r>
        <w:t xml:space="preserve">)</w:t>
      </w:r>
      <w:r>
        <w:t xml:space="preserve">. Previously, the relative amount of scouting and recruitment trips have only been quantifiable by documenting foragers’ individual search history, which requires tracking individual bees and is time -and labour- intensive</w:t>
      </w:r>
      <w:r>
        <w:t xml:space="preserve"> </w:t>
      </w:r>
      <w:r>
        <w:t xml:space="preserve">(</w:t>
      </w:r>
      <w:r>
        <w:rPr>
          <w:i/>
        </w:rPr>
        <w:t xml:space="preserve">20</w:t>
      </w:r>
      <w:r>
        <w:t xml:space="preserve">)</w:t>
      </w:r>
      <w:r>
        <w:t xml:space="preserve">. Our methods provide an efficient means of quantifying collective behaviour with no requirement to manipulate hive orientations, assay foraging efficiency or document individuals’ previous experience. As such, they can identify when colonies adopt a collective foraging strategy- a critical step towards understanding when such a strategy outperforms individual-level behaviour.</w:t>
      </w:r>
    </w:p>
    <w:p>
      <w:pPr>
        <w:pStyle w:val="Heading1"/>
      </w:pPr>
      <w:bookmarkStart w:id="23" w:name="results"/>
      <w:r>
        <w:t xml:space="preserve">Results</w:t>
      </w:r>
      <w:bookmarkEnd w:id="23"/>
    </w:p>
    <w:p>
      <w:pPr>
        <w:pStyle w:val="FirstParagraph"/>
      </w:pPr>
      <w:r>
        <w:t xml:space="preserve">The patterns of waggle dance-encoded foraging distances might differ under scenarios where colonies rely on individual search versus recruitment. To show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22</w:t>
      </w:r>
      <w:r>
        <w:t xml:space="preserve">)</w:t>
      </w:r>
      <w:r>
        <w:t xml:space="preserve"> </w:t>
      </w:r>
      <w:r>
        <w:t xml:space="preserve">(Fig. 2a,b, details in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t xml:space="preserve"> </w:t>
      </w:r>
      <w:r>
        <w:t xml:space="preserve">(</w:t>
      </w:r>
      <w:r>
        <w:rPr>
          <w:i/>
        </w:rPr>
        <w:t xml:space="preserve">23</w:t>
      </w:r>
      <w:r>
        <w:t xml:space="preserve">)</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2</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2</w:t>
      </w:r>
      <w:r>
        <w:t xml:space="preserve">,</w:t>
      </w:r>
      <w:r>
        <w:t xml:space="preserve"> </w:t>
      </w:r>
      <w:r>
        <w:rPr>
          <w:i/>
        </w:rPr>
        <w:t xml:space="preserve">21</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24</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25</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83579" cy="3033728"/>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183579" cy="3033728"/>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26</w:t>
      </w:r>
      <w:r>
        <w:t xml:space="preserve">)</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26</w:t>
      </w:r>
      <w:r>
        <w:t xml:space="preserve">–</w:t>
      </w:r>
      <w:r>
        <w:rPr>
          <w:i/>
        </w:rPr>
        <w:t xml:space="preserve">28</w:t>
      </w:r>
      <w:r>
        <w:t xml:space="preserve">)</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w:t>
      </w:r>
      <w:r>
        <w:rPr>
          <w:i/>
        </w:rPr>
        <w:t xml:space="preserve">29</w:t>
      </w:r>
      <w:r>
        <w:t xml:space="preserve">,</w:t>
      </w:r>
      <w:r>
        <w:t xml:space="preserve"> </w:t>
      </w:r>
      <w:r>
        <w:rPr>
          <w:i/>
        </w:rPr>
        <w:t xml:space="preserve">30</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4180551" cy="3183579"/>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4180551" cy="3183579"/>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31</w:t>
      </w:r>
      <w:r>
        <w:t xml:space="preserve">)</w:t>
      </w:r>
      <w:r>
        <w:t xml:space="preserve">, although it has also been shown that bees may cease dance following if it is proving unproductive</w:t>
      </w:r>
      <w:r>
        <w:t xml:space="preserve"> </w:t>
      </w:r>
      <w:r>
        <w:t xml:space="preserve">(</w:t>
      </w:r>
      <w:r>
        <w:rPr>
          <w:i/>
        </w:rPr>
        <w:t xml:space="preserve">9</w:t>
      </w:r>
      <w:r>
        <w:t xml:space="preserve">,</w:t>
      </w:r>
      <w:r>
        <w:t xml:space="preserve"> </w:t>
      </w:r>
      <w:r>
        <w:rPr>
          <w:i/>
        </w:rPr>
        <w:t xml:space="preserve">31</w:t>
      </w:r>
      <w:r>
        <w:t xml:space="preserve">)</w:t>
      </w:r>
      <w:r>
        <w:t xml:space="preserve">. Evaluating how these individual decisions influence the collective, however, has historically been a challenge as it is effectively impossible to track an individual’s foraging behaviour over a landscape. As our results show that our model of individual foraging provides a good fit to colony foraging in 11 different sites, and provides a more parsimonious description of foraging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32</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t xml:space="preserve"> </w:t>
      </w:r>
      <w:r>
        <w:t xml:space="preserve">(</w:t>
      </w:r>
      <w:r>
        <w:rPr>
          <w:i/>
        </w:rPr>
        <w:t xml:space="preserve">33</w:t>
      </w:r>
      <w:r>
        <w:t xml:space="preserve">)</w:t>
      </w:r>
      <w:r>
        <w:t xml:space="preserve"> </w:t>
      </w:r>
      <w:r>
        <w:t xml:space="preserve">(see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pPr>
        <w:pStyle w:val="BodyText"/>
      </w:pPr>
      <w:r>
        <w:t xml:space="preserve">In the agri-rural environments the first principal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34</w:t>
      </w:r>
      <w:r>
        <w:t xml:space="preserve">)</w:t>
      </w:r>
      <w:r>
        <w:t xml:space="preserve">.</w:t>
      </w:r>
    </w:p>
    <w:p>
      <w:pPr>
        <w:pStyle w:val="TableCaption"/>
      </w:pPr>
      <w:r>
        <w:rPr>
          <w:rFonts/>
          <w:b w:val="true"/>
        </w:rPr>
        <w:t xml:space="preserve">Table </w:t>
      </w:r>
      <w:bookmarkStart w:id="e01b7bce-6fa2-4a38-80f2-698ecb97624b"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1b7bce-6fa2-4a38-80f2-698ecb97624b"/>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our findings were more equivocal.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correlated negatively with the dominant land-use type by coverage, sparse residential (land coverage ~35%; Table 1), as would be expected if the proportion of scouts decreases when rich forage is available, since such land includes a high proportion of gardens. However, this relationship is very sensitive to site removal through the jackknife sampling (Supplementary Fig. 2.), and is not a significant contributor to the variance in the loadings (Fig. 5c.). Furthermore, the first principal component also correlates positively with parks, allotments and cemeteries (8% of land cover; also railways but these constitute ~1% of land cover; Table 1), which would typically be considered forage-rich for honeybees</w:t>
      </w:r>
      <w:r>
        <w:t xml:space="preserve"> </w:t>
      </w:r>
      <w:r>
        <w:t xml:space="preserve">(</w:t>
      </w:r>
      <w:r>
        <w:rPr>
          <w:i/>
        </w:rPr>
        <w:t xml:space="preserve">34</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
      <w:r>
        <w:t xml:space="preserve">Discussion</w:t>
      </w:r>
      <w:bookmarkEnd w:id="28"/>
    </w:p>
    <w:p>
      <w:pPr>
        <w:pStyle w:val="FirstParagraph"/>
      </w:pPr>
      <w:r>
        <w:t xml:space="preserve">Wwe have presented a model to quantify the use of waggle-dance communication in collective decision-making by honeybee colonies. Whilst recruitment is well known to occur through other mechanisms besides the waggle dance, such as through olfactory cues</w:t>
      </w:r>
      <w:r>
        <w:t xml:space="preserve"> </w:t>
      </w:r>
      <w:r>
        <w:t xml:space="preserve">(</w:t>
      </w:r>
      <w:r>
        <w:rPr>
          <w:i/>
        </w:rPr>
        <w:t xml:space="preserve">35</w:t>
      </w:r>
      <w:r>
        <w:t xml:space="preserve">)</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Our model provides a tool to map the environment along the major axis of honeybee information use and visualise how land-use influences the use of the waggle dance and thus identifies the land-use combinations which most influence variation in the proportion of scouts.</w:t>
      </w:r>
    </w:p>
    <w:p>
      <w:pPr>
        <w:pStyle w:val="BodyText"/>
      </w:pPr>
      <w:r>
        <w:t xml:space="preserve">Whilst our results show a decrease in reliance on waggle dance recruitment as resources become harder to find and foraging trips become longer</w:t>
      </w:r>
      <w:r>
        <w:t xml:space="preserve"> </w:t>
      </w:r>
      <w:r>
        <w:t xml:space="preserve">(</w:t>
      </w:r>
      <w:r>
        <w:rPr>
          <w:i/>
        </w:rPr>
        <w:t xml:space="preserve">26</w:t>
      </w:r>
      <w:r>
        <w:t xml:space="preserve">)</w:t>
      </w:r>
      <w:r>
        <w:t xml:space="preserve">, they do not yet provide conclusive evidence for such a pattern. Although the agri-rural results agree with this assessment, the urban results seem to go against this trend. As we used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w:t>
      </w:r>
      <w:r>
        <w:rPr>
          <w:i/>
        </w:rPr>
        <w:t xml:space="preserve">15</w:t>
      </w:r>
      <w:r>
        <w:t xml:space="preserve">)</w:t>
      </w:r>
      <w:r>
        <w:t xml:space="preserve">, may also have contributed to our estimates of waggle dance use. Our findings illustrate how our model can be used to estimate reliance on collective behaviour within different landscapes, for exploration within datasets where land-use is systematically chosen by design.</w:t>
      </w:r>
    </w:p>
    <w:p>
      <w:pPr>
        <w:pStyle w:val="BodyText"/>
      </w:pPr>
      <w:r>
        <w:t xml:space="preserve">Our results within the agri-rural sites are in agreement with other studies which evaluated foraging performance with and without the dance</w:t>
      </w:r>
      <w:r>
        <w:t xml:space="preserve"> </w:t>
      </w:r>
      <w:r>
        <w:t xml:space="preserve">(</w:t>
      </w:r>
      <w:r>
        <w:rPr>
          <w:i/>
        </w:rPr>
        <w:t xml:space="preserve">9</w:t>
      </w:r>
      <w:r>
        <w:t xml:space="preserve">,</w:t>
      </w:r>
      <w:r>
        <w:t xml:space="preserve"> </w:t>
      </w:r>
      <w:r>
        <w:rPr>
          <w:i/>
        </w:rPr>
        <w:t xml:space="preserve">11</w:t>
      </w:r>
      <w:r>
        <w:t xml:space="preserve">)</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 The methods described here can also provide a framework to start exploring how collective decision making can help to buffer the effects of landscape change, and in this case how flexibility in the use of the waggle dance may help to exploit resources when experiencing novel landscape mosaics such as in the highly urbanised conurbations.</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t>
      </w:r>
      <w:r>
        <w:rPr>
          <w:i/>
        </w:rPr>
        <w:t xml:space="preserve">36</w:t>
      </w:r>
      <w:r>
        <w:t xml:space="preserve">)</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t>
      </w:r>
      <w:r>
        <w:rPr>
          <w:i/>
        </w:rPr>
        <w:t xml:space="preserve">37</w:t>
      </w:r>
      <w:r>
        <w:t xml:space="preserve">)</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29" w:name="materials-and-methods"/>
      <w:r>
        <w:t xml:space="preserve">Materials and Methods</w:t>
      </w:r>
      <w:bookmarkEnd w:id="29"/>
    </w:p>
    <w:p>
      <w:pPr>
        <w:pStyle w:val="Heading2"/>
      </w:pPr>
      <w:bookmarkStart w:id="30" w:name="data-collection"/>
      <w:r>
        <w:t xml:space="preserve">Data collection</w:t>
      </w:r>
      <w:bookmarkEnd w:id="30"/>
    </w:p>
    <w:p>
      <w:pPr>
        <w:pStyle w:val="FirstParagraph"/>
      </w:pPr>
      <w:r>
        <w:t xml:space="preserve">Methods for how the data used for this study was collected can be found in full in Materials and Methods sections 2.1, 2.2 and 2.3 of</w:t>
      </w:r>
      <w:r>
        <w:t xml:space="preserve"> </w:t>
      </w:r>
      <w:r>
        <w:t xml:space="preserve">(</w:t>
      </w:r>
      <w:r>
        <w:rPr>
          <w:i/>
        </w:rPr>
        <w:t xml:space="preserve">26</w:t>
      </w:r>
      <w:r>
        <w:t xml:space="preserve">)</w:t>
      </w:r>
      <w:r>
        <w:t xml:space="preserve">.</w:t>
      </w:r>
    </w:p>
    <w:p>
      <w:pPr>
        <w:pStyle w:val="Heading3"/>
      </w:pPr>
      <w:bookmarkStart w:id="31" w:name="land-use-preference-analysis"/>
      <w:r>
        <w:t xml:space="preserve">Land-use preference analysis</w:t>
      </w:r>
      <w:bookmarkEnd w:id="31"/>
    </w:p>
    <w:p>
      <w:pPr>
        <w:pStyle w:val="FirstParagraph"/>
      </w:pPr>
      <w:r>
        <w:t xml:space="preserve">Methods for how land-use types were classified can be found in Materials and Methods sections 2.6 of</w:t>
      </w:r>
      <w:r>
        <w:t xml:space="preserve"> </w:t>
      </w:r>
      <w:r>
        <w:t xml:space="preserve">(</w:t>
      </w:r>
      <w:r>
        <w:rPr>
          <w:i/>
        </w:rPr>
        <w:t xml:space="preserve">26</w:t>
      </w:r>
      <w:r>
        <w:t xml:space="preserve">)</w:t>
      </w:r>
      <w:r>
        <w:t xml:space="preserve">.</w:t>
      </w:r>
    </w:p>
    <w:p>
      <w:pPr>
        <w:pStyle w:val="Heading3"/>
      </w:pPr>
      <w:bookmarkStart w:id="32" w:name="waggle-dance-decoding"/>
      <w:r>
        <w:t xml:space="preserve">Waggle dance decoding</w:t>
      </w:r>
      <w:bookmarkEnd w:id="32"/>
    </w:p>
    <w:p>
      <w:pPr>
        <w:pStyle w:val="FirstParagraph"/>
      </w:pPr>
      <w:r>
        <w:t xml:space="preserve">Methods for waggle dance decoding are fully described in Materials and Methods section 2.4 in</w:t>
      </w:r>
      <w:r>
        <w:t xml:space="preserve"> </w:t>
      </w:r>
      <w:r>
        <w:t xml:space="preserve">(</w:t>
      </w:r>
      <w:r>
        <w:rPr>
          <w:i/>
        </w:rPr>
        <w:t xml:space="preserve">26</w:t>
      </w:r>
      <w:r>
        <w:t xml:space="preserve">)</w:t>
      </w:r>
      <w:r>
        <w:t xml:space="preserve">.</w:t>
      </w:r>
    </w:p>
    <w:p>
      <w:pPr>
        <w:pStyle w:val="Heading2"/>
      </w:pPr>
      <w:bookmarkStart w:id="33" w:name="simulation"/>
      <w:r>
        <w:t xml:space="preserve">Simulation</w:t>
      </w:r>
      <w:bookmarkEnd w:id="33"/>
    </w:p>
    <w:p>
      <w:pPr>
        <w:pStyle w:val="FirstParagraph"/>
      </w:pPr>
      <w:r>
        <w:t xml:space="preserve">All simulation code was written in Python version 3.9 and uses the Pandas</w:t>
      </w:r>
      <w:r>
        <w:t xml:space="preserve"> </w:t>
      </w:r>
      <w:r>
        <w:t xml:space="preserve">(</w:t>
      </w:r>
      <w:r>
        <w:rPr>
          <w:i/>
        </w:rPr>
        <w:t xml:space="preserve">38</w:t>
      </w:r>
      <w:r>
        <w:t xml:space="preserve">)</w:t>
      </w:r>
      <w:r>
        <w:t xml:space="preserve"> </w:t>
      </w:r>
      <w:r>
        <w:t xml:space="preserve">and Scipy</w:t>
      </w:r>
      <w:r>
        <w:t xml:space="preserve"> </w:t>
      </w:r>
      <w:r>
        <w:t xml:space="preserve">(</w:t>
      </w:r>
      <w:r>
        <w:rPr>
          <w:i/>
        </w:rPr>
        <w:t xml:space="preserve">39</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w:t>
      </w:r>
    </w:p>
    <w:p>
      <w:pPr>
        <w:pStyle w:val="BodyText"/>
      </w:pPr>
      <w:r>
        <w:t xml:space="preserve">One-hundred honeybee objects are created, 20 of which 20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4" w:name="model"/>
      <w:r>
        <w:t xml:space="preserve">Model</w:t>
      </w:r>
      <w:bookmarkEnd w:id="34"/>
    </w:p>
    <w:p>
      <w:pPr>
        <w:pStyle w:val="FirstParagraph"/>
      </w:pPr>
      <w:r>
        <w:t xml:space="preserve">To describe the distribution of dance durations on the dance floor we formulated a generic model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23</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 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 quality resources. Only if the nearest high 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 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5" w:name="statistical-analysis"/>
      <w:r>
        <w:t xml:space="preserve">Statistical analysis</w:t>
      </w:r>
      <w:bookmarkEnd w:id="35"/>
    </w:p>
    <w:p>
      <w:pPr>
        <w:pStyle w:val="FirstParagraph"/>
      </w:pPr>
      <w:r>
        <w:t xml:space="preserve">All analysis code is written in R</w:t>
      </w:r>
      <w:r>
        <w:t xml:space="preserve"> </w:t>
      </w:r>
      <w:r>
        <w:t xml:space="preserve">(</w:t>
      </w:r>
      <w:r>
        <w:rPr>
          <w:i/>
        </w:rPr>
        <w:t xml:space="preserve">40</w:t>
      </w:r>
      <w:r>
        <w:t xml:space="preserve">)</w:t>
      </w:r>
      <w:r>
        <w:t xml:space="preserve">.</w:t>
      </w:r>
    </w:p>
    <w:p>
      <w:pPr>
        <w:pStyle w:val="Heading3"/>
      </w:pPr>
      <w:bookmarkStart w:id="36" w:name="model-fitting"/>
      <w:r>
        <w:t xml:space="preserve">Model fitting</w:t>
      </w:r>
      <w:bookmarkEnd w:id="36"/>
    </w:p>
    <w:p>
      <w:pPr>
        <w:pStyle w:val="FirstParagraph"/>
      </w:pPr>
      <w:r>
        <w:t xml:space="preserve">All models are fit using Maximum likelihood estimation</w:t>
      </w:r>
      <w:r>
        <w:t xml:space="preserve"> </w:t>
      </w:r>
      <w:r>
        <w:t xml:space="preserve">(</w:t>
      </w:r>
      <w:r>
        <w:rPr>
          <w:i/>
        </w:rPr>
        <w:t xml:space="preserve">25</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41</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42</w:t>
      </w:r>
      <w:r>
        <w:t xml:space="preserve">)</w:t>
      </w:r>
      <w:r>
        <w:t xml:space="preserve"> </w:t>
      </w:r>
      <w:r>
        <w:t xml:space="preserve">and interfaced to R</w:t>
      </w:r>
      <w:r>
        <w:t xml:space="preserve"> </w:t>
      </w:r>
      <w:r>
        <w:t xml:space="preserve">(</w:t>
      </w:r>
      <w:r>
        <w:rPr>
          <w:i/>
        </w:rPr>
        <w:t xml:space="preserve">40</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43</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25</w:t>
      </w:r>
      <w:r>
        <w:t xml:space="preserve">,</w:t>
      </w:r>
      <w:r>
        <w:t xml:space="preserve"> </w:t>
      </w:r>
      <w:r>
        <w:rPr>
          <w:i/>
        </w:rPr>
        <w:t xml:space="preserve">44</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Kolmorgorov-Smirnov (KS) test</w:t>
      </w:r>
      <w:r>
        <w:t xml:space="preserve"> </w:t>
      </w:r>
      <w:r>
        <w:t xml:space="preserve">(</w:t>
      </w:r>
      <w:r>
        <w:rPr>
          <w:i/>
        </w:rPr>
        <w:t xml:space="preserve">29</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45</w:t>
      </w:r>
      <w:r>
        <w:t xml:space="preserve">)</w:t>
      </w:r>
      <w:r>
        <w:t xml:space="preserve">.</w:t>
      </w:r>
    </w:p>
    <w:p>
      <w:pPr>
        <w:pStyle w:val="Heading3"/>
      </w:pPr>
      <w:bookmarkStart w:id="37" w:name="partial-least-squares-analysis"/>
      <w:r>
        <w:t xml:space="preserve">Partial Least Squares analysis</w:t>
      </w:r>
      <w:bookmarkEnd w:id="37"/>
    </w:p>
    <w:p>
      <w:pPr>
        <w:pStyle w:val="FirstParagraph"/>
      </w:pPr>
      <w:r>
        <w:t xml:space="preserve">Prior to conducing the PLS we removed any sites in which the models fit was significantly different to the waggle dance durations for that site. This resulted in one agri-rural site (ROT) and no urban sites being removed from the analysis.</w:t>
      </w:r>
    </w:p>
    <w:p>
      <w:pPr>
        <w:pStyle w:val="BodyText"/>
      </w:pPr>
      <w:r>
        <w:t xml:space="preserve">As our estimated proportion of scouts is continuos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46</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47</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8" w:name="acknowledgments"/>
      <w:r>
        <w:t xml:space="preserve">Acknowledgments</w:t>
      </w:r>
      <w:bookmarkEnd w:id="38"/>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data and code is available on zenodo at….</w:t>
      </w:r>
    </w:p>
    <w:p>
      <w:pPr>
        <w:pStyle w:val="Heading1"/>
      </w:pPr>
      <w:bookmarkStart w:id="39" w:name="references"/>
      <w:r>
        <w:t xml:space="preserve">References</w:t>
      </w:r>
      <w:bookmarkEnd w:id="39"/>
    </w:p>
    <w:bookmarkStart w:id="93" w:name="refs"/>
    <w:bookmarkStart w:id="40"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40"/>
    <w:bookmarkStart w:id="41" w:name="ref-Seeley1994"/>
    <w:p>
      <w:pPr>
        <w:pStyle w:val="Bibliography"/>
      </w:pPr>
      <w:r>
        <w:t xml:space="preserve">2.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41"/>
    <w:bookmarkStart w:id="42" w:name="ref-Seeley1991"/>
    <w:p>
      <w:pPr>
        <w:pStyle w:val="Bibliography"/>
      </w:pPr>
      <w:r>
        <w:t xml:space="preserve">3.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42"/>
    <w:bookmarkStart w:id="43" w:name="ref-Hasenjager2022"/>
    <w:p>
      <w:pPr>
        <w:pStyle w:val="Bibliography"/>
      </w:pPr>
      <w:r>
        <w:t xml:space="preserve">4.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43"/>
    <w:bookmarkStart w:id="44" w:name="ref-Gruter2009"/>
    <w:p>
      <w:pPr>
        <w:pStyle w:val="Bibliography"/>
      </w:pPr>
      <w:r>
        <w:t xml:space="preserve">5.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44"/>
    <w:bookmarkStart w:id="45" w:name="ref-Sherman2002"/>
    <w:p>
      <w:pPr>
        <w:pStyle w:val="Bibliography"/>
      </w:pPr>
      <w:r>
        <w:t xml:space="preserve">6.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45"/>
    <w:bookmarkStart w:id="46" w:name="ref-Dornhaus2004"/>
    <w:p>
      <w:pPr>
        <w:pStyle w:val="Bibliography"/>
      </w:pPr>
      <w:r>
        <w:t xml:space="preserve">7.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46"/>
    <w:bookmarkStart w:id="47" w:name="ref-Gruter2013"/>
    <w:p>
      <w:pPr>
        <w:pStyle w:val="Bibliography"/>
      </w:pPr>
      <w:r>
        <w:t xml:space="preserve">8. C. Grüter, F. H. Segers, F. L. Ratnieks, Social learning strategies in honeybee foragers: Do the costs of using private information affect the use of social information?</w:t>
      </w:r>
      <w:r>
        <w:t xml:space="preserve"> </w:t>
      </w:r>
      <w:r>
        <w:rPr>
          <w:i/>
        </w:rPr>
        <w:t xml:space="preserve">Animal Behaviour</w:t>
      </w:r>
      <w:r>
        <w:t xml:space="preserve">.</w:t>
      </w:r>
      <w:r>
        <w:t xml:space="preserve"> </w:t>
      </w:r>
      <w:r>
        <w:rPr>
          <w:b/>
        </w:rPr>
        <w:t xml:space="preserve">85</w:t>
      </w:r>
      <w:r>
        <w:t xml:space="preserve">, 1443–1449 (2013).</w:t>
      </w:r>
    </w:p>
    <w:bookmarkEnd w:id="47"/>
    <w:bookmarkStart w:id="49" w:name="ref-Price2019"/>
    <w:p>
      <w:pPr>
        <w:pStyle w:val="Bibliography"/>
      </w:pPr>
      <w:r>
        <w:t xml:space="preserve">9. R. I’Anson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48">
        <w:r>
          <w:rPr>
            <w:rStyle w:val="Hyperlink"/>
          </w:rPr>
          <w:t xml:space="preserve">10.1126/sciadv.aat0450</w:t>
        </w:r>
      </w:hyperlink>
      <w:r>
        <w:t xml:space="preserve">.</w:t>
      </w:r>
    </w:p>
    <w:bookmarkEnd w:id="49"/>
    <w:bookmarkStart w:id="50" w:name="ref-Price2015"/>
    <w:p>
      <w:pPr>
        <w:pStyle w:val="Bibliography"/>
      </w:pPr>
      <w:r>
        <w:t xml:space="preserve">10. R. I’Anson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50"/>
    <w:bookmarkStart w:id="51" w:name="ref-Dornhaus2006"/>
    <w:p>
      <w:pPr>
        <w:pStyle w:val="Bibliography"/>
      </w:pPr>
      <w:r>
        <w:t xml:space="preserve">11.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51"/>
    <w:bookmarkStart w:id="52" w:name="ref-Nurnberger2017"/>
    <w:p>
      <w:pPr>
        <w:pStyle w:val="Bibliography"/>
      </w:pPr>
      <w:r>
        <w:t xml:space="preserve">12.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52"/>
    <w:bookmarkStart w:id="53" w:name="ref-Donaldson-Matasci2012"/>
    <w:p>
      <w:pPr>
        <w:pStyle w:val="Bibliography"/>
      </w:pPr>
      <w:r>
        <w:t xml:space="preserve">13.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53"/>
    <w:bookmarkStart w:id="54" w:name="ref-Kirchner1998"/>
    <w:p>
      <w:pPr>
        <w:pStyle w:val="Bibliography"/>
      </w:pPr>
      <w:r>
        <w:t xml:space="preserve">14.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54"/>
    <w:bookmarkStart w:id="55" w:name="ref-Schurch2014"/>
    <w:p>
      <w:pPr>
        <w:pStyle w:val="Bibliography"/>
      </w:pPr>
      <w:r>
        <w:t xml:space="preserve">15.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55"/>
    <w:bookmarkStart w:id="56" w:name="ref-Frisch1993"/>
    <w:p>
      <w:pPr>
        <w:pStyle w:val="Bibliography"/>
      </w:pPr>
      <w:r>
        <w:t xml:space="preserve">16. K. Von Frisch,</w:t>
      </w:r>
      <w:r>
        <w:t xml:space="preserve"> </w:t>
      </w:r>
      <w:r>
        <w:rPr>
          <w:i/>
        </w:rPr>
        <w:t xml:space="preserve">The Dance Language and Orientation of Bees</w:t>
      </w:r>
      <w:r>
        <w:t xml:space="preserve"> </w:t>
      </w:r>
      <w:r>
        <w:t xml:space="preserve">(Harvard University Press, 1967).</w:t>
      </w:r>
    </w:p>
    <w:bookmarkEnd w:id="56"/>
    <w:bookmarkStart w:id="57" w:name="ref-Boch1956"/>
    <w:p>
      <w:pPr>
        <w:pStyle w:val="Bibliography"/>
      </w:pPr>
      <w:r>
        <w:t xml:space="preserve">17.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57"/>
    <w:bookmarkStart w:id="58" w:name="ref-Esch1961"/>
    <w:p>
      <w:pPr>
        <w:pStyle w:val="Bibliography"/>
      </w:pPr>
      <w:r>
        <w:t xml:space="preserve">18.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58"/>
    <w:bookmarkStart w:id="59" w:name="ref-Seeley2000"/>
    <w:p>
      <w:pPr>
        <w:pStyle w:val="Bibliography"/>
      </w:pPr>
      <w:r>
        <w:t xml:space="preserve">19.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59"/>
    <w:bookmarkStart w:id="61" w:name="ref-Seeley1995"/>
    <w:p>
      <w:pPr>
        <w:pStyle w:val="Bibliography"/>
      </w:pPr>
      <w:r>
        <w:t xml:space="preserve">20. T. Seeley,</w:t>
      </w:r>
      <w:r>
        <w:t xml:space="preserve"> </w:t>
      </w:r>
      <w:r>
        <w:rPr>
          <w:i/>
        </w:rPr>
        <w:t xml:space="preserve">The Wisdom of the Hive</w:t>
      </w:r>
      <w:r>
        <w:t xml:space="preserve"> </w:t>
      </w:r>
      <w:r>
        <w:t xml:space="preserve">(1995;</w:t>
      </w:r>
      <w:r>
        <w:t xml:space="preserve"> </w:t>
      </w:r>
      <w:hyperlink r:id="rId60">
        <w:r>
          <w:rPr>
            <w:rStyle w:val="Hyperlink"/>
          </w:rPr>
          <w:t xml:space="preserve">https://pdfs.semanticscholar.org/3230/a6f96e88dc64ca33e1ac7915dda906e1888e.pdf</w:t>
        </w:r>
      </w:hyperlink>
      <w:r>
        <w:t xml:space="preserve">).</w:t>
      </w:r>
    </w:p>
    <w:bookmarkEnd w:id="61"/>
    <w:bookmarkStart w:id="62" w:name="ref-Seeley1994A"/>
    <w:p>
      <w:pPr>
        <w:pStyle w:val="Bibliography"/>
      </w:pPr>
      <w:r>
        <w:t xml:space="preserve">21.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62"/>
    <w:bookmarkStart w:id="63" w:name="ref-Seeley1992"/>
    <w:p>
      <w:pPr>
        <w:pStyle w:val="Bibliography"/>
      </w:pPr>
      <w:r>
        <w:t xml:space="preserve">22.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63"/>
    <w:bookmarkStart w:id="64" w:name="ref-Pyke1978"/>
    <w:p>
      <w:pPr>
        <w:pStyle w:val="Bibliography"/>
      </w:pPr>
      <w:r>
        <w:t xml:space="preserve">23. G. H. Pyke, Optimal foraging in bumblebees and coevolution with their plants.</w:t>
      </w:r>
      <w:r>
        <w:t xml:space="preserve"> </w:t>
      </w:r>
      <w:r>
        <w:rPr>
          <w:i/>
        </w:rPr>
        <w:t xml:space="preserve">Oecologia 1978 36:3</w:t>
      </w:r>
      <w:r>
        <w:t xml:space="preserve">.</w:t>
      </w:r>
      <w:r>
        <w:t xml:space="preserve"> </w:t>
      </w:r>
      <w:r>
        <w:rPr>
          <w:b/>
        </w:rPr>
        <w:t xml:space="preserve">36</w:t>
      </w:r>
      <w:r>
        <w:t xml:space="preserve">, 281–293 (1978).</w:t>
      </w:r>
    </w:p>
    <w:bookmarkEnd w:id="64"/>
    <w:bookmarkStart w:id="65" w:name="ref-Beekman2007"/>
    <w:p>
      <w:pPr>
        <w:pStyle w:val="Bibliography"/>
      </w:pPr>
      <w:r>
        <w:t xml:space="preserve">24.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65"/>
    <w:bookmarkStart w:id="66" w:name="ref-Burnham2002"/>
    <w:p>
      <w:pPr>
        <w:pStyle w:val="Bibliography"/>
      </w:pPr>
      <w:r>
        <w:t xml:space="preserve">25. K. Burnham, D. Anderson,</w:t>
      </w:r>
      <w:r>
        <w:t xml:space="preserve"> </w:t>
      </w:r>
      <w:r>
        <w:rPr>
          <w:i/>
        </w:rPr>
        <w:t xml:space="preserve">Model Selection and Multimodel Inference: A Practical Information-Theoretic Approach.</w:t>
      </w:r>
      <w:r>
        <w:t xml:space="preserve"> </w:t>
      </w:r>
      <w:r>
        <w:t xml:space="preserve">(Springer New York, New York, ed. 2, 2002).</w:t>
      </w:r>
    </w:p>
    <w:bookmarkEnd w:id="66"/>
    <w:bookmarkStart w:id="68" w:name="ref-Samuelson2021"/>
    <w:p>
      <w:pPr>
        <w:pStyle w:val="Bibliography"/>
      </w:pPr>
      <w:r>
        <w:t xml:space="preserve">26.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67">
        <w:r>
          <w:rPr>
            <w:rStyle w:val="Hyperlink"/>
          </w:rPr>
          <w:t xml:space="preserve">10.1111/1365-2664.14011</w:t>
        </w:r>
      </w:hyperlink>
      <w:r>
        <w:t xml:space="preserve">.</w:t>
      </w:r>
    </w:p>
    <w:bookmarkEnd w:id="68"/>
    <w:bookmarkStart w:id="69" w:name="ref-Couvillon2012"/>
    <w:p>
      <w:pPr>
        <w:pStyle w:val="Bibliography"/>
      </w:pPr>
      <w:r>
        <w:t xml:space="preserve">27. M. J. Couvillon, F. C. Riddell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69"/>
    <w:bookmarkStart w:id="70" w:name="ref-Schurch2019"/>
    <w:p>
      <w:pPr>
        <w:pStyle w:val="Bibliography"/>
      </w:pPr>
      <w:r>
        <w:t xml:space="preserve">28.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0"/>
    <w:bookmarkStart w:id="71" w:name="ref-Goldstein2004"/>
    <w:p>
      <w:pPr>
        <w:pStyle w:val="Bibliography"/>
      </w:pPr>
      <w:r>
        <w:t xml:space="preserve">29.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1"/>
    <w:bookmarkStart w:id="73" w:name="ref-Clauset2009"/>
    <w:p>
      <w:pPr>
        <w:pStyle w:val="Bibliography"/>
      </w:pPr>
      <w:r>
        <w:t xml:space="preserve">30. A. Clauset, C. Rohilla Shalizi, M. E. J Newman, POWER-LAW DISTRIBUTIONS IN EMPIRICAL DATA (2009) (available at</w:t>
      </w:r>
      <w:r>
        <w:t xml:space="preserve"> </w:t>
      </w:r>
      <w:hyperlink r:id="rId72">
        <w:r>
          <w:rPr>
            <w:rStyle w:val="Hyperlink"/>
          </w:rPr>
          <w:t xml:space="preserve">http://www.santafe.edu/$\sim$aaronc/powerlaws/.</w:t>
        </w:r>
      </w:hyperlink>
      <w:r>
        <w:t xml:space="preserve">).</w:t>
      </w:r>
    </w:p>
    <w:bookmarkEnd w:id="73"/>
    <w:bookmarkStart w:id="74" w:name="ref-Gruter2011"/>
    <w:p>
      <w:pPr>
        <w:pStyle w:val="Bibliography"/>
      </w:pPr>
      <w:r>
        <w:t xml:space="preserve">31.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74"/>
    <w:bookmarkStart w:id="75" w:name="ref-Samuelson2018"/>
    <w:p>
      <w:pPr>
        <w:pStyle w:val="Bibliography"/>
      </w:pPr>
      <w:r>
        <w:t xml:space="preserve">32.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75"/>
    <w:bookmarkStart w:id="76" w:name="ref-Carrascal2009"/>
    <w:p>
      <w:pPr>
        <w:pStyle w:val="Bibliography"/>
      </w:pPr>
      <w:r>
        <w:t xml:space="preserve">33.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76"/>
    <w:bookmarkStart w:id="77" w:name="ref-Baldock2019"/>
    <w:p>
      <w:pPr>
        <w:pStyle w:val="Bibliography"/>
      </w:pPr>
      <w:r>
        <w:t xml:space="preserve">34.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77"/>
    <w:bookmarkStart w:id="78" w:name="ref-Arenas2007"/>
    <w:p>
      <w:pPr>
        <w:pStyle w:val="Bibliography"/>
      </w:pPr>
      <w:r>
        <w:t xml:space="preserve">35.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78"/>
    <w:bookmarkStart w:id="79" w:name="ref-Wild2021"/>
    <w:p>
      <w:pPr>
        <w:pStyle w:val="Bibliography"/>
      </w:pPr>
      <w:r>
        <w:t xml:space="preserve">36.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79"/>
    <w:bookmarkStart w:id="80" w:name="ref-Wario2017"/>
    <w:p>
      <w:pPr>
        <w:pStyle w:val="Bibliography"/>
      </w:pPr>
      <w:r>
        <w:t xml:space="preserve">37.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80"/>
    <w:bookmarkStart w:id="81" w:name="ref-Mckinney2011"/>
    <w:p>
      <w:pPr>
        <w:pStyle w:val="Bibliography"/>
      </w:pPr>
      <w:r>
        <w:t xml:space="preserve">38.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81"/>
    <w:bookmarkStart w:id="82" w:name="ref-Jones2001"/>
    <w:p>
      <w:pPr>
        <w:pStyle w:val="Bibliography"/>
      </w:pPr>
      <w:r>
        <w:t xml:space="preserve">39. E. Jones, T. Oliphant, P. Peterson, SciPy: Open source scientific tools for Python (2001).</w:t>
      </w:r>
    </w:p>
    <w:bookmarkEnd w:id="82"/>
    <w:bookmarkStart w:id="84" w:name="ref-RCore2020"/>
    <w:p>
      <w:pPr>
        <w:pStyle w:val="Bibliography"/>
      </w:pPr>
      <w:r>
        <w:t xml:space="preserve">40. R Core Team,</w:t>
      </w:r>
      <w:r>
        <w:t xml:space="preserve"> </w:t>
      </w:r>
      <w:r>
        <w:rPr>
          <w:i/>
        </w:rPr>
        <w:t xml:space="preserve">R: A Language and Environment for Statistical Computing</w:t>
      </w:r>
      <w:r>
        <w:t xml:space="preserve"> </w:t>
      </w:r>
      <w:r>
        <w:t xml:space="preserve">(R Foundation for Statistical Computing, Vienna, Austria, 2020;</w:t>
      </w:r>
      <w:r>
        <w:t xml:space="preserve"> </w:t>
      </w:r>
      <w:hyperlink r:id="rId83">
        <w:r>
          <w:rPr>
            <w:rStyle w:val="Hyperlink"/>
          </w:rPr>
          <w:t xml:space="preserve">https://www.r-project.org/</w:t>
        </w:r>
      </w:hyperlink>
      <w:r>
        <w:t xml:space="preserve">).</w:t>
      </w:r>
    </w:p>
    <w:bookmarkEnd w:id="84"/>
    <w:bookmarkStart w:id="85" w:name="ref-Nelder1965"/>
    <w:p>
      <w:pPr>
        <w:pStyle w:val="Bibliography"/>
      </w:pPr>
      <w:r>
        <w:t xml:space="preserve">41.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85"/>
    <w:bookmarkStart w:id="87" w:name="ref-Johnson2020"/>
    <w:p>
      <w:pPr>
        <w:pStyle w:val="Bibliography"/>
      </w:pPr>
      <w:r>
        <w:t xml:space="preserve">42. S. G. Johnson, The NLopt nonlinear-optimization package (2020), (available at</w:t>
      </w:r>
      <w:r>
        <w:t xml:space="preserve"> </w:t>
      </w:r>
      <w:hyperlink r:id="rId86">
        <w:r>
          <w:rPr>
            <w:rStyle w:val="Hyperlink"/>
          </w:rPr>
          <w:t xml:space="preserve">http://github.com/stevengj/nlopt</w:t>
        </w:r>
      </w:hyperlink>
      <w:r>
        <w:t xml:space="preserve">).</w:t>
      </w:r>
    </w:p>
    <w:bookmarkEnd w:id="87"/>
    <w:bookmarkStart w:id="88" w:name="ref-Eddelbuettel2011"/>
    <w:p>
      <w:pPr>
        <w:pStyle w:val="Bibliography"/>
      </w:pPr>
      <w:r>
        <w:t xml:space="preserve">43.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88"/>
    <w:bookmarkStart w:id="89" w:name="ref-Aho2014"/>
    <w:p>
      <w:pPr>
        <w:pStyle w:val="Bibliography"/>
      </w:pPr>
      <w:r>
        <w:t xml:space="preserve">44.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89"/>
    <w:bookmarkStart w:id="90" w:name="ref-Sekhon2011"/>
    <w:p>
      <w:pPr>
        <w:pStyle w:val="Bibliography"/>
      </w:pPr>
      <w:r>
        <w:t xml:space="preserve">45.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90"/>
    <w:bookmarkStart w:id="91" w:name="ref-Bertrand2013"/>
    <w:p>
      <w:pPr>
        <w:pStyle w:val="Bibliography"/>
      </w:pPr>
      <w:r>
        <w:t xml:space="preserve">46.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91"/>
    <w:bookmarkStart w:id="92" w:name="ref-Cribari-Neto2010"/>
    <w:p>
      <w:pPr>
        <w:pStyle w:val="Bibliography"/>
      </w:pPr>
      <w:r>
        <w:t xml:space="preserve">47.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86" Target="http://github.com/stevengj/nlopt" TargetMode="External" /><Relationship Type="http://schemas.openxmlformats.org/officeDocument/2006/relationships/hyperlink" Id="rId72" Target="http://www.santafe.edu/$\sim$aaronc/powerlaws/." TargetMode="External" /><Relationship Type="http://schemas.openxmlformats.org/officeDocument/2006/relationships/hyperlink" Id="rId67" Target="https://doi.org/10.1111/1365-2664.14011" TargetMode="External" /><Relationship Type="http://schemas.openxmlformats.org/officeDocument/2006/relationships/hyperlink" Id="rId48" Target="https://doi.org/10.1126/sciadv.aat0450" TargetMode="External" /><Relationship Type="http://schemas.openxmlformats.org/officeDocument/2006/relationships/hyperlink" Id="rId60" Target="https://pdfs.semanticscholar.org/3230/a6f96e88dc64ca33e1ac7915dda906e1888e.pdf" TargetMode="External" /><Relationship Type="http://schemas.openxmlformats.org/officeDocument/2006/relationships/hyperlink" Id="rId8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86" Target="http://github.com/stevengj/nlopt" TargetMode="External" /><Relationship Type="http://schemas.openxmlformats.org/officeDocument/2006/relationships/hyperlink" Id="rId72" Target="http://www.santafe.edu/$\sim$aaronc/powerlaws/." TargetMode="External" /><Relationship Type="http://schemas.openxmlformats.org/officeDocument/2006/relationships/hyperlink" Id="rId67" Target="https://doi.org/10.1111/1365-2664.14011" TargetMode="External" /><Relationship Type="http://schemas.openxmlformats.org/officeDocument/2006/relationships/hyperlink" Id="rId48" Target="https://doi.org/10.1126/sciadv.aat0450" TargetMode="External" /><Relationship Type="http://schemas.openxmlformats.org/officeDocument/2006/relationships/hyperlink" Id="rId60" Target="https://pdfs.semanticscholar.org/3230/a6f96e88dc64ca33e1ac7915dda906e1888e.pdf" TargetMode="External" /><Relationship Type="http://schemas.openxmlformats.org/officeDocument/2006/relationships/hyperlink" Id="rId8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
  <cp:keywords/>
  <dcterms:created xsi:type="dcterms:W3CDTF">2022-06-28T15:11:08Z</dcterms:created>
  <dcterms:modified xsi:type="dcterms:W3CDTF">2022-06-28T15:11:08Z</dcterms:modified>
</cp:coreProperties>
</file>

<file path=docProps/custom.xml><?xml version="1.0" encoding="utf-8"?>
<Properties xmlns="http://schemas.openxmlformats.org/officeDocument/2006/custom-properties" xmlns:vt="http://schemas.openxmlformats.org/officeDocument/2006/docPropsVTypes"/>
</file>