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Waggle</w:t>
      </w:r>
      <w:r>
        <w:t xml:space="preserve"> </w:t>
      </w:r>
      <w:r>
        <w:t xml:space="preserve">dance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Supplementary</w:t>
      </w:r>
      <w:r>
        <w:t xml:space="preserve"> </w:t>
      </w:r>
      <w:r>
        <w:t xml:space="preserve">material</w:t>
      </w:r>
    </w:p>
    <w:p>
      <w:pPr>
        <w:pStyle w:val="Author"/>
      </w:pPr>
      <w:r>
        <w:t xml:space="preserve">Joseph</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and</w:t>
      </w:r>
      <w:r>
        <w:t xml:space="preserve"> </w:t>
      </w:r>
      <w:r>
        <w:t xml:space="preserve">Vincent</w:t>
      </w:r>
      <w:r>
        <w:t xml:space="preserve"> </w:t>
      </w:r>
      <w:r>
        <w:t xml:space="preserve">Jansen</w:t>
      </w:r>
    </w:p>
    <w:p>
      <w:pPr>
        <w:pStyle w:val="Heading1"/>
      </w:pPr>
      <w:bookmarkStart w:id="20" w:name="waggle-dance-model"/>
      <w:r>
        <w:t xml:space="preserve">Waggle dance model</w:t>
      </w:r>
      <w:bookmarkEnd w:id="20"/>
    </w:p>
    <w:p>
      <w:pPr>
        <w:pStyle w:val="Heading1"/>
      </w:pPr>
      <w:bookmarkStart w:id="21" w:name="waggle-dance-model-fit"/>
      <w:r>
        <w:t xml:space="preserve">Waggle dance model fit</w:t>
      </w:r>
      <w:bookmarkEnd w:id="21"/>
    </w:p>
    <w:p>
      <w:pPr>
        <w:pStyle w:val="CaptionedFigure"/>
      </w:pPr>
      <w:r>
        <w:drawing>
          <wp:inline>
            <wp:extent cx="5334000" cy="5867400"/>
            <wp:effectExtent b="0" l="0" r="0" t="0"/>
            <wp:docPr descr="Supplementary Fig 1. log Compliment cumulative frequency distribution of waggle dance durations and fits of the collective (red line) and individual (blue line) models for all 20 sites." title="" id="1" name="Picture"/>
            <a:graphic>
              <a:graphicData uri="http://schemas.openxmlformats.org/drawingml/2006/picture">
                <pic:pic>
                  <pic:nvPicPr>
                    <pic:cNvPr descr="man/figures/README-all-model-fits-1.png" id="0" name="Picture"/>
                    <pic:cNvPicPr>
                      <a:picLocks noChangeArrowheads="1" noChangeAspect="1"/>
                    </pic:cNvPicPr>
                  </pic:nvPicPr>
                  <pic:blipFill>
                    <a:blip r:embed="rId22"/>
                    <a:stretch>
                      <a:fillRect/>
                    </a:stretch>
                  </pic:blipFill>
                  <pic:spPr bwMode="auto">
                    <a:xfrm>
                      <a:off x="0" y="0"/>
                      <a:ext cx="5334000" cy="5867400"/>
                    </a:xfrm>
                    <a:prstGeom prst="rect">
                      <a:avLst/>
                    </a:prstGeom>
                    <a:noFill/>
                    <a:ln w="9525">
                      <a:noFill/>
                      <a:headEnd/>
                      <a:tailEnd/>
                    </a:ln>
                  </pic:spPr>
                </pic:pic>
              </a:graphicData>
            </a:graphic>
          </wp:inline>
        </w:drawing>
      </w:r>
    </w:p>
    <w:p>
      <w:pPr>
        <w:pStyle w:val="ImageCaption"/>
      </w:pPr>
      <w:r>
        <w:t xml:space="preserve">Supplementary Fig 1. log Compliment cumulative frequency distribution of waggle dance durations and fits of the collective (red line) and individual (blue line) models for all 20 sites.</w:t>
      </w:r>
    </w:p>
    <w:p>
      <w:pPr>
        <w:pStyle w:val="BodyText"/>
      </w:pPr>
      <w:r>
        <w:t xml:space="preserve">Table 1. shows the results of the model fitting, including likelihood scores, parsimony measures -AIC, delta_AIC, rAIC (relative delta_AIC) and wAIC (Akaike weights)- and goodness of fit -Ks statistics (ks_statistic, ks_pvalue)- for all 20 sites.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Fit results for the fitting of the waggle dance model to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43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MLE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ΔAIC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rAIC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wAIC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br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p_value</w:t>
            </w:r>
          </w:p>
        </w:tc>
      </w:tr>
      <w:tr>
        <w:trPr>
          <w:cantSplit/>
          <w:trHeight w:val="413"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BEL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-180.851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371.702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0.705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0.413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0.892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0.231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5.150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0.035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0.078</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0.904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-183.501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371.002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0.812</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BFI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-190.499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390.998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2.769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0.329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BFI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-211.297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426.593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35.596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BLO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-221.026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452.052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BLO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-237.389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478.778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26.726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5 505.000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0.197</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BUR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-118.305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246.609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0.833</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BUR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-143.718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291.435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44.826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0.013</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CAD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-48.278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106.556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2.650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0.943</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CAD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-49.953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103.906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0.747</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GIL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-74.541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159.082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GIL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-102.309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208.618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49.536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-235.180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480.360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0.638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0.230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-242.322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488.644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8.284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0.072</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-61.348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132.696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0.369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-83.749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171.498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38.802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-146.040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302.081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0.335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-213.584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431.168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129.087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MAK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-84.519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179.038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MAK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-98.025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200.049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21.012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-115.316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240.633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-135.731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275.462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34.829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-181.873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373.746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0.888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-188.038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380.076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ROT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-138.129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286.259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ROT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-153.355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310.710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24.451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0.002</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SAU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-108.185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226.370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SAU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-115.503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235.005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8.635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-70.536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151.072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0.528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-76.671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157.343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6.271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-123.371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256.742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0.979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-138.114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280.228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STU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-155.700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321.400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4.319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STU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-156.540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317.081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0.995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-40.424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90.848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1.275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0.722</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-46.441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96.882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6.034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0.277</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YAL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-256.218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522.436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0.715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YAL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-274.067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552.135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29.699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0.236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ZSL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-150.273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310.546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0.710</w:t>
            </w:r>
          </w:p>
        </w:tc>
      </w:tr>
      <w:tr>
        <w:trPr>
          <w:cantSplit/>
          <w:trHeight w:val="413"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ZSL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-181.734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367.468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56.921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0.965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w:t>
            </w:r>
          </w:p>
        </w:tc>
      </w:tr>
    </w:tbl>
    <w:p>
      <w:pPr>
        <w:pStyle w:val="Heading1"/>
      </w:pPr>
      <w:bookmarkStart w:id="23" w:name="Xd2babfe92bc8f1053588e50e1cd0b57fe25e4bd"/>
      <w:r>
        <w:t xml:space="preserve">Jackknifed partial least squares analysis</w:t>
      </w:r>
      <w:bookmarkEnd w:id="23"/>
    </w:p>
    <w:p>
      <w:pPr>
        <w:pStyle w:val="CaptionedFigure"/>
      </w:pPr>
      <w:r>
        <w:drawing>
          <wp:inline>
            <wp:extent cx="4333460" cy="7945187"/>
            <wp:effectExtent b="0" l="0" r="0" t="0"/>
            <wp:docPr descr="Loadings of PLS calculated for each site removed for the agri-rural sites. Each plot shows the loadings of the first principle component with that site removed from the analysis, showing the individual points making up the overall box plot loadings in Fig 4b." title="" id="1" name="Picture"/>
            <a:graphic>
              <a:graphicData uri="http://schemas.openxmlformats.org/drawingml/2006/picture">
                <pic:pic>
                  <pic:nvPicPr>
                    <pic:cNvPr descr="../results/figures/SI_figures/agrirural_jk_individual_loadings.png" id="0" name="Picture"/>
                    <pic:cNvPicPr>
                      <a:picLocks noChangeArrowheads="1" noChangeAspect="1"/>
                    </pic:cNvPicPr>
                  </pic:nvPicPr>
                  <pic:blipFill>
                    <a:blip r:embed="rId24"/>
                    <a:stretch>
                      <a:fillRect/>
                    </a:stretch>
                  </pic:blipFill>
                  <pic:spPr bwMode="auto">
                    <a:xfrm>
                      <a:off x="0" y="0"/>
                      <a:ext cx="4333460" cy="7945187"/>
                    </a:xfrm>
                    <a:prstGeom prst="rect">
                      <a:avLst/>
                    </a:prstGeom>
                    <a:noFill/>
                    <a:ln w="9525">
                      <a:noFill/>
                      <a:headEnd/>
                      <a:tailEnd/>
                    </a:ln>
                  </pic:spPr>
                </pic:pic>
              </a:graphicData>
            </a:graphic>
          </wp:inline>
        </w:drawing>
      </w:r>
    </w:p>
    <w:p>
      <w:pPr>
        <w:pStyle w:val="ImageCaption"/>
      </w:pPr>
      <w:r>
        <w:t xml:space="preserve">Loadings of PLS calculated for each site removed for the agri-rural sites. Each plot shows the loadings of the first principle component with that site removed from the analysis, showing the individual points making up the overall box plot loadings in Fig 4b.</w:t>
      </w:r>
    </w:p>
    <w:p>
      <w:pPr>
        <w:pStyle w:val="CaptionedFigure"/>
      </w:pPr>
      <w:r>
        <w:drawing>
          <wp:inline>
            <wp:extent cx="4333460" cy="7223454"/>
            <wp:effectExtent b="0" l="0" r="0" t="0"/>
            <wp:docPr descr="Loadings of PLS calculated for each site removed for the urban sites. Each plot shows the loadings of the first principle component with that site removed from the analysis, showing the individual points making up the overall box plot loadings in Fig 4d." title="" id="1" name="Picture"/>
            <a:graphic>
              <a:graphicData uri="http://schemas.openxmlformats.org/drawingml/2006/picture">
                <pic:pic>
                  <pic:nvPicPr>
                    <pic:cNvPr descr="../results/figures/SI_figures/urban_jk_individual_loadings.png" id="0" name="Picture"/>
                    <pic:cNvPicPr>
                      <a:picLocks noChangeArrowheads="1" noChangeAspect="1"/>
                    </pic:cNvPicPr>
                  </pic:nvPicPr>
                  <pic:blipFill>
                    <a:blip r:embed="rId25"/>
                    <a:stretch>
                      <a:fillRect/>
                    </a:stretch>
                  </pic:blipFill>
                  <pic:spPr bwMode="auto">
                    <a:xfrm>
                      <a:off x="0" y="0"/>
                      <a:ext cx="4333460" cy="7223454"/>
                    </a:xfrm>
                    <a:prstGeom prst="rect">
                      <a:avLst/>
                    </a:prstGeom>
                    <a:noFill/>
                    <a:ln w="9525">
                      <a:noFill/>
                      <a:headEnd/>
                      <a:tailEnd/>
                    </a:ln>
                  </pic:spPr>
                </pic:pic>
              </a:graphicData>
            </a:graphic>
          </wp:inline>
        </w:drawing>
      </w:r>
    </w:p>
    <w:p>
      <w:pPr>
        <w:pStyle w:val="ImageCaption"/>
      </w:pPr>
      <w:r>
        <w:t xml:space="preserve">Loadings of PLS calculated for each site removed for the urban sites. Each plot shows the loadings of the first principle component with that site removed from the analysis, showing the individual points making up the overall box plot loadings in Fig 4d.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Waggle dance distributions quantify collective foraging in honey bee colonies: Supplementary material</dc:title>
  <dc:creator>Joseph Palmer, Ash Samuelson, Elli Leadbeater and Vincent Jansen</dc:creator>
  <cp:keywords/>
  <dcterms:created xsi:type="dcterms:W3CDTF">2022-04-06T10:47:25Z</dcterms:created>
  <dcterms:modified xsi:type="dcterms:W3CDTF">2022-04-06T10:47:25Z</dcterms:modified>
</cp:coreProperties>
</file>

<file path=docProps/custom.xml><?xml version="1.0" encoding="utf-8"?>
<Properties xmlns="http://schemas.openxmlformats.org/officeDocument/2006/custom-properties" xmlns:vt="http://schemas.openxmlformats.org/officeDocument/2006/docPropsVTypes"/>
</file>