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0.png" ContentType="image/png"/>
  <Override PartName="/word/media/rId24.png" ContentType="image/png"/>
  <Override PartName="/word/media/" ContentType="application/octet-stream"/>
  <Override PartName="/word/media/ed3dc83e93967dbe1e54faca4332c8c2034c4532.png" ContentType="image/png"/>
  <Override PartName="/word/media/3cfc45fcebe71664066e738fc39412510e9bfba2.png" ContentType="image/png"/>
  <Override PartName="/word/media/10c46729828c091016cdd4856c27547a5b12f35c.png" ContentType="image/png"/>
  <Override PartName="/word/media/161df97031ec94a6cf624602b7265888ad494b18.png" ContentType="image/png"/>
  <Override PartName="/word/media/8135eadc6f352656fe433d03e11e882074724ce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Bubble</w:t>
      </w:r>
      <w:r>
        <w:t xml:space="preserve"> </w:t>
      </w:r>
      <w:r>
        <w:t xml:space="preserve">Field</w:t>
      </w:r>
    </w:p>
    <w:p>
      <w:pPr>
        <w:pStyle w:val="Subtitle"/>
      </w:pPr>
      <w:r>
        <w:t xml:space="preserve">A</w:t>
      </w:r>
      <w:r>
        <w:t xml:space="preserve"> </w:t>
      </w:r>
      <w:r>
        <w:t xml:space="preserve">Rigorous</w:t>
      </w:r>
      <w:r>
        <w:t xml:space="preserve"> </w:t>
      </w:r>
      <w:r>
        <w:t xml:space="preserve">Scalar-Sector</w:t>
      </w:r>
      <w:r>
        <w:t xml:space="preserve"> </w:t>
      </w:r>
      <w:r>
        <w:t xml:space="preserve">Formulation</w:t>
      </w:r>
      <w:r>
        <w:t xml:space="preserve"> </w:t>
      </w:r>
      <w:r>
        <w:t xml:space="preserve">of</w:t>
      </w:r>
      <w:r>
        <w:t xml:space="preserve"> </w:t>
      </w:r>
      <w:r>
        <w:t xml:space="preserve">the</w:t>
      </w:r>
      <w:r>
        <w:t xml:space="preserve"> </w:t>
      </w:r>
      <w:r>
        <w:t xml:space="preserve">Universal</w:t>
      </w:r>
      <w:r>
        <w:t xml:space="preserve"> </w:t>
      </w:r>
      <w:r>
        <w:t xml:space="preserve">Field</w:t>
      </w:r>
      <w:r>
        <w:t xml:space="preserve"> </w:t>
      </w:r>
      <w:r>
        <w:t xml:space="preserve">of</w:t>
      </w:r>
      <w:r>
        <w:t xml:space="preserve"> </w:t>
      </w:r>
      <w:r>
        <w:t xml:space="preserve">Least</w:t>
      </w:r>
      <w:r>
        <w:t xml:space="preserve"> </w:t>
      </w:r>
      <w:r>
        <w:t xml:space="preserve">Action</w:t>
      </w:r>
    </w:p>
    <w:p>
      <w:pPr>
        <w:pStyle w:val="Author"/>
      </w:pPr>
      <w:r>
        <w:t xml:space="preserve">Joseph</w:t>
      </w:r>
      <w:r>
        <w:t xml:space="preserve"> </w:t>
      </w:r>
      <w:r>
        <w:t xml:space="preserve">Shields</w:t>
      </w:r>
    </w:p>
    <w:p>
      <w:pPr>
        <w:pStyle w:val="Date"/>
      </w:pPr>
      <w:r>
        <w:t xml:space="preserve">29</w:t>
      </w:r>
      <w:r>
        <w:t xml:space="preserve"> </w:t>
      </w:r>
      <w:r>
        <w:t xml:space="preserve">July</w:t>
      </w:r>
      <w:r>
        <w:t xml:space="preserve"> </w:t>
      </w:r>
      <w:r>
        <w:t xml:space="preserve">2026</w:t>
      </w:r>
    </w:p>
    <w:bookmarkStart w:id="23" w:name="executive-statement"/>
    <w:p>
      <w:pPr>
        <w:pStyle w:val="Heading1"/>
      </w:pPr>
      <w:r>
        <w:t xml:space="preserve">Executive statement</w:t>
      </w:r>
    </w:p>
    <w:p>
      <w:pPr>
        <w:pStyle w:val="FirstParagraph"/>
      </w:pPr>
      <w:r>
        <w:t xml:space="preserve">This document replaces the strongest unsupported claims in the first Bubble Field draft with a minimum consistent field model. It preserves the central physical picture:</w:t>
      </w:r>
    </w:p>
    <w:p>
      <w:pPr>
        <w:pStyle w:val="BlockText"/>
      </w:pPr>
      <w:r>
        <w:t xml:space="preserve">Space is represented by least-action cells. Their local size and number density are the two scalar handles of the field. The metric, its stress-energy, and its observable gradients are to be reconstructed from those handles.</w:t>
      </w:r>
    </w:p>
    <w:p>
      <w:pPr>
        <w:pStyle w:val="FirstParagraph"/>
      </w:pPr>
      <w:r>
        <w:t xml:space="preserve">The first numerical program correctly reproduced the Schwarzschild values for solar light bending and Mercury’s anomalous precession. The exact interpretation is narrower than the first manuscript stated: those integrations reproduced the observables because the Schwarzschild radial metric profile was supplied to the integrator. They therefore establish that the proposed packing variables can</w:t>
      </w:r>
      <w:r>
        <w:t xml:space="preserve"> </w:t>
      </w:r>
      <w:r>
        <w:rPr>
          <w:i/>
          <w:iCs/>
        </w:rPr>
        <w:t xml:space="preserve">represent</w:t>
      </w:r>
      <w:r>
        <w:t xml:space="preserve"> </w:t>
      </w:r>
      <w:r>
        <w:t xml:space="preserve">the Schwarzschild geometry and that the spatial packing term is load-bearing inside that representation. They do not yet independently derive the Schwarzschild profile from microscopic bubble dynamics.</w:t>
      </w:r>
    </w:p>
    <w:p>
      <w:pPr>
        <w:pStyle w:val="BodyText"/>
      </w:pPr>
      <w:r>
        <w:t xml:space="preserve">This correction does not remove the programme. It identifies its precise missing step: derive the dynamics of the two bubble handles and their coupling to matter, rather than inserting the gravitational profile in advance.</w:t>
      </w:r>
    </w:p>
    <w:p>
      <w:pPr>
        <w:pStyle w:val="BodyText"/>
      </w:pPr>
      <w:r>
        <w:t xml:space="preserve">The completed minimum architecture is:</w:t>
      </w:r>
    </w:p>
    <w:p>
      <w:pPr>
        <w:pStyle w:val="BodyText"/>
      </w:pPr>
      <m:oMathPara>
        <m:oMathParaPr>
          <m:jc m:val="center"/>
        </m:oMathParaPr>
        <m:oMath>
          <m:d>
            <m:dPr>
              <m:begChr m:val="("/>
              <m:endChr m:val=")"/>
              <m:sepChr m:val=""/>
              <m:grow/>
            </m:dPr>
            <m:e>
              <m:r>
                <m:t>α</m:t>
              </m:r>
              <m:r>
                <m:rPr>
                  <m:sty m:val="p"/>
                </m:rPr>
                <m:t>,</m:t>
              </m:r>
              <m:r>
                <m:t>ν</m:t>
              </m:r>
              <m:r>
                <m:rPr>
                  <m:sty m:val="p"/>
                </m:rPr>
                <m:t>,</m:t>
              </m:r>
              <m:r>
                <m:t>θ</m:t>
              </m:r>
            </m:e>
          </m:d>
          <m:r>
            <m:rPr>
              <m:sty m:val="p"/>
            </m:rPr>
            <m:t>→</m:t>
          </m:r>
          <m:d>
            <m:dPr>
              <m:begChr m:val="("/>
              <m:endChr m:val=")"/>
              <m:sepChr m:val=""/>
              <m:grow/>
            </m:dPr>
            <m:e>
              <m:r>
                <m:t>T</m:t>
              </m:r>
              <m:r>
                <m:rPr>
                  <m:sty m:val="p"/>
                </m:rPr>
                <m:t>,</m:t>
              </m:r>
              <m:r>
                <m:rPr>
                  <m:sty m:val="p"/>
                  <m:scr m:val="script"/>
                </m:rPr>
                <m:t>P</m:t>
              </m:r>
              <m:r>
                <m:rPr>
                  <m:sty m:val="p"/>
                </m:rPr>
                <m:t>,</m:t>
              </m:r>
              <m:sSub>
                <m:e>
                  <m:r>
                    <m:t>u</m:t>
                  </m:r>
                </m:e>
                <m:sub>
                  <m:r>
                    <m:t>μ</m:t>
                  </m:r>
                </m:sub>
              </m:sSub>
            </m:e>
          </m:d>
          <m:r>
            <m:rPr>
              <m:sty m:val="p"/>
            </m:rPr>
            <m:t>→</m:t>
          </m:r>
          <m:sSub>
            <m:e>
              <m:r>
                <m:t>g</m:t>
              </m:r>
            </m:e>
            <m:sub>
              <m:r>
                <m:t>μ</m:t>
              </m:r>
              <m:r>
                <m:t>ν</m:t>
              </m:r>
            </m:sub>
          </m:sSub>
          <m:r>
            <m:rPr>
              <m:sty m:val="p"/>
            </m:rPr>
            <m:t>→</m:t>
          </m:r>
          <m:sSubSup>
            <m:e>
              <m:r>
                <m:t>T</m:t>
              </m:r>
            </m:e>
            <m:sub>
              <m:r>
                <m:t>μ</m:t>
              </m:r>
              <m:r>
                <m:t>ν</m:t>
              </m:r>
            </m:sub>
            <m:sup>
              <m:r>
                <m:rPr>
                  <m:sty m:val="p"/>
                </m:rPr>
                <m:t>b</m:t>
              </m:r>
              <m:r>
                <m:rPr>
                  <m:sty m:val="p"/>
                </m:rPr>
                <m:t>u</m:t>
              </m:r>
              <m:r>
                <m:rPr>
                  <m:sty m:val="p"/>
                </m:rPr>
                <m:t>b</m:t>
              </m:r>
              <m:r>
                <m:rPr>
                  <m:sty m:val="p"/>
                </m:rPr>
                <m:t>b</m:t>
              </m:r>
              <m:r>
                <m:rPr>
                  <m:sty m:val="p"/>
                </m:rPr>
                <m:t>l</m:t>
              </m:r>
              <m:r>
                <m:rPr>
                  <m:sty m:val="p"/>
                </m:rPr>
                <m:t>e</m:t>
              </m:r>
            </m:sup>
          </m:sSubSup>
          <m:r>
            <m:rPr>
              <m:sty m:val="p"/>
            </m:rPr>
            <m:t>→</m:t>
          </m:r>
          <m:r>
            <m:rPr>
              <m:nor/>
              <m:sty m:val="p"/>
            </m:rPr>
            <m:t>trajectories, lensing and clocks</m:t>
          </m:r>
          <m:r>
            <m:rPr>
              <m:sty m:val="p"/>
            </m:rPr>
            <m:t>.</m:t>
          </m:r>
        </m:oMath>
      </m:oMathPara>
    </w:p>
    <w:p>
      <w:pPr>
        <w:pStyle w:val="FirstParagraph"/>
      </w:pPr>
      <w:r>
        <w:t xml:space="preserve">Here</w:t>
      </w:r>
    </w:p>
    <w:p>
      <w:pPr>
        <w:pStyle w:val="BodyText"/>
      </w:pPr>
      <m:oMathPara>
        <m:oMathParaPr>
          <m:jc m:val="center"/>
        </m:oMathParaPr>
        <m:oMath>
          <m:r>
            <m:t>α</m:t>
          </m:r>
          <m:r>
            <m:rPr>
              <m:sty m:val="p"/>
            </m:rPr>
            <m:t>=</m:t>
          </m:r>
          <m:r>
            <m:rPr>
              <m:sty m:val="p"/>
            </m:rPr>
            <m:t>ln</m:t>
          </m:r>
          <m:d>
            <m:dPr>
              <m:begChr m:val="("/>
              <m:endChr m:val=")"/>
              <m:sepChr m:val=""/>
              <m:grow/>
            </m:dPr>
            <m:e>
              <m:r>
                <m:t>a</m:t>
              </m:r>
              <m:r>
                <m:rPr>
                  <m:sty m:val="p"/>
                </m:rPr>
                <m:t>/</m:t>
              </m:r>
              <m:sSub>
                <m:e>
                  <m:r>
                    <m:t>a</m:t>
                  </m:r>
                </m:e>
                <m:sub>
                  <m:r>
                    <m:t>0</m:t>
                  </m:r>
                </m:sub>
              </m:sSub>
            </m:e>
          </m:d>
          <m:r>
            <m:rPr>
              <m:sty m:val="p"/>
            </m:rPr>
            <m:t>,</m:t>
          </m:r>
          <m:r>
            <m:t>  </m:t>
          </m:r>
          <m:r>
            <m:t>ν</m:t>
          </m:r>
          <m:r>
            <m:rPr>
              <m:sty m:val="p"/>
            </m:rPr>
            <m:t>=</m:t>
          </m:r>
          <m:r>
            <m:rPr>
              <m:sty m:val="p"/>
            </m:rPr>
            <m:t>ln</m:t>
          </m:r>
          <m:d>
            <m:dPr>
              <m:begChr m:val="("/>
              <m:endChr m:val=")"/>
              <m:sepChr m:val=""/>
              <m:grow/>
            </m:dPr>
            <m:e>
              <m:r>
                <m:t>n</m:t>
              </m:r>
              <m:r>
                <m:rPr>
                  <m:sty m:val="p"/>
                </m:rPr>
                <m:t>/</m:t>
              </m:r>
              <m:sSub>
                <m:e>
                  <m:r>
                    <m:t>n</m:t>
                  </m:r>
                </m:e>
                <m:sub>
                  <m:r>
                    <m:t>0</m:t>
                  </m:r>
                </m:sub>
              </m:sSub>
            </m:e>
          </m:d>
        </m:oMath>
      </m:oMathPara>
    </w:p>
    <w:p>
      <w:pPr>
        <w:pStyle w:val="FirstParagraph"/>
      </w:pPr>
      <w:r>
        <w:t xml:space="preserve">are the size and density modes, while the cyclic phase</w:t>
      </w:r>
      <w:r>
        <w:t xml:space="preserve"> </w:t>
      </w:r>
      <m:oMath>
        <m:r>
          <m:t>θ</m:t>
        </m:r>
      </m:oMath>
      <w:r>
        <w:t xml:space="preserve"> </w:t>
      </w:r>
      <w:r>
        <w:t xml:space="preserve">fixes the future-directed time orientation.</w:t>
      </w:r>
    </w:p>
    <w:p>
      <w:pPr>
        <w:pStyle w:val="CaptionedFigure"/>
      </w:pPr>
      <w:r>
        <w:drawing>
          <wp:inline>
            <wp:extent cx="5230368" cy="3978384"/>
            <wp:effectExtent b="0" l="0" r="0" t="0"/>
            <wp:docPr descr="The rigorous architecture of the Bubble Field. The two scalar handles and the cyclic phase feed both a metric reconstruction and a field action; the resulting stress-energy is passed through general relativity as a geometric toolkit and confronted with Solar System, exoplanet and laboratory data." title="" id="21" name="Picture"/>
            <a:graphic>
              <a:graphicData uri="http://schemas.openxmlformats.org/drawingml/2006/picture">
                <pic:pic>
                  <pic:nvPicPr>
                    <pic:cNvPr descr="bubble_architecture.png" id="22" name="Picture"/>
                    <pic:cNvPicPr>
                      <a:picLocks noChangeArrowheads="1" noChangeAspect="1"/>
                    </pic:cNvPicPr>
                  </pic:nvPicPr>
                  <pic:blipFill>
                    <a:blip r:embed="rId20"/>
                    <a:stretch>
                      <a:fillRect/>
                    </a:stretch>
                  </pic:blipFill>
                  <pic:spPr bwMode="auto">
                    <a:xfrm>
                      <a:off x="0" y="0"/>
                      <a:ext cx="5230368" cy="3978384"/>
                    </a:xfrm>
                    <a:prstGeom prst="rect">
                      <a:avLst/>
                    </a:prstGeom>
                    <a:noFill/>
                    <a:ln w="9525">
                      <a:noFill/>
                      <a:headEnd/>
                      <a:tailEnd/>
                    </a:ln>
                  </pic:spPr>
                </pic:pic>
              </a:graphicData>
            </a:graphic>
          </wp:inline>
        </w:drawing>
      </w:r>
    </w:p>
    <w:p>
      <w:pPr>
        <w:pStyle w:val="ImageCaption"/>
      </w:pPr>
      <w:r>
        <w:t xml:space="preserve">The rigorous architecture of the Bubble Field. The two scalar handles and the cyclic phase feed both a metric reconstruction and a field action; the resulting stress-energy is passed through general relativity as a geometric toolkit and confronted with Solar System, exoplanet and laboratory data.</w:t>
      </w:r>
    </w:p>
    <w:bookmarkEnd w:id="23"/>
    <w:bookmarkStart w:id="27" w:name="status-ledger"/>
    <w:p>
      <w:pPr>
        <w:pStyle w:val="Heading1"/>
      </w:pPr>
      <w:r>
        <w:t xml:space="preserve">1. Status ledger</w:t>
      </w:r>
    </w:p>
    <w:p>
      <w:pPr>
        <w:pStyle w:val="FirstParagraph"/>
      </w:pPr>
      <w:r>
        <w:t xml:space="preserve">The framework is now divided into five logically separate grades.</w:t>
      </w:r>
    </w:p>
    <w:p>
      <w:pPr>
        <w:pStyle w:val="CaptionedFigure"/>
      </w:pPr>
      <w:r>
        <w:drawing>
          <wp:inline>
            <wp:extent cx="4992624" cy="4732591"/>
            <wp:effectExtent b="0" l="0" r="0" t="0"/>
            <wp:docPr descr="Status hierarchy of the rigorous formulation." title="" id="25" name="Picture"/>
            <a:graphic>
              <a:graphicData uri="http://schemas.openxmlformats.org/drawingml/2006/picture">
                <pic:pic>
                  <pic:nvPicPr>
                    <pic:cNvPr descr="bubble_status.png" id="26" name="Picture"/>
                    <pic:cNvPicPr>
                      <a:picLocks noChangeArrowheads="1" noChangeAspect="1"/>
                    </pic:cNvPicPr>
                  </pic:nvPicPr>
                  <pic:blipFill>
                    <a:blip r:embed="rId24"/>
                    <a:stretch>
                      <a:fillRect/>
                    </a:stretch>
                  </pic:blipFill>
                  <pic:spPr bwMode="auto">
                    <a:xfrm>
                      <a:off x="0" y="0"/>
                      <a:ext cx="4992624" cy="4732591"/>
                    </a:xfrm>
                    <a:prstGeom prst="rect">
                      <a:avLst/>
                    </a:prstGeom>
                    <a:noFill/>
                    <a:ln w="9525">
                      <a:noFill/>
                      <a:headEnd/>
                      <a:tailEnd/>
                    </a:ln>
                  </pic:spPr>
                </pic:pic>
              </a:graphicData>
            </a:graphic>
          </wp:inline>
        </w:drawing>
      </w:r>
    </w:p>
    <w:p>
      <w:pPr>
        <w:pStyle w:val="ImageCaption"/>
      </w:pPr>
      <w:r>
        <w:t xml:space="preserve">Status hierarchy of the rigorous formulation.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Grade</w:t>
            </w:r>
          </w:p>
        </w:tc>
        <w:tc>
          <w:tcPr/>
          <w:p>
            <w:pPr>
              <w:pStyle w:val="Compact"/>
              <w:jc w:val="left"/>
            </w:pPr>
            <w:r>
              <w:t xml:space="preserve">Statement</w:t>
            </w:r>
          </w:p>
        </w:tc>
      </w:tr>
      <w:tr>
        <w:tc>
          <w:tcPr/>
          <w:p>
            <w:pPr>
              <w:pStyle w:val="Compact"/>
              <w:jc w:val="left"/>
            </w:pPr>
            <w:r>
              <w:rPr>
                <w:b/>
                <w:bCs/>
              </w:rPr>
              <w:t xml:space="preserve">Proved identity</w:t>
            </w:r>
          </w:p>
        </w:tc>
        <w:tc>
          <w:tcPr/>
          <w:p>
            <w:pPr>
              <w:pStyle w:val="Compact"/>
              <w:jc w:val="left"/>
            </w:pPr>
            <w:r>
              <w:t xml:space="preserve">The definitions of bubble size, density, cycle rate and packing imply</w:t>
            </w:r>
            <w:r>
              <w:t xml:space="preserve"> </w:t>
            </w:r>
            <m:oMath>
              <m:r>
                <m:t>T</m:t>
              </m:r>
              <m:r>
                <m:rPr>
                  <m:sty m:val="p"/>
                  <m:scr m:val="script"/>
                </m:rPr>
                <m:t>P</m:t>
              </m:r>
              <m:r>
                <m:rPr>
                  <m:sty m:val="p"/>
                </m:rPr>
                <m:t>=</m:t>
              </m:r>
              <m:sSup>
                <m:e>
                  <m:r>
                    <m:t>e</m:t>
                  </m:r>
                </m:e>
                <m:sup>
                  <m:r>
                    <m:t>ν</m:t>
                  </m:r>
                  <m:r>
                    <m:rPr>
                      <m:sty m:val="p"/>
                    </m:rPr>
                    <m:t>/</m:t>
                  </m:r>
                  <m:r>
                    <m:t>3</m:t>
                  </m:r>
                </m:sup>
              </m:sSup>
            </m:oMath>
            <w:r>
              <w:t xml:space="preserve">.</w:t>
            </w:r>
          </w:p>
        </w:tc>
      </w:tr>
      <w:tr>
        <w:tc>
          <w:tcPr/>
          <w:p>
            <w:pPr>
              <w:pStyle w:val="Compact"/>
              <w:jc w:val="left"/>
            </w:pPr>
            <w:r>
              <w:rPr>
                <w:b/>
                <w:bCs/>
              </w:rPr>
              <w:t xml:space="preserve">Derived under a stated metric ansatz</w:t>
            </w:r>
          </w:p>
        </w:tc>
        <w:tc>
          <w:tcPr/>
          <w:p>
            <w:pPr>
              <w:pStyle w:val="Compact"/>
              <w:jc w:val="left"/>
            </w:pPr>
            <w:r>
              <w:t xml:space="preserve">The two bubble modes map to the two weak-field scalar gravitational potentials, and the density mode becomes gravitational slip.</w:t>
            </w:r>
          </w:p>
        </w:tc>
      </w:tr>
      <w:tr>
        <w:tc>
          <w:tcPr/>
          <w:p>
            <w:pPr>
              <w:pStyle w:val="Compact"/>
              <w:jc w:val="left"/>
            </w:pPr>
            <w:r>
              <w:rPr>
                <w:b/>
                <w:bCs/>
              </w:rPr>
              <w:t xml:space="preserve">Exact GR-toolkit representation</w:t>
            </w:r>
          </w:p>
        </w:tc>
        <w:tc>
          <w:tcPr/>
          <w:p>
            <w:pPr>
              <w:pStyle w:val="Compact"/>
              <w:jc w:val="left"/>
            </w:pPr>
            <w:r>
              <w:t xml:space="preserve">Schwarzschild geometry can be represented exactly by suitable bubble profiles in either areal or isotropic coordinates.</w:t>
            </w:r>
          </w:p>
        </w:tc>
      </w:tr>
      <w:tr>
        <w:tc>
          <w:tcPr/>
          <w:p>
            <w:pPr>
              <w:pStyle w:val="Compact"/>
              <w:jc w:val="left"/>
            </w:pPr>
            <w:r>
              <w:rPr>
                <w:b/>
                <w:bCs/>
              </w:rPr>
              <w:t xml:space="preserve">Proposed dynamics</w:t>
            </w:r>
          </w:p>
        </w:tc>
        <w:tc>
          <w:tcPr/>
          <w:p>
            <w:pPr>
              <w:pStyle w:val="Compact"/>
              <w:jc w:val="left"/>
            </w:pPr>
            <w:r>
              <w:t xml:space="preserve">A two-scalar action supplies equations of motion and a stress-energy tensor for the bubble modes.</w:t>
            </w:r>
          </w:p>
        </w:tc>
      </w:tr>
      <w:tr>
        <w:tc>
          <w:tcPr/>
          <w:p>
            <w:pPr>
              <w:pStyle w:val="Compact"/>
              <w:jc w:val="left"/>
            </w:pPr>
            <w:r>
              <w:rPr>
                <w:b/>
                <w:bCs/>
              </w:rPr>
              <w:t xml:space="preserve">Open derivation</w:t>
            </w:r>
          </w:p>
        </w:tc>
        <w:tc>
          <w:tcPr/>
          <w:p>
            <w:pPr>
              <w:pStyle w:val="Compact"/>
              <w:jc w:val="left"/>
            </w:pPr>
            <w:r>
              <w:t xml:space="preserve">The kinetic matrix, potential, source currents, absolute gravitational coupling, short-distance transfer function and force-unification claims must be derived from the least-action microphysics.</w:t>
            </w:r>
          </w:p>
        </w:tc>
      </w:tr>
    </w:tbl>
    <w:p>
      <w:pPr>
        <w:pStyle w:val="BodyText"/>
      </w:pPr>
      <w:r>
        <w:t xml:space="preserve">This grading prevents a benchmark reproduction from being called an independent derivation while retaining every result that genuinely follows.</w:t>
      </w:r>
    </w:p>
    <w:bookmarkEnd w:id="27"/>
    <w:bookmarkStart w:id="31" w:name="primitive-objects"/>
    <w:p>
      <w:pPr>
        <w:pStyle w:val="Heading1"/>
      </w:pPr>
      <w:r>
        <w:t xml:space="preserve">2. Primitive objects</w:t>
      </w:r>
    </w:p>
    <w:bookmarkStart w:id="28" w:name="a-bubble"/>
    <w:p>
      <w:pPr>
        <w:pStyle w:val="Heading2"/>
      </w:pPr>
      <w:r>
        <w:t xml:space="preserve">2.1 A bubble</w:t>
      </w:r>
    </w:p>
    <w:p>
      <w:pPr>
        <w:pStyle w:val="FirstParagraph"/>
      </w:pPr>
      <w:r>
        <w:t xml:space="preserve">A bubble is defined as a causal cell carrying one quantum of action:</w:t>
      </w:r>
    </w:p>
    <w:p>
      <w:pPr>
        <w:pStyle w:val="BodyText"/>
      </w:pPr>
      <m:oMathPara>
        <m:oMathParaPr>
          <m:jc m:val="center"/>
        </m:oMathParaPr>
        <m:oMath>
          <m:r>
            <m:t>ϵ</m:t>
          </m:r>
          <m:r>
            <m:t>τ</m:t>
          </m:r>
          <m:r>
            <m:rPr>
              <m:sty m:val="p"/>
            </m:rPr>
            <m:t>=</m:t>
          </m:r>
          <m:r>
            <m:rPr>
              <m:sty m:val="p"/>
            </m:rPr>
            <m:t>ℏ</m:t>
          </m:r>
          <m:r>
            <m:rPr>
              <m:sty m:val="p"/>
            </m:rPr>
            <m:t>,</m:t>
          </m:r>
          <m:r>
            <m:t>  </m:t>
          </m:r>
          <m:r>
            <m:t>a</m:t>
          </m:r>
          <m:r>
            <m:rPr>
              <m:sty m:val="p"/>
            </m:rPr>
            <m:t>=</m:t>
          </m:r>
          <m:r>
            <m:t>c</m:t>
          </m:r>
          <m:r>
            <m:t>τ</m:t>
          </m:r>
          <m:r>
            <m:rPr>
              <m:sty m:val="p"/>
            </m:rPr>
            <m:t>.</m:t>
          </m:r>
        </m:oMath>
      </m:oMathPara>
    </w:p>
    <w:p>
      <w:pPr>
        <w:pStyle w:val="FirstParagraph"/>
      </w:pPr>
      <w:r>
        <w:t xml:space="preserve">The definition supplies a temporal extent</w:t>
      </w:r>
      <w:r>
        <w:t xml:space="preserve"> </w:t>
      </w:r>
      <m:oMath>
        <m:r>
          <m:t>τ</m:t>
        </m:r>
      </m:oMath>
      <w:r>
        <w:t xml:space="preserve">, a causal size</w:t>
      </w:r>
      <w:r>
        <w:t xml:space="preserve"> </w:t>
      </w:r>
      <m:oMath>
        <m:r>
          <m:t>a</m:t>
        </m:r>
      </m:oMath>
      <w:r>
        <w:t xml:space="preserve">, and an energy</w:t>
      </w:r>
      <w:r>
        <w:t xml:space="preserve"> </w:t>
      </w:r>
      <m:oMath>
        <m:r>
          <m:t>ϵ</m:t>
        </m:r>
      </m:oMath>
      <w:r>
        <w:t xml:space="preserve">. The words</w:t>
      </w:r>
      <w:r>
        <w:t xml:space="preserve"> </w:t>
      </w:r>
      <w:r>
        <w:rPr>
          <w:i/>
          <w:iCs/>
        </w:rPr>
        <w:t xml:space="preserve">least-action cell</w:t>
      </w:r>
      <w:r>
        <w:t xml:space="preserve"> </w:t>
      </w:r>
      <w:r>
        <w:t xml:space="preserve">do not by themselves fix how cells interact, how they are created, or how matter changes their density. Those are dynamical questions and are kept separate.</w:t>
      </w:r>
    </w:p>
    <w:bookmarkEnd w:id="28"/>
    <w:bookmarkStart w:id="29" w:name="the-two-scalar-handles"/>
    <w:p>
      <w:pPr>
        <w:pStyle w:val="Heading2"/>
      </w:pPr>
      <w:r>
        <w:t xml:space="preserve">2.2 The two scalar handles</w:t>
      </w:r>
    </w:p>
    <w:p>
      <w:pPr>
        <w:pStyle w:val="FirstParagraph"/>
      </w:pPr>
      <w:r>
        <w:t xml:space="preserve">Let the undisturbed state have cell size</w:t>
      </w:r>
      <w:r>
        <w:t xml:space="preserve"> </w:t>
      </w:r>
      <m:oMath>
        <m:sSub>
          <m:e>
            <m:r>
              <m:t>a</m:t>
            </m:r>
          </m:e>
          <m:sub>
            <m:r>
              <m:t>0</m:t>
            </m:r>
          </m:sub>
        </m:sSub>
      </m:oMath>
      <w:r>
        <w:t xml:space="preserve"> </w:t>
      </w:r>
      <w:r>
        <w:t xml:space="preserve">and proper number density</w:t>
      </w:r>
      <w:r>
        <w:t xml:space="preserve"> </w:t>
      </w:r>
      <m:oMath>
        <m:sSub>
          <m:e>
            <m:r>
              <m:t>n</m:t>
            </m:r>
          </m:e>
          <m:sub>
            <m:r>
              <m:t>0</m:t>
            </m:r>
          </m:sub>
        </m:sSub>
      </m:oMath>
      <w:r>
        <w:t xml:space="preserve">. Define dimensionless logarithmic fields</w:t>
      </w:r>
    </w:p>
    <w:p>
      <w:pPr>
        <w:pStyle w:val="BodyText"/>
      </w:pPr>
      <m:oMathPara>
        <m:oMathParaPr>
          <m:jc m:val="center"/>
        </m:oMathParaPr>
        <m:oMath>
          <m:borderBox>
            <m:e>
              <m:r>
                <m:t>α</m:t>
              </m:r>
              <m:d>
                <m:dPr>
                  <m:begChr m:val="("/>
                  <m:endChr m:val=")"/>
                  <m:sepChr m:val=""/>
                  <m:grow/>
                </m:dPr>
                <m:e>
                  <m:r>
                    <m:t>x</m:t>
                  </m:r>
                </m:e>
              </m:d>
              <m:r>
                <m:rPr>
                  <m:sty m:val="p"/>
                </m:rPr>
                <m:t>=</m:t>
              </m:r>
              <m:r>
                <m:rPr>
                  <m:sty m:val="p"/>
                </m:rPr>
                <m:t>ln</m:t>
              </m:r>
              <m:f>
                <m:fPr>
                  <m:type m:val="bar"/>
                </m:fPr>
                <m:num>
                  <m:r>
                    <m:t>a</m:t>
                  </m:r>
                  <m:d>
                    <m:dPr>
                      <m:begChr m:val="("/>
                      <m:endChr m:val=")"/>
                      <m:sepChr m:val=""/>
                      <m:grow/>
                    </m:dPr>
                    <m:e>
                      <m:r>
                        <m:t>x</m:t>
                      </m:r>
                    </m:e>
                  </m:d>
                </m:num>
                <m:den>
                  <m:sSub>
                    <m:e>
                      <m:r>
                        <m:t>a</m:t>
                      </m:r>
                    </m:e>
                    <m:sub>
                      <m:r>
                        <m:t>0</m:t>
                      </m:r>
                    </m:sub>
                  </m:sSub>
                </m:den>
              </m:f>
              <m:r>
                <m:rPr>
                  <m:sty m:val="p"/>
                </m:rPr>
                <m:t>,</m:t>
              </m:r>
              <m:r>
                <m:t>  </m:t>
              </m:r>
              <m:r>
                <m:t>ν</m:t>
              </m:r>
              <m:d>
                <m:dPr>
                  <m:begChr m:val="("/>
                  <m:endChr m:val=")"/>
                  <m:sepChr m:val=""/>
                  <m:grow/>
                </m:dPr>
                <m:e>
                  <m:r>
                    <m:t>x</m:t>
                  </m:r>
                </m:e>
              </m:d>
              <m:r>
                <m:rPr>
                  <m:sty m:val="p"/>
                </m:rPr>
                <m:t>=</m:t>
              </m:r>
              <m:r>
                <m:rPr>
                  <m:sty m:val="p"/>
                </m:rPr>
                <m:t>ln</m:t>
              </m:r>
              <m:f>
                <m:fPr>
                  <m:type m:val="bar"/>
                </m:fPr>
                <m:num>
                  <m:r>
                    <m:t>n</m:t>
                  </m:r>
                  <m:d>
                    <m:dPr>
                      <m:begChr m:val="("/>
                      <m:endChr m:val=")"/>
                      <m:sepChr m:val=""/>
                      <m:grow/>
                    </m:dPr>
                    <m:e>
                      <m:r>
                        <m:t>x</m:t>
                      </m:r>
                    </m:e>
                  </m:d>
                </m:num>
                <m:den>
                  <m:sSub>
                    <m:e>
                      <m:r>
                        <m:t>n</m:t>
                      </m:r>
                    </m:e>
                    <m:sub>
                      <m:r>
                        <m:t>0</m:t>
                      </m:r>
                    </m:sub>
                  </m:sSub>
                </m:den>
              </m:f>
              <m:r>
                <m:rPr>
                  <m:sty m:val="p"/>
                </m:rPr>
                <m:t>.</m:t>
              </m:r>
            </m:e>
          </m:borderBox>
        </m:oMath>
      </m:oMathPara>
    </w:p>
    <w:p>
      <w:pPr>
        <w:pStyle w:val="FirstParagraph"/>
      </w:pPr>
      <w:r>
        <w:t xml:space="preserve">These variables are preferable to</w:t>
      </w:r>
      <w:r>
        <w:t xml:space="preserve"> </w:t>
      </w:r>
      <m:oMath>
        <m:r>
          <m:t>a</m:t>
        </m:r>
      </m:oMath>
      <w:r>
        <w:t xml:space="preserve"> </w:t>
      </w:r>
      <w:r>
        <w:t xml:space="preserve">and</w:t>
      </w:r>
      <w:r>
        <w:t xml:space="preserve"> </w:t>
      </w:r>
      <m:oMath>
        <m:r>
          <m:t>n</m:t>
        </m:r>
      </m:oMath>
      <w:r>
        <w:t xml:space="preserve"> </w:t>
      </w:r>
      <w:r>
        <w:t xml:space="preserve">directly because positivity is automatic:</w:t>
      </w:r>
    </w:p>
    <w:p>
      <w:pPr>
        <w:pStyle w:val="BodyText"/>
      </w:pPr>
      <m:oMathPara>
        <m:oMathParaPr>
          <m:jc m:val="center"/>
        </m:oMathParaPr>
        <m:oMath>
          <m:r>
            <m:t>a</m:t>
          </m:r>
          <m:r>
            <m:rPr>
              <m:sty m:val="p"/>
            </m:rPr>
            <m:t>=</m:t>
          </m:r>
          <m:sSub>
            <m:e>
              <m:r>
                <m:t>a</m:t>
              </m:r>
            </m:e>
            <m:sub>
              <m:r>
                <m:t>0</m:t>
              </m:r>
            </m:sub>
          </m:sSub>
          <m:sSup>
            <m:e>
              <m:r>
                <m:t>e</m:t>
              </m:r>
            </m:e>
            <m:sup>
              <m:r>
                <m:t>α</m:t>
              </m:r>
            </m:sup>
          </m:sSup>
          <m:r>
            <m:rPr>
              <m:sty m:val="p"/>
            </m:rPr>
            <m:t>,</m:t>
          </m:r>
          <m:r>
            <m:t>  </m:t>
          </m:r>
          <m:r>
            <m:t>n</m:t>
          </m:r>
          <m:r>
            <m:rPr>
              <m:sty m:val="p"/>
            </m:rPr>
            <m:t>=</m:t>
          </m:r>
          <m:sSub>
            <m:e>
              <m:r>
                <m:t>n</m:t>
              </m:r>
            </m:e>
            <m:sub>
              <m:r>
                <m:t>0</m:t>
              </m:r>
            </m:sub>
          </m:sSub>
          <m:sSup>
            <m:e>
              <m:r>
                <m:t>e</m:t>
              </m:r>
            </m:e>
            <m:sup>
              <m:r>
                <m:t>ν</m:t>
              </m:r>
            </m:sup>
          </m:sSup>
          <m:r>
            <m:rPr>
              <m:sty m:val="p"/>
            </m:rPr>
            <m:t>.</m:t>
          </m:r>
        </m:oMath>
      </m:oMathPara>
    </w:p>
    <w:p>
      <w:pPr>
        <w:pStyle w:val="FirstParagraph"/>
      </w:pPr>
      <w:r>
        <w:t xml:space="preserve">They also linearise the weak-field relations.</w:t>
      </w:r>
    </w:p>
    <w:p>
      <w:pPr>
        <w:pStyle w:val="Compact"/>
        <w:numPr>
          <w:ilvl w:val="0"/>
          <w:numId w:val="1001"/>
        </w:numPr>
      </w:pPr>
      <m:oMath>
        <m:r>
          <m:t>α</m:t>
        </m:r>
      </m:oMath>
      <w:r>
        <w:t xml:space="preserve"> </w:t>
      </w:r>
      <w:r>
        <w:t xml:space="preserve">is the</w:t>
      </w:r>
      <w:r>
        <w:t xml:space="preserve"> </w:t>
      </w:r>
      <w:r>
        <w:rPr>
          <w:b/>
          <w:bCs/>
        </w:rPr>
        <w:t xml:space="preserve">size or clock mode</w:t>
      </w:r>
      <w:r>
        <w:t xml:space="preserve">.</w:t>
      </w:r>
    </w:p>
    <w:p>
      <w:pPr>
        <w:pStyle w:val="Compact"/>
        <w:numPr>
          <w:ilvl w:val="0"/>
          <w:numId w:val="1001"/>
        </w:numPr>
      </w:pPr>
      <m:oMath>
        <m:r>
          <m:t>ν</m:t>
        </m:r>
      </m:oMath>
      <w:r>
        <w:t xml:space="preserve"> </w:t>
      </w:r>
      <w:r>
        <w:t xml:space="preserve">is the</w:t>
      </w:r>
      <w:r>
        <w:t xml:space="preserve"> </w:t>
      </w:r>
      <w:r>
        <w:rPr>
          <w:b/>
          <w:bCs/>
        </w:rPr>
        <w:t xml:space="preserve">number-density mode</w:t>
      </w:r>
      <w:r>
        <w:t xml:space="preserve">.</w:t>
      </w:r>
    </w:p>
    <w:p>
      <w:pPr>
        <w:pStyle w:val="FirstParagraph"/>
      </w:pPr>
      <w:r>
        <w:t xml:space="preserve">They are independent handles. Locking</w:t>
      </w:r>
      <w:r>
        <w:t xml:space="preserve"> </w:t>
      </w:r>
      <m:oMath>
        <m:r>
          <m:t>n</m:t>
        </m:r>
        <m:sSup>
          <m:e>
            <m:r>
              <m:t>a</m:t>
            </m:r>
          </m:e>
          <m:sup>
            <m:r>
              <m:t>3</m:t>
            </m:r>
          </m:sup>
        </m:sSup>
      </m:oMath>
      <w:r>
        <w:t xml:space="preserve"> </w:t>
      </w:r>
      <w:r>
        <w:t xml:space="preserve">to a constant would eliminate the packing degree of freedom by construction.</w:t>
      </w:r>
    </w:p>
    <w:bookmarkEnd w:id="29"/>
    <w:bookmarkStart w:id="30" w:name="Xdbe5f111345212da4346433afda9c4e7a7b4403"/>
    <w:p>
      <w:pPr>
        <w:pStyle w:val="Heading2"/>
      </w:pPr>
      <w:r>
        <w:t xml:space="preserve">2.3 The cyclic phase and the arrow of evolution</w:t>
      </w:r>
    </w:p>
    <w:p>
      <w:pPr>
        <w:pStyle w:val="FirstParagraph"/>
      </w:pPr>
      <w:r>
        <w:t xml:space="preserve">The existing least-cost holonomy framework already contains a complex cyclic field</w:t>
      </w:r>
    </w:p>
    <w:p>
      <w:pPr>
        <w:pStyle w:val="BodyText"/>
      </w:pPr>
      <m:oMathPara>
        <m:oMathParaPr>
          <m:jc m:val="center"/>
        </m:oMathParaPr>
        <m:oMath>
          <m:r>
            <m:t>ψ</m:t>
          </m:r>
          <m:r>
            <m:rPr>
              <m:sty m:val="p"/>
            </m:rPr>
            <m:t>=</m:t>
          </m:r>
          <m:r>
            <m:t>R</m:t>
          </m:r>
          <m:sSup>
            <m:e>
              <m:r>
                <m:t>e</m:t>
              </m:r>
            </m:e>
            <m:sup>
              <m:r>
                <m:t>i</m:t>
              </m:r>
              <m:r>
                <m:t>θ</m:t>
              </m:r>
            </m:sup>
          </m:sSup>
          <m:r>
            <m:rPr>
              <m:sty m:val="p"/>
            </m:rPr>
            <m:t>.</m:t>
          </m:r>
        </m:oMath>
      </m:oMathPara>
    </w:p>
    <w:p>
      <w:pPr>
        <w:pStyle w:val="FirstParagraph"/>
      </w:pPr>
      <w:r>
        <w:t xml:space="preserve">Where the phase gradient is timelike, define a future-directed unit congruence</w:t>
      </w:r>
    </w:p>
    <w:p>
      <w:pPr>
        <w:pStyle w:val="BodyText"/>
      </w:pPr>
      <m:oMathPara>
        <m:oMathParaPr>
          <m:jc m:val="center"/>
        </m:oMathParaPr>
        <m:oMath>
          <m:borderBox>
            <m:e>
              <m:sSub>
                <m:e>
                  <m:r>
                    <m:t>u</m:t>
                  </m:r>
                </m:e>
                <m:sub>
                  <m:r>
                    <m:t>μ</m:t>
                  </m:r>
                </m:sub>
              </m:sSub>
              <m:r>
                <m:rPr>
                  <m:sty m:val="p"/>
                </m:rPr>
                <m:t>=</m:t>
              </m:r>
              <m:r>
                <m:rPr>
                  <m:sty m:val="p"/>
                </m:rPr>
                <m:t>−</m:t>
              </m:r>
              <m:f>
                <m:fPr>
                  <m:type m:val="bar"/>
                </m:fPr>
                <m:num>
                  <m:sSub>
                    <m:e>
                      <m:r>
                        <m:rPr>
                          <m:sty m:val="p"/>
                        </m:rPr>
                        <m:t>∇</m:t>
                      </m:r>
                    </m:e>
                    <m:sub>
                      <m:r>
                        <m:t>μ</m:t>
                      </m:r>
                    </m:sub>
                  </m:sSub>
                  <m:r>
                    <m:t>θ</m:t>
                  </m:r>
                </m:num>
                <m:den>
                  <m:rad>
                    <m:radPr>
                      <m:degHide m:val="on"/>
                    </m:radPr>
                    <m:deg/>
                    <m:e>
                      <m:r>
                        <m:rPr>
                          <m:sty m:val="p"/>
                        </m:rPr>
                        <m:t>−</m:t>
                      </m:r>
                      <m:sSub>
                        <m:e>
                          <m:r>
                            <m:rPr>
                              <m:sty m:val="p"/>
                            </m:rPr>
                            <m:t>∇</m:t>
                          </m:r>
                        </m:e>
                        <m:sub>
                          <m:r>
                            <m:t>ρ</m:t>
                          </m:r>
                        </m:sub>
                      </m:sSub>
                      <m:r>
                        <m:t>θ</m:t>
                      </m:r>
                      <m:sSup>
                        <m:e>
                          <m:r>
                            <m:rPr>
                              <m:sty m:val="p"/>
                            </m:rPr>
                            <m:t>∇</m:t>
                          </m:r>
                        </m:e>
                        <m:sup>
                          <m:r>
                            <m:t>ρ</m:t>
                          </m:r>
                        </m:sup>
                      </m:sSup>
                      <m:r>
                        <m:t>θ</m:t>
                      </m:r>
                    </m:e>
                  </m:rad>
                </m:den>
              </m:f>
              <m:r>
                <m:rPr>
                  <m:sty m:val="p"/>
                </m:rPr>
                <m:t>.</m:t>
              </m:r>
            </m:e>
          </m:borderBox>
        </m:oMath>
      </m:oMathPara>
    </w:p>
    <w:p>
      <w:pPr>
        <w:pStyle w:val="FirstParagraph"/>
      </w:pPr>
      <w:r>
        <w:t xml:space="preserve">The sign is chosen so that</w:t>
      </w:r>
      <w:r>
        <w:t xml:space="preserve"> </w:t>
      </w:r>
      <m:oMath>
        <m:sSup>
          <m:e>
            <m:r>
              <m:t>u</m:t>
            </m:r>
          </m:e>
          <m:sup>
            <m:r>
              <m:t>0</m:t>
            </m:r>
          </m:sup>
        </m:sSup>
        <m:r>
          <m:rPr>
            <m:sty m:val="p"/>
          </m:rPr>
          <m:t>&gt;</m:t>
        </m:r>
        <m:r>
          <m:t>0</m:t>
        </m:r>
      </m:oMath>
      <w:r>
        <w:t xml:space="preserve">. The phase is not a third force handle; it supplies the time orientation and local rest frame in which cell duration, size and density are measured.</w:t>
      </w:r>
    </w:p>
    <w:bookmarkEnd w:id="30"/>
    <w:bookmarkEnd w:id="31"/>
    <w:bookmarkStart w:id="32" w:name="the-exact-kinematic-identity"/>
    <w:p>
      <w:pPr>
        <w:pStyle w:val="Heading1"/>
      </w:pPr>
      <w:r>
        <w:t xml:space="preserve">3. The exact kinematic identity</w:t>
      </w:r>
    </w:p>
    <w:p>
      <w:pPr>
        <w:pStyle w:val="FirstParagraph"/>
      </w:pPr>
      <w:r>
        <w:t xml:space="preserve">A local clock counts cell cycles. Since</w:t>
      </w:r>
      <w:r>
        <w:t xml:space="preserve"> </w:t>
      </w:r>
      <m:oMath>
        <m:r>
          <m:t>a</m:t>
        </m:r>
        <m:r>
          <m:rPr>
            <m:sty m:val="p"/>
          </m:rPr>
          <m:t>=</m:t>
        </m:r>
        <m:r>
          <m:t>c</m:t>
        </m:r>
        <m:r>
          <m:t>τ</m:t>
        </m:r>
      </m:oMath>
      <w:r>
        <w:t xml:space="preserve">, the relative clock-rate factor is</w:t>
      </w:r>
    </w:p>
    <w:p>
      <w:pPr>
        <w:pStyle w:val="BodyText"/>
      </w:pPr>
      <m:oMathPara>
        <m:oMathParaPr>
          <m:jc m:val="center"/>
        </m:oMathParaPr>
        <m:oMath>
          <m:r>
            <m:t>T</m:t>
          </m:r>
          <m:box>
            <m:boxPr>
              <m:opEmu m:val="on"/>
            </m:boxPr>
            <m:e>
              <m:r>
                <m:rPr>
                  <m:sty m:val="p"/>
                </m:rPr>
                <m:t>:=</m:t>
              </m:r>
            </m:e>
          </m:box>
          <m:f>
            <m:fPr>
              <m:type m:val="bar"/>
            </m:fPr>
            <m:num>
              <m:sSub>
                <m:e>
                  <m:r>
                    <m:t>τ</m:t>
                  </m:r>
                </m:e>
                <m:sub>
                  <m:r>
                    <m:t>0</m:t>
                  </m:r>
                </m:sub>
              </m:sSub>
            </m:num>
            <m:den>
              <m:r>
                <m:t>τ</m:t>
              </m:r>
            </m:den>
          </m:f>
          <m:r>
            <m:rPr>
              <m:sty m:val="p"/>
            </m:rPr>
            <m:t>=</m:t>
          </m:r>
          <m:f>
            <m:fPr>
              <m:type m:val="bar"/>
            </m:fPr>
            <m:num>
              <m:sSub>
                <m:e>
                  <m:r>
                    <m:t>a</m:t>
                  </m:r>
                </m:e>
                <m:sub>
                  <m:r>
                    <m:t>0</m:t>
                  </m:r>
                </m:sub>
              </m:sSub>
            </m:num>
            <m:den>
              <m:r>
                <m:t>a</m:t>
              </m:r>
            </m:den>
          </m:f>
          <m:r>
            <m:rPr>
              <m:sty m:val="p"/>
            </m:rPr>
            <m:t>=</m:t>
          </m:r>
          <m:sSup>
            <m:e>
              <m:r>
                <m:t>e</m:t>
              </m:r>
            </m:e>
            <m:sup>
              <m:r>
                <m:rPr>
                  <m:sty m:val="p"/>
                </m:rPr>
                <m:t>−</m:t>
              </m:r>
              <m:r>
                <m:t>α</m:t>
              </m:r>
            </m:sup>
          </m:sSup>
          <m:r>
            <m:rPr>
              <m:sty m:val="p"/>
            </m:rPr>
            <m:t>.</m:t>
          </m:r>
        </m:oMath>
      </m:oMathPara>
    </w:p>
    <w:p>
      <w:pPr>
        <w:pStyle w:val="FirstParagraph"/>
      </w:pPr>
      <w:r>
        <w:t xml:space="preserve">The packing length factor is obtained by counting cells per coordinate length and multiplying by their physical size:</w:t>
      </w:r>
    </w:p>
    <w:p>
      <w:pPr>
        <w:pStyle w:val="BodyText"/>
      </w:pPr>
      <m:oMathPara>
        <m:oMathParaPr>
          <m:jc m:val="center"/>
        </m:oMathParaPr>
        <m:oMath>
          <m:r>
            <m:rPr>
              <m:sty m:val="p"/>
              <m:scr m:val="script"/>
            </m:rPr>
            <m:t>P</m:t>
          </m:r>
          <m:box>
            <m:boxPr>
              <m:opEmu m:val="on"/>
            </m:boxPr>
            <m:e>
              <m:r>
                <m:rPr>
                  <m:sty m:val="p"/>
                </m:rPr>
                <m:t>:=</m:t>
              </m:r>
            </m:e>
          </m:box>
          <m:sSup>
            <m:e>
              <m:d>
                <m:dPr>
                  <m:begChr m:val="("/>
                  <m:endChr m:val=")"/>
                  <m:sepChr m:val=""/>
                  <m:grow/>
                </m:dPr>
                <m:e>
                  <m:f>
                    <m:fPr>
                      <m:type m:val="bar"/>
                    </m:fPr>
                    <m:num>
                      <m:r>
                        <m:t>n</m:t>
                      </m:r>
                    </m:num>
                    <m:den>
                      <m:sSub>
                        <m:e>
                          <m:r>
                            <m:t>n</m:t>
                          </m:r>
                        </m:e>
                        <m:sub>
                          <m:r>
                            <m:t>0</m:t>
                          </m:r>
                        </m:sub>
                      </m:sSub>
                    </m:den>
                  </m:f>
                </m:e>
              </m:d>
            </m:e>
            <m:sup>
              <m:r>
                <m:t>1</m:t>
              </m:r>
              <m:r>
                <m:rPr>
                  <m:sty m:val="p"/>
                </m:rPr>
                <m:t>/</m:t>
              </m:r>
              <m:r>
                <m:t>3</m:t>
              </m:r>
            </m:sup>
          </m:sSup>
          <m:f>
            <m:fPr>
              <m:type m:val="bar"/>
            </m:fPr>
            <m:num>
              <m:r>
                <m:t>a</m:t>
              </m:r>
            </m:num>
            <m:den>
              <m:sSub>
                <m:e>
                  <m:r>
                    <m:t>a</m:t>
                  </m:r>
                </m:e>
                <m:sub>
                  <m:r>
                    <m:t>0</m:t>
                  </m:r>
                </m:sub>
              </m:sSub>
            </m:den>
          </m:f>
          <m:r>
            <m:rPr>
              <m:sty m:val="p"/>
            </m:rPr>
            <m:t>=</m:t>
          </m:r>
          <m:sSup>
            <m:e>
              <m:r>
                <m:t>e</m:t>
              </m:r>
            </m:e>
            <m:sup>
              <m:r>
                <m:t>α</m:t>
              </m:r>
              <m:r>
                <m:rPr>
                  <m:sty m:val="p"/>
                </m:rPr>
                <m:t>+</m:t>
              </m:r>
              <m:r>
                <m:t>ν</m:t>
              </m:r>
              <m:r>
                <m:rPr>
                  <m:sty m:val="p"/>
                </m:rPr>
                <m:t>/</m:t>
              </m:r>
              <m:r>
                <m:t>3</m:t>
              </m:r>
            </m:sup>
          </m:sSup>
          <m:r>
            <m:rPr>
              <m:sty m:val="p"/>
            </m:rPr>
            <m:t>.</m:t>
          </m:r>
        </m:oMath>
      </m:oMathPara>
    </w:p>
    <w:p>
      <w:pPr>
        <w:pStyle w:val="FirstParagraph"/>
      </w:pPr>
      <w:r>
        <w:t xml:space="preserve">Therefore</w:t>
      </w:r>
    </w:p>
    <w:p>
      <w:pPr>
        <w:pStyle w:val="BodyText"/>
      </w:pPr>
      <m:oMathPara>
        <m:oMathParaPr>
          <m:jc m:val="center"/>
        </m:oMathParaPr>
        <m:oMath>
          <m:borderBox>
            <m:e>
              <m:r>
                <m:t>T</m:t>
              </m:r>
              <m:r>
                <m:rPr>
                  <m:sty m:val="p"/>
                  <m:scr m:val="script"/>
                </m:rPr>
                <m:t>P</m:t>
              </m:r>
              <m:r>
                <m:rPr>
                  <m:sty m:val="p"/>
                </m:rPr>
                <m:t>=</m:t>
              </m:r>
              <m:sSup>
                <m:e>
                  <m:r>
                    <m:t>e</m:t>
                  </m:r>
                </m:e>
                <m:sup>
                  <m:r>
                    <m:t>ν</m:t>
                  </m:r>
                  <m:r>
                    <m:rPr>
                      <m:sty m:val="p"/>
                    </m:rPr>
                    <m:t>/</m:t>
                  </m:r>
                  <m:r>
                    <m:t>3</m:t>
                  </m:r>
                </m:sup>
              </m:sSup>
              <m:r>
                <m:rPr>
                  <m:sty m:val="p"/>
                </m:rPr>
                <m:t>.</m:t>
              </m:r>
            </m:e>
          </m:borderBox>
        </m:oMath>
      </m:oMathPara>
    </w:p>
    <w:p>
      <w:pPr>
        <w:pStyle w:val="FirstParagraph"/>
      </w:pPr>
      <w:r>
        <w:t xml:space="preserve">This equation is an identity. It replaces the earlier unconditional assertion</w:t>
      </w:r>
      <w:r>
        <w:t xml:space="preserve"> </w:t>
      </w:r>
      <m:oMath>
        <m:r>
          <m:t>T</m:t>
        </m:r>
        <m:r>
          <m:rPr>
            <m:sty m:val="p"/>
            <m:scr m:val="script"/>
          </m:rPr>
          <m:t>P</m:t>
        </m:r>
        <m:r>
          <m:rPr>
            <m:sty m:val="p"/>
          </m:rPr>
          <m:t>=</m:t>
        </m:r>
        <m:r>
          <m:t>1</m:t>
        </m:r>
      </m:oMath>
      <w:r>
        <w:t xml:space="preserve">.</w:t>
      </w:r>
    </w:p>
    <w:p>
      <w:pPr>
        <w:pStyle w:val="BodyText"/>
      </w:pPr>
      <w:r>
        <w:t xml:space="preserve">The reciprocal lock follows only in a sector satisfying</w:t>
      </w:r>
    </w:p>
    <w:p>
      <w:pPr>
        <w:pStyle w:val="BodyText"/>
      </w:pPr>
      <m:oMathPara>
        <m:oMathParaPr>
          <m:jc m:val="center"/>
        </m:oMathParaPr>
        <m:oMath>
          <m:r>
            <m:t>ν</m:t>
          </m:r>
          <m:r>
            <m:rPr>
              <m:sty m:val="p"/>
            </m:rPr>
            <m:t>=</m:t>
          </m:r>
          <m:r>
            <m:t>0</m:t>
          </m:r>
          <m:r>
            <m:rPr>
              <m:sty m:val="p"/>
            </m:rPr>
            <m:t>.</m:t>
          </m:r>
        </m:oMath>
      </m:oMathPara>
    </w:p>
    <w:p>
      <w:pPr>
        <w:pStyle w:val="FirstParagraph"/>
      </w:pPr>
      <w:r>
        <w:t xml:space="preserve">Thus the previous relation becomes the</w:t>
      </w:r>
      <w:r>
        <w:t xml:space="preserve"> </w:t>
      </w:r>
      <w:r>
        <w:rPr>
          <w:b/>
          <w:bCs/>
        </w:rPr>
        <w:t xml:space="preserve">constant proper-number-density branch</w:t>
      </w:r>
      <w:r>
        <w:t xml:space="preserve">:</w:t>
      </w:r>
    </w:p>
    <w:p>
      <w:pPr>
        <w:pStyle w:val="BodyText"/>
      </w:pPr>
      <m:oMathPara>
        <m:oMathParaPr>
          <m:jc m:val="center"/>
        </m:oMathParaPr>
        <m:oMath>
          <m:borderBox>
            <m:e>
              <m:r>
                <m:t>ν</m:t>
              </m:r>
              <m:r>
                <m:rPr>
                  <m:sty m:val="p"/>
                </m:rPr>
                <m:t>=</m:t>
              </m:r>
              <m:r>
                <m:t>0</m:t>
              </m:r>
              <m:r>
                <m:t> </m:t>
              </m:r>
              <m:r>
                <m:rPr>
                  <m:sty m:val="p"/>
                </m:rPr>
                <m:t>⇒</m:t>
              </m:r>
              <m:r>
                <m:t> </m:t>
              </m:r>
              <m:r>
                <m:t>T</m:t>
              </m:r>
              <m:r>
                <m:rPr>
                  <m:sty m:val="p"/>
                  <m:scr m:val="script"/>
                </m:rPr>
                <m:t>P</m:t>
              </m:r>
              <m:r>
                <m:rPr>
                  <m:sty m:val="p"/>
                </m:rPr>
                <m:t>=</m:t>
              </m:r>
              <m:r>
                <m:t>1</m:t>
              </m:r>
              <m:r>
                <m:rPr>
                  <m:sty m:val="p"/>
                </m:rPr>
                <m:t>.</m:t>
              </m:r>
            </m:e>
          </m:borderBox>
        </m:oMath>
      </m:oMathPara>
    </w:p>
    <w:p>
      <w:pPr>
        <w:pStyle w:val="FirstParagraph"/>
      </w:pPr>
      <w:r>
        <w:t xml:space="preserve">This clarification is useful rather than destructive. It identifies</w:t>
      </w:r>
      <w:r>
        <w:t xml:space="preserve"> </w:t>
      </w:r>
      <m:oMath>
        <m:r>
          <m:t>ν</m:t>
        </m:r>
      </m:oMath>
      <w:r>
        <w:t xml:space="preserve"> </w:t>
      </w:r>
      <w:r>
        <w:t xml:space="preserve">as an independently observable departure from the reciprocal time-space branch.</w:t>
      </w:r>
    </w:p>
    <w:bookmarkEnd w:id="32"/>
    <w:bookmarkStart w:id="33" w:name="X2ef733d0d19f3e2f7cb838ebe5823786f2b28a1"/>
    <w:p>
      <w:pPr>
        <w:pStyle w:val="Heading1"/>
      </w:pPr>
      <w:r>
        <w:t xml:space="preserve">4. Negative inward motion is forward evolution</w:t>
      </w:r>
    </w:p>
    <w:p>
      <w:pPr>
        <w:pStyle w:val="FirstParagraph"/>
      </w:pPr>
      <w:r>
        <w:t xml:space="preserve">A negative spatial increment is not negative time evolution. Let</w:t>
      </w:r>
      <w:r>
        <w:t xml:space="preserve"> </w:t>
      </w:r>
      <m:oMath>
        <m:r>
          <m:t>r</m:t>
        </m:r>
      </m:oMath>
      <w:r>
        <w:t xml:space="preserve"> </w:t>
      </w:r>
      <w:r>
        <w:t xml:space="preserve">increase outward and introduce inward depth</w:t>
      </w:r>
    </w:p>
    <w:p>
      <w:pPr>
        <w:pStyle w:val="BodyText"/>
      </w:pPr>
      <m:oMathPara>
        <m:oMathParaPr>
          <m:jc m:val="center"/>
        </m:oMathParaPr>
        <m:oMath>
          <m:r>
            <m:t>s</m:t>
          </m:r>
          <m:box>
            <m:boxPr>
              <m:opEmu m:val="on"/>
            </m:boxPr>
            <m:e>
              <m:r>
                <m:rPr>
                  <m:sty m:val="p"/>
                </m:rPr>
                <m:t>:=</m:t>
              </m:r>
            </m:e>
          </m:box>
          <m:sSub>
            <m:e>
              <m:r>
                <m:t>r</m:t>
              </m:r>
            </m:e>
            <m:sub>
              <m:r>
                <m:rPr>
                  <m:sty m:val="p"/>
                </m:rPr>
                <m:t>r</m:t>
              </m:r>
              <m:r>
                <m:rPr>
                  <m:sty m:val="p"/>
                </m:rPr>
                <m:t>e</m:t>
              </m:r>
              <m:r>
                <m:rPr>
                  <m:sty m:val="p"/>
                </m:rPr>
                <m:t>f</m:t>
              </m:r>
            </m:sub>
          </m:sSub>
          <m:r>
            <m:rPr>
              <m:sty m:val="p"/>
            </m:rPr>
            <m:t>−</m:t>
          </m:r>
          <m:r>
            <m:t>r</m:t>
          </m:r>
          <m:r>
            <m:rPr>
              <m:sty m:val="p"/>
            </m:rPr>
            <m:t>.</m:t>
          </m:r>
        </m:oMath>
      </m:oMathPara>
    </w:p>
    <w:p>
      <w:pPr>
        <w:pStyle w:val="FirstParagraph"/>
      </w:pPr>
      <w:r>
        <w:t xml:space="preserve">For an inward-moving trajectory,</w:t>
      </w:r>
    </w:p>
    <w:p>
      <w:pPr>
        <w:pStyle w:val="BodyText"/>
      </w:pPr>
      <m:oMathPara>
        <m:oMathParaPr>
          <m:jc m:val="center"/>
        </m:oMathParaPr>
        <m:oMath>
          <m:f>
            <m:fPr>
              <m:type m:val="bar"/>
            </m:fPr>
            <m:num>
              <m:r>
                <m:t>d</m:t>
              </m:r>
              <m:r>
                <m:t>r</m:t>
              </m:r>
            </m:num>
            <m:den>
              <m:r>
                <m:t>d</m:t>
              </m:r>
              <m:r>
                <m:t>τ</m:t>
              </m:r>
            </m:den>
          </m:f>
          <m:r>
            <m:rPr>
              <m:sty m:val="p"/>
            </m:rPr>
            <m:t>&lt;</m:t>
          </m:r>
          <m:r>
            <m:t>0</m:t>
          </m:r>
          <m:r>
            <m:rPr>
              <m:sty m:val="p"/>
            </m:rPr>
            <m:t>,</m:t>
          </m:r>
          <m:r>
            <m:t>  </m:t>
          </m:r>
          <m:f>
            <m:fPr>
              <m:type m:val="bar"/>
            </m:fPr>
            <m:num>
              <m:r>
                <m:t>d</m:t>
              </m:r>
              <m:r>
                <m:t>s</m:t>
              </m:r>
            </m:num>
            <m:den>
              <m:r>
                <m:t>d</m:t>
              </m:r>
              <m:r>
                <m:t>τ</m:t>
              </m:r>
            </m:den>
          </m:f>
          <m:r>
            <m:rPr>
              <m:sty m:val="p"/>
            </m:rPr>
            <m:t>=</m:t>
          </m:r>
          <m:r>
            <m:rPr>
              <m:sty m:val="p"/>
            </m:rPr>
            <m:t>−</m:t>
          </m:r>
          <m:f>
            <m:fPr>
              <m:type m:val="bar"/>
            </m:fPr>
            <m:num>
              <m:r>
                <m:t>d</m:t>
              </m:r>
              <m:r>
                <m:t>r</m:t>
              </m:r>
            </m:num>
            <m:den>
              <m:r>
                <m:t>d</m:t>
              </m:r>
              <m:r>
                <m:t>τ</m:t>
              </m:r>
            </m:den>
          </m:f>
          <m:r>
            <m:rPr>
              <m:sty m:val="p"/>
            </m:rPr>
            <m:t>&gt;</m:t>
          </m:r>
          <m:r>
            <m:t>0</m:t>
          </m:r>
          <m:r>
            <m:rPr>
              <m:sty m:val="p"/>
            </m:rPr>
            <m:t>.</m:t>
          </m:r>
        </m:oMath>
      </m:oMathPara>
    </w:p>
    <w:p>
      <w:pPr>
        <w:pStyle w:val="FirstParagraph"/>
      </w:pPr>
      <w:r>
        <w:t xml:space="preserve">At the same time, future-directed evolution requires</w:t>
      </w:r>
    </w:p>
    <w:p>
      <w:pPr>
        <w:pStyle w:val="BodyText"/>
      </w:pPr>
      <m:oMathPara>
        <m:oMathParaPr>
          <m:jc m:val="center"/>
        </m:oMathParaPr>
        <m:oMath>
          <m:f>
            <m:fPr>
              <m:type m:val="bar"/>
            </m:fPr>
            <m:num>
              <m:r>
                <m:t>d</m:t>
              </m:r>
              <m:r>
                <m:t>τ</m:t>
              </m:r>
            </m:num>
            <m:den>
              <m:r>
                <m:t>d</m:t>
              </m:r>
              <m:r>
                <m:t>t</m:t>
              </m:r>
            </m:den>
          </m:f>
          <m:r>
            <m:rPr>
              <m:sty m:val="p"/>
            </m:rPr>
            <m:t>=</m:t>
          </m:r>
          <m:r>
            <m:t>T</m:t>
          </m:r>
          <m:r>
            <m:rPr>
              <m:sty m:val="p"/>
            </m:rPr>
            <m:t>&gt;</m:t>
          </m:r>
          <m:r>
            <m:t>0</m:t>
          </m:r>
          <m:r>
            <m:rPr>
              <m:sty m:val="p"/>
            </m:rPr>
            <m:t>.</m:t>
          </m:r>
        </m:oMath>
      </m:oMathPara>
    </w:p>
    <w:p>
      <w:pPr>
        <w:pStyle w:val="FirstParagraph"/>
      </w:pPr>
      <w:r>
        <w:t xml:space="preserve">Hence</w:t>
      </w:r>
    </w:p>
    <w:p>
      <w:pPr>
        <w:pStyle w:val="BodyText"/>
      </w:pPr>
      <m:oMathPara>
        <m:oMathParaPr>
          <m:jc m:val="center"/>
        </m:oMathParaPr>
        <m:oMath>
          <m:borderBox>
            <m:e>
              <m:f>
                <m:fPr>
                  <m:type m:val="bar"/>
                </m:fPr>
                <m:num>
                  <m:r>
                    <m:t>d</m:t>
                  </m:r>
                  <m:r>
                    <m:t>r</m:t>
                  </m:r>
                </m:num>
                <m:den>
                  <m:r>
                    <m:t>d</m:t>
                  </m:r>
                  <m:r>
                    <m:t>τ</m:t>
                  </m:r>
                </m:den>
              </m:f>
              <m:r>
                <m:rPr>
                  <m:sty m:val="p"/>
                </m:rPr>
                <m:t>&lt;</m:t>
              </m:r>
              <m:r>
                <m:t>0</m:t>
              </m:r>
              <m:r>
                <m:rPr>
                  <m:nor/>
                  <m:sty m:val="p"/>
                </m:rPr>
                <m:t> and </m:t>
              </m:r>
              <m:f>
                <m:fPr>
                  <m:type m:val="bar"/>
                </m:fPr>
                <m:num>
                  <m:r>
                    <m:t>d</m:t>
                  </m:r>
                  <m:r>
                    <m:t>τ</m:t>
                  </m:r>
                </m:num>
                <m:den>
                  <m:r>
                    <m:t>d</m:t>
                  </m:r>
                  <m:r>
                    <m:t>t</m:t>
                  </m:r>
                </m:den>
              </m:f>
              <m:r>
                <m:rPr>
                  <m:sty m:val="p"/>
                </m:rPr>
                <m:t>&gt;</m:t>
              </m:r>
              <m:r>
                <m:t>0</m:t>
              </m:r>
            </m:e>
          </m:borderBox>
        </m:oMath>
      </m:oMathPara>
    </w:p>
    <w:p>
      <w:pPr>
        <w:pStyle w:val="FirstParagraph"/>
      </w:pPr>
      <w:r>
        <w:t xml:space="preserve">means</w:t>
      </w:r>
      <w:r>
        <w:t xml:space="preserve"> </w:t>
      </w:r>
      <w:r>
        <w:rPr>
          <w:i/>
          <w:iCs/>
        </w:rPr>
        <w:t xml:space="preserve">inward in space and forward in proper time</w:t>
      </w:r>
      <w:r>
        <w:t xml:space="preserve">. The negative sign labels orientation in the radial coordinate; it is not a reversal of the evolution parameter.</w:t>
      </w:r>
    </w:p>
    <w:p>
      <w:pPr>
        <w:pStyle w:val="BodyText"/>
      </w:pPr>
      <w:r>
        <w:t xml:space="preserve">This is the rigorous version of the statement that the inward, negative-going branch remains positive evolution because the time orientation remains future-directed. In a phase formulation the same fact is carried by</w:t>
      </w:r>
      <w:r>
        <w:t xml:space="preserve"> </w:t>
      </w:r>
      <m:oMath>
        <m:sSup>
          <m:e>
            <m:r>
              <m:t>u</m:t>
            </m:r>
          </m:e>
          <m:sup>
            <m:r>
              <m:t>0</m:t>
            </m:r>
          </m:sup>
        </m:sSup>
        <m:r>
          <m:rPr>
            <m:sty m:val="p"/>
          </m:rPr>
          <m:t>&gt;</m:t>
        </m:r>
        <m:r>
          <m:t>0</m:t>
        </m:r>
      </m:oMath>
      <w:r>
        <w:t xml:space="preserve">, irrespective of the sign of a spatial component</w:t>
      </w:r>
      <w:r>
        <w:t xml:space="preserve"> </w:t>
      </w:r>
      <m:oMath>
        <m:sSup>
          <m:e>
            <m:r>
              <m:t>u</m:t>
            </m:r>
          </m:e>
          <m:sup>
            <m:r>
              <m:t>r</m:t>
            </m:r>
          </m:sup>
        </m:sSup>
      </m:oMath>
      <w:r>
        <w:t xml:space="preserve">.</w:t>
      </w:r>
    </w:p>
    <w:bookmarkEnd w:id="33"/>
    <w:bookmarkStart w:id="37" w:name="metric-reconstruction"/>
    <w:p>
      <w:pPr>
        <w:pStyle w:val="Heading1"/>
      </w:pPr>
      <w:r>
        <w:t xml:space="preserve">5. Metric reconstruction</w:t>
      </w:r>
    </w:p>
    <w:bookmarkStart w:id="34" w:name="scalar-sector-reconstruction"/>
    <w:p>
      <w:pPr>
        <w:pStyle w:val="Heading2"/>
      </w:pPr>
      <w:r>
        <w:t xml:space="preserve">5.1 Scalar-sector reconstruction</w:t>
      </w:r>
    </w:p>
    <w:p>
      <w:pPr>
        <w:pStyle w:val="FirstParagraph"/>
      </w:pPr>
      <w:r>
        <w:t xml:space="preserve">Let</w:t>
      </w:r>
      <w:r>
        <w:t xml:space="preserve"> </w:t>
      </w:r>
      <m:oMath>
        <m:sSub>
          <m:e>
            <m:r>
              <m:t>u</m:t>
            </m:r>
          </m:e>
          <m:sub>
            <m:r>
              <m:t>μ</m:t>
            </m:r>
          </m:sub>
        </m:sSub>
      </m:oMath>
      <w:r>
        <w:t xml:space="preserve"> </w:t>
      </w:r>
      <w:r>
        <w:t xml:space="preserve">define the local time direction and let</w:t>
      </w:r>
    </w:p>
    <w:p>
      <w:pPr>
        <w:pStyle w:val="BodyText"/>
      </w:pPr>
      <m:oMathPara>
        <m:oMathParaPr>
          <m:jc m:val="center"/>
        </m:oMathParaPr>
        <m:oMath>
          <m:sSub>
            <m:e>
              <m:r>
                <m:t>h</m:t>
              </m:r>
            </m:e>
            <m:sub>
              <m:r>
                <m:t>μ</m:t>
              </m:r>
              <m:r>
                <m:t>ν</m:t>
              </m:r>
            </m:sub>
          </m:sSub>
          <m:r>
            <m:rPr>
              <m:sty m:val="p"/>
            </m:rPr>
            <m:t>=</m:t>
          </m:r>
          <m:sSub>
            <m:e>
              <m:acc>
                <m:accPr>
                  <m:chr m:val="‾"/>
                </m:accPr>
                <m:e>
                  <m:r>
                    <m:t>g</m:t>
                  </m:r>
                </m:e>
              </m:acc>
            </m:e>
            <m:sub>
              <m:r>
                <m:t>μ</m:t>
              </m:r>
              <m:r>
                <m:t>ν</m:t>
              </m:r>
            </m:sub>
          </m:sSub>
          <m:r>
            <m:rPr>
              <m:sty m:val="p"/>
            </m:rPr>
            <m:t>+</m:t>
          </m:r>
          <m:sSub>
            <m:e>
              <m:r>
                <m:t>u</m:t>
              </m:r>
            </m:e>
            <m:sub>
              <m:r>
                <m:t>μ</m:t>
              </m:r>
            </m:sub>
          </m:sSub>
          <m:sSub>
            <m:e>
              <m:r>
                <m:t>u</m:t>
              </m:r>
            </m:e>
            <m:sub>
              <m:r>
                <m:t>ν</m:t>
              </m:r>
            </m:sub>
          </m:sSub>
        </m:oMath>
      </m:oMathPara>
    </w:p>
    <w:p>
      <w:pPr>
        <w:pStyle w:val="FirstParagraph"/>
      </w:pPr>
      <w:r>
        <w:t xml:space="preserve">be the spatial projector relative to an auxiliary or reference geometry</w:t>
      </w:r>
      <w:r>
        <w:t xml:space="preserve"> </w:t>
      </w:r>
      <m:oMath>
        <m:sSub>
          <m:e>
            <m:acc>
              <m:accPr>
                <m:chr m:val="‾"/>
              </m:accPr>
              <m:e>
                <m:r>
                  <m:t>g</m:t>
                </m:r>
              </m:e>
            </m:acc>
          </m:e>
          <m:sub>
            <m:r>
              <m:t>μ</m:t>
            </m:r>
            <m:r>
              <m:t>ν</m:t>
            </m:r>
          </m:sub>
        </m:sSub>
      </m:oMath>
      <w:r>
        <w:t xml:space="preserve">. A minimum scalar-sector reconstruction is</w:t>
      </w:r>
    </w:p>
    <w:p>
      <w:pPr>
        <w:pStyle w:val="BodyText"/>
      </w:pPr>
      <m:oMathPara>
        <m:oMathParaPr>
          <m:jc m:val="center"/>
        </m:oMathParaPr>
        <m:oMath>
          <m:borderBox>
            <m:e>
              <m:sSubSup>
                <m:e>
                  <m:r>
                    <m:t>g</m:t>
                  </m:r>
                </m:e>
                <m:sub>
                  <m:r>
                    <m:t>μ</m:t>
                  </m:r>
                  <m:r>
                    <m:t>ν</m:t>
                  </m:r>
                </m:sub>
                <m:sup>
                  <m:r>
                    <m:rPr>
                      <m:sty m:val="p"/>
                    </m:rPr>
                    <m:t>B</m:t>
                  </m:r>
                </m:sup>
              </m:sSubSup>
              <m:r>
                <m:rPr>
                  <m:sty m:val="p"/>
                </m:rPr>
                <m:t>=</m:t>
              </m:r>
              <m:r>
                <m:rPr>
                  <m:sty m:val="p"/>
                </m:rPr>
                <m:t>−</m:t>
              </m:r>
              <m:sSup>
                <m:e>
                  <m:r>
                    <m:t>T</m:t>
                  </m:r>
                </m:e>
                <m:sup>
                  <m:r>
                    <m:t>2</m:t>
                  </m:r>
                </m:sup>
              </m:sSup>
              <m:sSub>
                <m:e>
                  <m:r>
                    <m:t>u</m:t>
                  </m:r>
                </m:e>
                <m:sub>
                  <m:r>
                    <m:t>μ</m:t>
                  </m:r>
                </m:sub>
              </m:sSub>
              <m:sSub>
                <m:e>
                  <m:r>
                    <m:t>u</m:t>
                  </m:r>
                </m:e>
                <m:sub>
                  <m:r>
                    <m:t>ν</m:t>
                  </m:r>
                </m:sub>
              </m:sSub>
              <m:r>
                <m:rPr>
                  <m:sty m:val="p"/>
                </m:rPr>
                <m:t>+</m:t>
              </m:r>
              <m:sSup>
                <m:e>
                  <m:r>
                    <m:rPr>
                      <m:sty m:val="p"/>
                      <m:scr m:val="script"/>
                    </m:rPr>
                    <m:t>P</m:t>
                  </m:r>
                </m:e>
                <m:sup>
                  <m:r>
                    <m:t>2</m:t>
                  </m:r>
                </m:sup>
              </m:sSup>
              <m:sSub>
                <m:e>
                  <m:r>
                    <m:t>h</m:t>
                  </m:r>
                </m:e>
                <m:sub>
                  <m:r>
                    <m:t>μ</m:t>
                  </m:r>
                  <m:r>
                    <m:t>ν</m:t>
                  </m:r>
                </m:sub>
              </m:sSub>
              <m:r>
                <m:rPr>
                  <m:sty m:val="p"/>
                </m:rPr>
                <m:t>.</m:t>
              </m:r>
            </m:e>
          </m:borderBox>
        </m:oMath>
      </m:oMathPara>
    </w:p>
    <w:p>
      <w:pPr>
        <w:pStyle w:val="FirstParagraph"/>
      </w:pPr>
      <w:r>
        <w:t xml:space="preserve">This is a conformal-disformal map: the phase defines the time direction,</w:t>
      </w:r>
      <w:r>
        <w:t xml:space="preserve"> </w:t>
      </w:r>
      <m:oMath>
        <m:r>
          <m:t>α</m:t>
        </m:r>
      </m:oMath>
      <w:r>
        <w:t xml:space="preserve"> </w:t>
      </w:r>
      <w:r>
        <w:t xml:space="preserve">scales clocks, and</w:t>
      </w:r>
      <w:r>
        <w:t xml:space="preserve"> </w:t>
      </w:r>
      <m:oMath>
        <m:r>
          <m:t>α</m:t>
        </m:r>
        <m:r>
          <m:rPr>
            <m:sty m:val="p"/>
          </m:rPr>
          <m:t>+</m:t>
        </m:r>
        <m:r>
          <m:t>ν</m:t>
        </m:r>
        <m:r>
          <m:rPr>
            <m:sty m:val="p"/>
          </m:rPr>
          <m:t>/</m:t>
        </m:r>
        <m:r>
          <m:t>3</m:t>
        </m:r>
      </m:oMath>
      <w:r>
        <w:t xml:space="preserve"> </w:t>
      </w:r>
      <w:r>
        <w:t xml:space="preserve">scales the orthogonal spatial sector.</w:t>
      </w:r>
    </w:p>
    <w:p>
      <w:pPr>
        <w:pStyle w:val="BodyText"/>
      </w:pPr>
      <w:r>
        <w:t xml:space="preserve">This ansatz does not represent every possible spacetime metric. Two scalars describe the scalar gravitational sector; vector and tensor gravitational modes require the phase congruence, additional geometry, or a more general tetrad construction. That limitation is explicit.</w:t>
      </w:r>
    </w:p>
    <w:bookmarkEnd w:id="34"/>
    <w:bookmarkStart w:id="35" w:name="weak-field-map"/>
    <w:p>
      <w:pPr>
        <w:pStyle w:val="Heading2"/>
      </w:pPr>
      <w:r>
        <w:t xml:space="preserve">5.2 Weak-field map</w:t>
      </w:r>
    </w:p>
    <w:p>
      <w:pPr>
        <w:pStyle w:val="FirstParagraph"/>
      </w:pPr>
      <w:r>
        <w:t xml:space="preserve">Write the weak-field metric in Newtonian gauge as</w:t>
      </w:r>
    </w:p>
    <w:p>
      <w:pPr>
        <w:pStyle w:val="BodyText"/>
      </w:pPr>
      <m:oMathPara>
        <m:oMathParaPr>
          <m:jc m:val="center"/>
        </m:oMathParaPr>
        <m:oMath>
          <m:r>
            <m:t>d</m:t>
          </m:r>
          <m:sSup>
            <m:e>
              <m:r>
                <m:t>s</m:t>
              </m:r>
            </m:e>
            <m:sup>
              <m:r>
                <m:t>2</m:t>
              </m:r>
            </m:sup>
          </m:sSup>
          <m:r>
            <m:rPr>
              <m:sty m:val="p"/>
            </m:rPr>
            <m:t>=</m:t>
          </m:r>
          <m:r>
            <m:rPr>
              <m:sty m:val="p"/>
            </m:rPr>
            <m:t>−</m:t>
          </m:r>
          <m:d>
            <m:dPr>
              <m:begChr m:val="("/>
              <m:endChr m:val=")"/>
              <m:sepChr m:val=""/>
              <m:grow/>
            </m:dPr>
            <m:e>
              <m:r>
                <m:t>1</m:t>
              </m:r>
              <m:r>
                <m:rPr>
                  <m:sty m:val="p"/>
                </m:rPr>
                <m:t>+</m:t>
              </m:r>
              <m:f>
                <m:fPr>
                  <m:type m:val="bar"/>
                </m:fPr>
                <m:num>
                  <m:r>
                    <m:t>2</m:t>
                  </m:r>
                  <m:r>
                    <m:t>Φ</m:t>
                  </m:r>
                </m:num>
                <m:den>
                  <m:sSup>
                    <m:e>
                      <m:r>
                        <m:t>c</m:t>
                      </m:r>
                    </m:e>
                    <m:sup>
                      <m:r>
                        <m:t>2</m:t>
                      </m:r>
                    </m:sup>
                  </m:sSup>
                </m:den>
              </m:f>
            </m:e>
          </m:d>
          <m:sSup>
            <m:e>
              <m:r>
                <m:t>c</m:t>
              </m:r>
            </m:e>
            <m:sup>
              <m:r>
                <m:t>2</m:t>
              </m:r>
            </m:sup>
          </m:sSup>
          <m:r>
            <m:t>d</m:t>
          </m:r>
          <m:sSup>
            <m:e>
              <m:r>
                <m:t>t</m:t>
              </m:r>
            </m:e>
            <m:sup>
              <m:r>
                <m:t>2</m:t>
              </m:r>
            </m:sup>
          </m:sSup>
          <m:r>
            <m:rPr>
              <m:sty m:val="p"/>
            </m:rPr>
            <m:t>+</m:t>
          </m:r>
          <m:d>
            <m:dPr>
              <m:begChr m:val="("/>
              <m:endChr m:val=")"/>
              <m:sepChr m:val=""/>
              <m:grow/>
            </m:dPr>
            <m:e>
              <m:r>
                <m:t>1</m:t>
              </m:r>
              <m:r>
                <m:rPr>
                  <m:sty m:val="p"/>
                </m:rPr>
                <m:t>−</m:t>
              </m:r>
              <m:f>
                <m:fPr>
                  <m:type m:val="bar"/>
                </m:fPr>
                <m:num>
                  <m:r>
                    <m:t>2</m:t>
                  </m:r>
                  <m:sSub>
                    <m:e>
                      <m:r>
                        <m:t>Ψ</m:t>
                      </m:r>
                    </m:e>
                    <m:sub>
                      <m:r>
                        <m:t>g</m:t>
                      </m:r>
                    </m:sub>
                  </m:sSub>
                </m:num>
                <m:den>
                  <m:sSup>
                    <m:e>
                      <m:r>
                        <m:t>c</m:t>
                      </m:r>
                    </m:e>
                    <m:sup>
                      <m:r>
                        <m:t>2</m:t>
                      </m:r>
                    </m:sup>
                  </m:sSup>
                </m:den>
              </m:f>
            </m:e>
          </m:d>
          <m:r>
            <m:t>d</m:t>
          </m:r>
          <m:sSup>
            <m:e>
              <m:r>
                <m:rPr>
                  <m:sty m:val="b"/>
                </m:rPr>
                <m:t>x</m:t>
              </m:r>
            </m:e>
            <m:sup>
              <m:r>
                <m:t>2</m:t>
              </m:r>
            </m:sup>
          </m:sSup>
          <m:r>
            <m:rPr>
              <m:sty m:val="p"/>
            </m:rPr>
            <m:t>.</m:t>
          </m:r>
        </m:oMath>
      </m:oMathPara>
    </w:p>
    <w:p>
      <w:pPr>
        <w:pStyle w:val="FirstParagraph"/>
      </w:pPr>
      <w:r>
        <w:t xml:space="preserve">Expanding the bubble factors,</w:t>
      </w:r>
    </w:p>
    <w:p>
      <w:pPr>
        <w:pStyle w:val="BodyText"/>
      </w:pPr>
      <m:oMathPara>
        <m:oMathParaPr>
          <m:jc m:val="center"/>
        </m:oMathParaPr>
        <m:oMath>
          <m:sSup>
            <m:e>
              <m:r>
                <m:t>T</m:t>
              </m:r>
            </m:e>
            <m:sup>
              <m:r>
                <m:t>2</m:t>
              </m:r>
            </m:sup>
          </m:sSup>
          <m:r>
            <m:rPr>
              <m:sty m:val="p"/>
            </m:rPr>
            <m:t>=</m:t>
          </m:r>
          <m:sSup>
            <m:e>
              <m:r>
                <m:t>e</m:t>
              </m:r>
            </m:e>
            <m:sup>
              <m:r>
                <m:rPr>
                  <m:sty m:val="p"/>
                </m:rPr>
                <m:t>−</m:t>
              </m:r>
              <m:r>
                <m:t>2</m:t>
              </m:r>
              <m:r>
                <m:t>α</m:t>
              </m:r>
            </m:sup>
          </m:sSup>
          <m:r>
            <m:rPr>
              <m:sty m:val="p"/>
            </m:rPr>
            <m:t>≃</m:t>
          </m:r>
          <m:r>
            <m:t>1</m:t>
          </m:r>
          <m:r>
            <m:rPr>
              <m:sty m:val="p"/>
            </m:rPr>
            <m:t>−</m:t>
          </m:r>
          <m:r>
            <m:t>2</m:t>
          </m:r>
          <m:r>
            <m:t>α</m:t>
          </m:r>
          <m:r>
            <m:rPr>
              <m:sty m:val="p"/>
            </m:rPr>
            <m:t>,</m:t>
          </m:r>
        </m:oMath>
      </m:oMathPara>
    </w:p>
    <w:p>
      <w:pPr>
        <w:pStyle w:val="FirstParagraph"/>
      </w:pPr>
      <m:oMathPara>
        <m:oMathParaPr>
          <m:jc m:val="center"/>
        </m:oMathParaPr>
        <m:oMath>
          <m:sSup>
            <m:e>
              <m:r>
                <m:rPr>
                  <m:sty m:val="p"/>
                  <m:scr m:val="script"/>
                </m:rPr>
                <m:t>P</m:t>
              </m:r>
            </m:e>
            <m:sup>
              <m:r>
                <m:t>2</m:t>
              </m:r>
            </m:sup>
          </m:sSup>
          <m:r>
            <m:rPr>
              <m:sty m:val="p"/>
            </m:rPr>
            <m:t>=</m:t>
          </m:r>
          <m:sSup>
            <m:e>
              <m:r>
                <m:t>e</m:t>
              </m:r>
            </m:e>
            <m:sup>
              <m:r>
                <m:t>2</m:t>
              </m:r>
              <m:r>
                <m:t>α</m:t>
              </m:r>
              <m:r>
                <m:rPr>
                  <m:sty m:val="p"/>
                </m:rPr>
                <m:t>+</m:t>
              </m:r>
              <m:r>
                <m:t>2</m:t>
              </m:r>
              <m:r>
                <m:t>ν</m:t>
              </m:r>
              <m:r>
                <m:rPr>
                  <m:sty m:val="p"/>
                </m:rPr>
                <m:t>/</m:t>
              </m:r>
              <m:r>
                <m:t>3</m:t>
              </m:r>
            </m:sup>
          </m:sSup>
          <m:r>
            <m:rPr>
              <m:sty m:val="p"/>
            </m:rPr>
            <m:t>≃</m:t>
          </m:r>
          <m:r>
            <m:t>1</m:t>
          </m:r>
          <m:r>
            <m:rPr>
              <m:sty m:val="p"/>
            </m:rPr>
            <m:t>+</m:t>
          </m:r>
          <m:r>
            <m:t>2</m:t>
          </m:r>
          <m:r>
            <m:t>α</m:t>
          </m:r>
          <m:r>
            <m:rPr>
              <m:sty m:val="p"/>
            </m:rPr>
            <m:t>+</m:t>
          </m:r>
          <m:f>
            <m:fPr>
              <m:type m:val="bar"/>
            </m:fPr>
            <m:num>
              <m:r>
                <m:t>2</m:t>
              </m:r>
              <m:r>
                <m:t>ν</m:t>
              </m:r>
            </m:num>
            <m:den>
              <m:r>
                <m:t>3</m:t>
              </m:r>
            </m:den>
          </m:f>
          <m:r>
            <m:rPr>
              <m:sty m:val="p"/>
            </m:rPr>
            <m:t>.</m:t>
          </m:r>
        </m:oMath>
      </m:oMathPara>
    </w:p>
    <w:p>
      <w:pPr>
        <w:pStyle w:val="FirstParagraph"/>
      </w:pPr>
      <w:r>
        <w:t xml:space="preserve">Comparison gives</w:t>
      </w:r>
    </w:p>
    <w:p>
      <w:pPr>
        <w:pStyle w:val="BodyText"/>
      </w:pPr>
      <m:oMathPara>
        <m:oMathParaPr>
          <m:jc m:val="center"/>
        </m:oMathParaPr>
        <m:oMath>
          <m:borderBox>
            <m:e>
              <m:f>
                <m:fPr>
                  <m:type m:val="bar"/>
                </m:fPr>
                <m:num>
                  <m:r>
                    <m:t>Φ</m:t>
                  </m:r>
                </m:num>
                <m:den>
                  <m:sSup>
                    <m:e>
                      <m:r>
                        <m:t>c</m:t>
                      </m:r>
                    </m:e>
                    <m:sup>
                      <m:r>
                        <m:t>2</m:t>
                      </m:r>
                    </m:sup>
                  </m:sSup>
                </m:den>
              </m:f>
              <m:r>
                <m:rPr>
                  <m:sty m:val="p"/>
                </m:rPr>
                <m:t>=</m:t>
              </m:r>
              <m:r>
                <m:rPr>
                  <m:sty m:val="p"/>
                </m:rPr>
                <m:t>−</m:t>
              </m:r>
              <m:r>
                <m:t>α</m:t>
              </m:r>
              <m:r>
                <m:rPr>
                  <m:sty m:val="p"/>
                </m:rPr>
                <m:t>,</m:t>
              </m:r>
              <m:r>
                <m:t>  </m:t>
              </m:r>
              <m:f>
                <m:fPr>
                  <m:type m:val="bar"/>
                </m:fPr>
                <m:num>
                  <m:sSub>
                    <m:e>
                      <m:r>
                        <m:t>Ψ</m:t>
                      </m:r>
                    </m:e>
                    <m:sub>
                      <m:r>
                        <m:t>g</m:t>
                      </m:r>
                    </m:sub>
                  </m:sSub>
                </m:num>
                <m:den>
                  <m:sSup>
                    <m:e>
                      <m:r>
                        <m:t>c</m:t>
                      </m:r>
                    </m:e>
                    <m:sup>
                      <m:r>
                        <m:t>2</m:t>
                      </m:r>
                    </m:sup>
                  </m:sSup>
                </m:den>
              </m:f>
              <m:r>
                <m:rPr>
                  <m:sty m:val="p"/>
                </m:rPr>
                <m:t>=</m:t>
              </m:r>
              <m:r>
                <m:rPr>
                  <m:sty m:val="p"/>
                </m:rPr>
                <m:t>−</m:t>
              </m:r>
              <m:d>
                <m:dPr>
                  <m:begChr m:val="("/>
                  <m:endChr m:val=")"/>
                  <m:sepChr m:val=""/>
                  <m:grow/>
                </m:dPr>
                <m:e>
                  <m:r>
                    <m:t>α</m:t>
                  </m:r>
                  <m:r>
                    <m:rPr>
                      <m:sty m:val="p"/>
                    </m:rPr>
                    <m:t>+</m:t>
                  </m:r>
                  <m:f>
                    <m:fPr>
                      <m:type m:val="bar"/>
                    </m:fPr>
                    <m:num>
                      <m:r>
                        <m:t>ν</m:t>
                      </m:r>
                    </m:num>
                    <m:den>
                      <m:r>
                        <m:t>3</m:t>
                      </m:r>
                    </m:den>
                  </m:f>
                </m:e>
              </m:d>
              <m:r>
                <m:rPr>
                  <m:sty m:val="p"/>
                </m:rPr>
                <m:t>.</m:t>
              </m:r>
            </m:e>
          </m:borderBox>
        </m:oMath>
      </m:oMathPara>
    </w:p>
    <w:p>
      <w:pPr>
        <w:pStyle w:val="FirstParagraph"/>
      </w:pPr>
      <w:r>
        <w:t xml:space="preserve">The gravitational slip parameter is therefore</w:t>
      </w:r>
    </w:p>
    <w:p>
      <w:pPr>
        <w:pStyle w:val="BodyText"/>
      </w:pPr>
      <m:oMathPara>
        <m:oMathParaPr>
          <m:jc m:val="center"/>
        </m:oMathParaPr>
        <m:oMath>
          <m:borderBox>
            <m:e>
              <m:r>
                <m:t>γ</m:t>
              </m:r>
              <m:box>
                <m:boxPr>
                  <m:opEmu m:val="on"/>
                </m:boxPr>
                <m:e>
                  <m:r>
                    <m:rPr>
                      <m:sty m:val="p"/>
                    </m:rPr>
                    <m:t>:=</m:t>
                  </m:r>
                </m:e>
              </m:box>
              <m:f>
                <m:fPr>
                  <m:type m:val="bar"/>
                </m:fPr>
                <m:num>
                  <m:sSub>
                    <m:e>
                      <m:r>
                        <m:t>Ψ</m:t>
                      </m:r>
                    </m:e>
                    <m:sub>
                      <m:r>
                        <m:t>g</m:t>
                      </m:r>
                    </m:sub>
                  </m:sSub>
                </m:num>
                <m:den>
                  <m:r>
                    <m:t>Φ</m:t>
                  </m:r>
                </m:den>
              </m:f>
              <m:r>
                <m:rPr>
                  <m:sty m:val="p"/>
                </m:rPr>
                <m:t>=</m:t>
              </m:r>
              <m:r>
                <m:t>1</m:t>
              </m:r>
              <m:r>
                <m:rPr>
                  <m:sty m:val="p"/>
                </m:rPr>
                <m:t>+</m:t>
              </m:r>
              <m:f>
                <m:fPr>
                  <m:type m:val="bar"/>
                </m:fPr>
                <m:num>
                  <m:r>
                    <m:t>ν</m:t>
                  </m:r>
                </m:num>
                <m:den>
                  <m:r>
                    <m:t>3</m:t>
                  </m:r>
                  <m:r>
                    <m:t>α</m:t>
                  </m:r>
                </m:den>
              </m:f>
              <m:r>
                <m:rPr>
                  <m:sty m:val="p"/>
                </m:rPr>
                <m:t>.</m:t>
              </m:r>
            </m:e>
          </m:borderBox>
        </m:oMath>
      </m:oMathPara>
    </w:p>
    <w:p>
      <w:pPr>
        <w:pStyle w:val="FirstParagraph"/>
      </w:pPr>
      <w:r>
        <w:t xml:space="preserve">The density mode is no longer merely a visual overcrowding variable. It is an observable difference between the time potential and spatial-curvature potential.</w:t>
      </w:r>
    </w:p>
    <w:bookmarkEnd w:id="35"/>
    <w:bookmarkStart w:id="36" w:name="the-factor-of-two-stated-correctly"/>
    <w:p>
      <w:pPr>
        <w:pStyle w:val="Heading2"/>
      </w:pPr>
      <w:r>
        <w:t xml:space="preserve">5.3 The factor of two, stated correctly</w:t>
      </w:r>
    </w:p>
    <w:p>
      <w:pPr>
        <w:pStyle w:val="FirstParagraph"/>
      </w:pPr>
      <w:r>
        <w:t xml:space="preserve">Slow nonrelativistic matter responds primarily to</w:t>
      </w:r>
    </w:p>
    <w:p>
      <w:pPr>
        <w:pStyle w:val="BodyText"/>
      </w:pPr>
      <m:oMathPara>
        <m:oMathParaPr>
          <m:jc m:val="center"/>
        </m:oMathParaPr>
        <m:oMath>
          <m:sSub>
            <m:e>
              <m:r>
                <m:rPr>
                  <m:sty m:val="b"/>
                </m:rPr>
                <m:t>a</m:t>
              </m:r>
            </m:e>
            <m:sub>
              <m:r>
                <m:rPr>
                  <m:sty m:val="p"/>
                </m:rPr>
                <m:t>s</m:t>
              </m:r>
              <m:r>
                <m:rPr>
                  <m:sty m:val="p"/>
                </m:rPr>
                <m:t>l</m:t>
              </m:r>
              <m:r>
                <m:rPr>
                  <m:sty m:val="p"/>
                </m:rPr>
                <m:t>o</m:t>
              </m:r>
              <m:r>
                <m:rPr>
                  <m:sty m:val="p"/>
                </m:rPr>
                <m:t>w</m:t>
              </m:r>
            </m:sub>
          </m:sSub>
          <m:r>
            <m:rPr>
              <m:sty m:val="p"/>
            </m:rPr>
            <m:t>=</m:t>
          </m:r>
          <m:r>
            <m:rPr>
              <m:sty m:val="p"/>
            </m:rPr>
            <m:t>−</m:t>
          </m:r>
          <m:r>
            <m:rPr>
              <m:sty m:val="p"/>
            </m:rPr>
            <m:t>∇</m:t>
          </m:r>
          <m:r>
            <m:t>Φ</m:t>
          </m:r>
          <m:r>
            <m:rPr>
              <m:sty m:val="p"/>
            </m:rPr>
            <m:t>.</m:t>
          </m:r>
        </m:oMath>
      </m:oMathPara>
    </w:p>
    <w:p>
      <w:pPr>
        <w:pStyle w:val="FirstParagraph"/>
      </w:pPr>
      <w:r>
        <w:t xml:space="preserve">Light deflection and Shapiro delay depend on the lensing potential</w:t>
      </w:r>
    </w:p>
    <w:p>
      <w:pPr>
        <w:pStyle w:val="BodyText"/>
      </w:pPr>
      <m:oMathPara>
        <m:oMathParaPr>
          <m:jc m:val="center"/>
        </m:oMathParaPr>
        <m:oMath>
          <m:r>
            <m:t>Φ</m:t>
          </m:r>
          <m:r>
            <m:rPr>
              <m:sty m:val="p"/>
            </m:rPr>
            <m:t>+</m:t>
          </m:r>
          <m:sSub>
            <m:e>
              <m:r>
                <m:t>Ψ</m:t>
              </m:r>
            </m:e>
            <m:sub>
              <m:r>
                <m:t>g</m:t>
              </m:r>
            </m:sub>
          </m:sSub>
          <m:r>
            <m:rPr>
              <m:sty m:val="p"/>
            </m:rPr>
            <m:t>.</m:t>
          </m:r>
        </m:oMath>
      </m:oMathPara>
    </w:p>
    <w:p>
      <w:pPr>
        <w:pStyle w:val="FirstParagraph"/>
      </w:pPr>
      <w:r>
        <w:t xml:space="preserve">A time-only model has</w:t>
      </w:r>
      <w:r>
        <w:t xml:space="preserve"> </w:t>
      </w:r>
      <m:oMath>
        <m:sSub>
          <m:e>
            <m:r>
              <m:t>Ψ</m:t>
            </m:r>
          </m:e>
          <m:sub>
            <m:r>
              <m:t>g</m:t>
            </m:r>
          </m:sub>
        </m:sSub>
        <m:r>
          <m:rPr>
            <m:sty m:val="p"/>
          </m:rPr>
          <m:t>=</m:t>
        </m:r>
        <m:r>
          <m:t>0</m:t>
        </m:r>
      </m:oMath>
      <w:r>
        <w:t xml:space="preserve">, equivalent to</w:t>
      </w:r>
      <w:r>
        <w:t xml:space="preserve"> </w:t>
      </w:r>
      <m:oMath>
        <m:r>
          <m:t>γ</m:t>
        </m:r>
        <m:r>
          <m:rPr>
            <m:sty m:val="p"/>
          </m:rPr>
          <m:t>=</m:t>
        </m:r>
        <m:r>
          <m:t>0</m:t>
        </m:r>
      </m:oMath>
      <w:r>
        <w:t xml:space="preserve">. The reciprocal vacuum branch</w:t>
      </w:r>
      <w:r>
        <w:t xml:space="preserve"> </w:t>
      </w:r>
      <m:oMath>
        <m:r>
          <m:t>ν</m:t>
        </m:r>
        <m:r>
          <m:rPr>
            <m:sty m:val="p"/>
          </m:rPr>
          <m:t>=</m:t>
        </m:r>
        <m:r>
          <m:t>0</m:t>
        </m:r>
      </m:oMath>
      <w:r>
        <w:t xml:space="preserve"> </w:t>
      </w:r>
      <w:r>
        <w:t xml:space="preserve">gives</w:t>
      </w:r>
    </w:p>
    <w:p>
      <w:pPr>
        <w:pStyle w:val="BodyText"/>
      </w:pPr>
      <m:oMathPara>
        <m:oMathParaPr>
          <m:jc m:val="center"/>
        </m:oMathParaPr>
        <m:oMath>
          <m:sSub>
            <m:e>
              <m:r>
                <m:t>Ψ</m:t>
              </m:r>
            </m:e>
            <m:sub>
              <m:r>
                <m:t>g</m:t>
              </m:r>
            </m:sub>
          </m:sSub>
          <m:r>
            <m:rPr>
              <m:sty m:val="p"/>
            </m:rPr>
            <m:t>=</m:t>
          </m:r>
          <m:r>
            <m:t>Φ</m:t>
          </m:r>
          <m:r>
            <m:rPr>
              <m:sty m:val="p"/>
            </m:rPr>
            <m:t>,</m:t>
          </m:r>
          <m:r>
            <m:t>  </m:t>
          </m:r>
          <m:r>
            <m:t>γ</m:t>
          </m:r>
          <m:r>
            <m:rPr>
              <m:sty m:val="p"/>
            </m:rPr>
            <m:t>=</m:t>
          </m:r>
          <m:r>
            <m:t>1</m:t>
          </m:r>
          <m:r>
            <m:rPr>
              <m:sty m:val="p"/>
            </m:rPr>
            <m:t>,</m:t>
          </m:r>
        </m:oMath>
      </m:oMathPara>
    </w:p>
    <w:p>
      <w:pPr>
        <w:pStyle w:val="FirstParagraph"/>
      </w:pPr>
      <w:r>
        <w:t xml:space="preserve">so</w:t>
      </w:r>
    </w:p>
    <w:p>
      <w:pPr>
        <w:pStyle w:val="BodyText"/>
      </w:pPr>
      <m:oMathPara>
        <m:oMathParaPr>
          <m:jc m:val="center"/>
        </m:oMathParaPr>
        <m:oMath>
          <m:r>
            <m:t>Φ</m:t>
          </m:r>
          <m:r>
            <m:rPr>
              <m:sty m:val="p"/>
            </m:rPr>
            <m:t>+</m:t>
          </m:r>
          <m:sSub>
            <m:e>
              <m:r>
                <m:t>Ψ</m:t>
              </m:r>
            </m:e>
            <m:sub>
              <m:r>
                <m:t>g</m:t>
              </m:r>
            </m:sub>
          </m:sSub>
          <m:r>
            <m:rPr>
              <m:sty m:val="p"/>
            </m:rPr>
            <m:t>=</m:t>
          </m:r>
          <m:r>
            <m:t>2</m:t>
          </m:r>
          <m:r>
            <m:t>Φ</m:t>
          </m:r>
          <m:r>
            <m:rPr>
              <m:sty m:val="p"/>
            </m:rPr>
            <m:t>.</m:t>
          </m:r>
        </m:oMath>
      </m:oMathPara>
    </w:p>
    <w:p>
      <w:pPr>
        <w:pStyle w:val="FirstParagraph"/>
      </w:pPr>
      <w:r>
        <w:t xml:space="preserve">Thus the spatial packing mode supplies the second half of the weak-field light-bending effect. This is a rigorous scalar-perturbation statement. It does not require claiming that the Schwarzschild profile has already been microscopically derived.</w:t>
      </w:r>
    </w:p>
    <w:p>
      <w:pPr>
        <w:pStyle w:val="BodyText"/>
      </w:pPr>
      <w:r>
        <w:t xml:space="preserve">The Cassini radio experiment found</w:t>
      </w:r>
    </w:p>
    <w:p>
      <w:pPr>
        <w:pStyle w:val="BodyText"/>
      </w:pPr>
      <m:oMathPara>
        <m:oMathParaPr>
          <m:jc m:val="center"/>
        </m:oMathParaPr>
        <m:oMath>
          <m:r>
            <m:t>γ</m:t>
          </m:r>
          <m:r>
            <m:rPr>
              <m:sty m:val="p"/>
            </m:rPr>
            <m:t>=</m:t>
          </m:r>
          <m:r>
            <m:t>1</m:t>
          </m:r>
          <m:r>
            <m:rPr>
              <m:sty m:val="p"/>
            </m:rPr>
            <m:t>+</m:t>
          </m:r>
          <m:d>
            <m:dPr>
              <m:begChr m:val="("/>
              <m:endChr m:val=")"/>
              <m:sepChr m:val=""/>
              <m:grow/>
            </m:dPr>
            <m:e>
              <m:r>
                <m:t>2.1</m:t>
              </m:r>
              <m:r>
                <m:rPr>
                  <m:sty m:val="p"/>
                </m:rPr>
                <m:t>±</m:t>
              </m:r>
              <m:r>
                <m:t>2.3</m:t>
              </m:r>
            </m:e>
          </m:d>
          <m:r>
            <m:rPr>
              <m:sty m:val="p"/>
            </m:rPr>
            <m:t>×</m:t>
          </m:r>
          <m:sSup>
            <m:e>
              <m:r>
                <m:t>10</m:t>
              </m:r>
            </m:e>
            <m:sup>
              <m:r>
                <m:rPr>
                  <m:sty m:val="p"/>
                </m:rPr>
                <m:t>−</m:t>
              </m:r>
              <m:r>
                <m:t>5</m:t>
              </m:r>
            </m:sup>
          </m:sSup>
          <m:r>
            <m:rPr>
              <m:sty m:val="p"/>
            </m:rPr>
            <m:t>.</m:t>
          </m:r>
        </m:oMath>
      </m:oMathPara>
    </w:p>
    <w:p>
      <w:pPr>
        <w:pStyle w:val="FirstParagraph"/>
      </w:pPr>
      <w:r>
        <w:t xml:space="preserve">In the present variables, a long-range unscreened density mode in the Solar System must therefore satisfy approximately</w:t>
      </w:r>
    </w:p>
    <w:p>
      <w:pPr>
        <w:pStyle w:val="BodyText"/>
      </w:pPr>
      <m:oMathPara>
        <m:oMathParaPr>
          <m:jc m:val="center"/>
        </m:oMathParaPr>
        <m:oMath>
          <m:d>
            <m:dPr>
              <m:begChr m:val="|"/>
              <m:endChr m:val="|"/>
              <m:sepChr m:val=""/>
              <m:grow/>
            </m:dPr>
            <m:e>
              <m:f>
                <m:fPr>
                  <m:type m:val="bar"/>
                </m:fPr>
                <m:num>
                  <m:r>
                    <m:t>ν</m:t>
                  </m:r>
                </m:num>
                <m:den>
                  <m:r>
                    <m:t>α</m:t>
                  </m:r>
                </m:den>
              </m:f>
            </m:e>
          </m:d>
          <m:r>
            <m:rPr>
              <m:sty m:val="p"/>
            </m:rPr>
            <m:t>≲</m:t>
          </m:r>
          <m:r>
            <m:t>2</m:t>
          </m:r>
          <m:r>
            <m:rPr>
              <m:sty m:val="p"/>
            </m:rPr>
            <m:t>×</m:t>
          </m:r>
          <m:sSup>
            <m:e>
              <m:r>
                <m:t>10</m:t>
              </m:r>
            </m:e>
            <m:sup>
              <m:r>
                <m:rPr>
                  <m:sty m:val="p"/>
                </m:rPr>
                <m:t>−</m:t>
              </m:r>
              <m:r>
                <m:t>4</m:t>
              </m:r>
            </m:sup>
          </m:sSup>
        </m:oMath>
      </m:oMathPara>
    </w:p>
    <w:p>
      <w:pPr>
        <w:pStyle w:val="FirstParagraph"/>
      </w:pPr>
      <w:r>
        <w:t xml:space="preserve">at conservative two-standard-deviation order. A larger density mode would require screening, short range, environmental dependence, or a revised metric map.</w:t>
      </w:r>
    </w:p>
    <w:bookmarkEnd w:id="36"/>
    <w:bookmarkEnd w:id="37"/>
    <w:bookmarkStart w:id="41" w:name="exact-schwarzschild-representation"/>
    <w:p>
      <w:pPr>
        <w:pStyle w:val="Heading1"/>
      </w:pPr>
      <w:r>
        <w:t xml:space="preserve">6. Exact Schwarzschild representation</w:t>
      </w:r>
    </w:p>
    <w:bookmarkStart w:id="38" w:name="areal-radius-representation"/>
    <w:p>
      <w:pPr>
        <w:pStyle w:val="Heading2"/>
      </w:pPr>
      <w:r>
        <w:t xml:space="preserve">6.1 Areal-radius representation</w:t>
      </w:r>
    </w:p>
    <w:p>
      <w:pPr>
        <w:pStyle w:val="FirstParagraph"/>
      </w:pPr>
      <w:r>
        <w:t xml:space="preserve">Let</w:t>
      </w:r>
    </w:p>
    <w:p>
      <w:pPr>
        <w:pStyle w:val="BodyText"/>
      </w:pPr>
      <m:oMathPara>
        <m:oMathParaPr>
          <m:jc m:val="center"/>
        </m:oMathParaPr>
        <m:oMath>
          <m:r>
            <m:t>m</m:t>
          </m:r>
          <m:r>
            <m:rPr>
              <m:sty m:val="p"/>
            </m:rPr>
            <m:t>=</m:t>
          </m:r>
          <m:f>
            <m:fPr>
              <m:type m:val="bar"/>
            </m:fPr>
            <m:num>
              <m:r>
                <m:t>G</m:t>
              </m:r>
              <m:r>
                <m:t>M</m:t>
              </m:r>
            </m:num>
            <m:den>
              <m:sSup>
                <m:e>
                  <m:r>
                    <m:t>c</m:t>
                  </m:r>
                </m:e>
                <m:sup>
                  <m:r>
                    <m:t>2</m:t>
                  </m:r>
                </m:sup>
              </m:sSup>
            </m:den>
          </m:f>
          <m:r>
            <m:rPr>
              <m:sty m:val="p"/>
            </m:rPr>
            <m:t>,</m:t>
          </m:r>
          <m:r>
            <m:t>  </m:t>
          </m:r>
          <m:r>
            <m:t>f</m:t>
          </m:r>
          <m:d>
            <m:dPr>
              <m:begChr m:val="("/>
              <m:endChr m:val=")"/>
              <m:sepChr m:val=""/>
              <m:grow/>
            </m:dPr>
            <m:e>
              <m:r>
                <m:t>r</m:t>
              </m:r>
            </m:e>
          </m:d>
          <m:r>
            <m:rPr>
              <m:sty m:val="p"/>
            </m:rPr>
            <m:t>=</m:t>
          </m:r>
          <m:r>
            <m:t>1</m:t>
          </m:r>
          <m:r>
            <m:rPr>
              <m:sty m:val="p"/>
            </m:rPr>
            <m:t>−</m:t>
          </m:r>
          <m:f>
            <m:fPr>
              <m:type m:val="bar"/>
            </m:fPr>
            <m:num>
              <m:r>
                <m:t>2</m:t>
              </m:r>
              <m:r>
                <m:t>m</m:t>
              </m:r>
            </m:num>
            <m:den>
              <m:r>
                <m:t>r</m:t>
              </m:r>
            </m:den>
          </m:f>
          <m:r>
            <m:rPr>
              <m:sty m:val="p"/>
            </m:rPr>
            <m:t>.</m:t>
          </m:r>
        </m:oMath>
      </m:oMathPara>
    </w:p>
    <w:p>
      <w:pPr>
        <w:pStyle w:val="FirstParagraph"/>
      </w:pPr>
      <w:r>
        <w:t xml:space="preserve">The Schwarzschild line element is</w:t>
      </w:r>
    </w:p>
    <w:p>
      <w:pPr>
        <w:pStyle w:val="BodyText"/>
      </w:pPr>
      <m:oMathPara>
        <m:oMathParaPr>
          <m:jc m:val="center"/>
        </m:oMathParaPr>
        <m:oMath>
          <m:r>
            <m:t>d</m:t>
          </m:r>
          <m:sSup>
            <m:e>
              <m:r>
                <m:t>s</m:t>
              </m:r>
            </m:e>
            <m:sup>
              <m:r>
                <m:t>2</m:t>
              </m:r>
            </m:sup>
          </m:sSup>
          <m:r>
            <m:rPr>
              <m:sty m:val="p"/>
            </m:rPr>
            <m:t>=</m:t>
          </m:r>
          <m:r>
            <m:rPr>
              <m:sty m:val="p"/>
            </m:rPr>
            <m:t>−</m:t>
          </m:r>
          <m:r>
            <m:t>f</m:t>
          </m:r>
          <m:d>
            <m:dPr>
              <m:begChr m:val="("/>
              <m:endChr m:val=")"/>
              <m:sepChr m:val=""/>
              <m:grow/>
            </m:dPr>
            <m:e>
              <m:r>
                <m:t>r</m:t>
              </m:r>
            </m:e>
          </m:d>
          <m:sSup>
            <m:e>
              <m:r>
                <m:t>c</m:t>
              </m:r>
            </m:e>
            <m:sup>
              <m:r>
                <m:t>2</m:t>
              </m:r>
            </m:sup>
          </m:sSup>
          <m:r>
            <m:t>d</m:t>
          </m:r>
          <m:sSup>
            <m:e>
              <m:r>
                <m:t>t</m:t>
              </m:r>
            </m:e>
            <m:sup>
              <m:r>
                <m:t>2</m:t>
              </m:r>
            </m:sup>
          </m:sSup>
          <m:r>
            <m:rPr>
              <m:sty m:val="p"/>
            </m:rPr>
            <m:t>+</m:t>
          </m:r>
          <m:f>
            <m:fPr>
              <m:type m:val="bar"/>
            </m:fPr>
            <m:num>
              <m:r>
                <m:t>d</m:t>
              </m:r>
              <m:sSup>
                <m:e>
                  <m:r>
                    <m:t>r</m:t>
                  </m:r>
                </m:e>
                <m:sup>
                  <m:r>
                    <m:t>2</m:t>
                  </m:r>
                </m:sup>
              </m:sSup>
            </m:num>
            <m:den>
              <m:r>
                <m:t>f</m:t>
              </m:r>
              <m:d>
                <m:dPr>
                  <m:begChr m:val="("/>
                  <m:endChr m:val=")"/>
                  <m:sepChr m:val=""/>
                  <m:grow/>
                </m:dPr>
                <m:e>
                  <m:r>
                    <m:t>r</m:t>
                  </m:r>
                </m:e>
              </m:d>
            </m:den>
          </m:f>
          <m:r>
            <m:rPr>
              <m:sty m:val="p"/>
            </m:rPr>
            <m:t>+</m:t>
          </m:r>
          <m:sSup>
            <m:e>
              <m:r>
                <m:t>r</m:t>
              </m:r>
            </m:e>
            <m:sup>
              <m:r>
                <m:t>2</m:t>
              </m:r>
            </m:sup>
          </m:sSup>
          <m:r>
            <m:t>d</m:t>
          </m:r>
          <m:sSup>
            <m:e>
              <m:r>
                <m:t>Ω</m:t>
              </m:r>
            </m:e>
            <m:sup>
              <m:r>
                <m:t>2</m:t>
              </m:r>
            </m:sup>
          </m:sSup>
          <m:r>
            <m:rPr>
              <m:sty m:val="p"/>
            </m:rPr>
            <m:t>.</m:t>
          </m:r>
        </m:oMath>
      </m:oMathPara>
    </w:p>
    <w:p>
      <w:pPr>
        <w:pStyle w:val="FirstParagraph"/>
      </w:pPr>
      <w:r>
        <w:t xml:space="preserve">It is represented by</w:t>
      </w:r>
    </w:p>
    <w:p>
      <w:pPr>
        <w:pStyle w:val="BodyText"/>
      </w:pPr>
      <m:oMathPara>
        <m:oMathParaPr>
          <m:jc m:val="center"/>
        </m:oMathParaPr>
        <m:oMath>
          <m:r>
            <m:t>T</m:t>
          </m:r>
          <m:d>
            <m:dPr>
              <m:begChr m:val="("/>
              <m:endChr m:val=")"/>
              <m:sepChr m:val=""/>
              <m:grow/>
            </m:dPr>
            <m:e>
              <m:r>
                <m:t>r</m:t>
              </m:r>
            </m:e>
          </m:d>
          <m:r>
            <m:rPr>
              <m:sty m:val="p"/>
            </m:rPr>
            <m:t>=</m:t>
          </m:r>
          <m:rad>
            <m:radPr>
              <m:degHide m:val="on"/>
            </m:radPr>
            <m:deg/>
            <m:e>
              <m:r>
                <m:t>f</m:t>
              </m:r>
              <m:d>
                <m:dPr>
                  <m:begChr m:val="("/>
                  <m:endChr m:val=")"/>
                  <m:sepChr m:val=""/>
                  <m:grow/>
                </m:dPr>
                <m:e>
                  <m:r>
                    <m:t>r</m:t>
                  </m:r>
                </m:e>
              </m:d>
            </m:e>
          </m:rad>
          <m:r>
            <m:rPr>
              <m:sty m:val="p"/>
            </m:rPr>
            <m:t>,</m:t>
          </m:r>
          <m:r>
            <m:t>  </m:t>
          </m:r>
          <m:sSub>
            <m:e>
              <m:r>
                <m:rPr>
                  <m:sty m:val="p"/>
                  <m:scr m:val="script"/>
                </m:rPr>
                <m:t>P</m:t>
              </m:r>
            </m:e>
            <m:sub>
              <m:r>
                <m:t>r</m:t>
              </m:r>
            </m:sub>
          </m:sSub>
          <m:d>
            <m:dPr>
              <m:begChr m:val="("/>
              <m:endChr m:val=")"/>
              <m:sepChr m:val=""/>
              <m:grow/>
            </m:dPr>
            <m:e>
              <m:r>
                <m:t>r</m:t>
              </m:r>
            </m:e>
          </m:d>
          <m:r>
            <m:rPr>
              <m:sty m:val="p"/>
            </m:rPr>
            <m:t>=</m:t>
          </m:r>
          <m:f>
            <m:fPr>
              <m:type m:val="bar"/>
            </m:fPr>
            <m:num>
              <m:r>
                <m:t>1</m:t>
              </m:r>
            </m:num>
            <m:den>
              <m:rad>
                <m:radPr>
                  <m:degHide m:val="on"/>
                </m:radPr>
                <m:deg/>
                <m:e>
                  <m:r>
                    <m:t>f</m:t>
                  </m:r>
                  <m:d>
                    <m:dPr>
                      <m:begChr m:val="("/>
                      <m:endChr m:val=")"/>
                      <m:sepChr m:val=""/>
                      <m:grow/>
                    </m:dPr>
                    <m:e>
                      <m:r>
                        <m:t>r</m:t>
                      </m:r>
                    </m:e>
                  </m:d>
                </m:e>
              </m:rad>
            </m:den>
          </m:f>
          <m:r>
            <m:rPr>
              <m:sty m:val="p"/>
            </m:rPr>
            <m:t>.</m:t>
          </m:r>
        </m:oMath>
      </m:oMathPara>
    </w:p>
    <w:p>
      <w:pPr>
        <w:pStyle w:val="FirstParagraph"/>
      </w:pPr>
      <w:r>
        <w:t xml:space="preserve">Hence</w:t>
      </w:r>
    </w:p>
    <w:p>
      <w:pPr>
        <w:pStyle w:val="BodyText"/>
      </w:pPr>
      <m:oMathPara>
        <m:oMathParaPr>
          <m:jc m:val="center"/>
        </m:oMathParaPr>
        <m:oMath>
          <m:r>
            <m:t>α</m:t>
          </m:r>
          <m:d>
            <m:dPr>
              <m:begChr m:val="("/>
              <m:endChr m:val=")"/>
              <m:sepChr m:val=""/>
              <m:grow/>
            </m:dPr>
            <m:e>
              <m:r>
                <m:t>r</m:t>
              </m:r>
            </m:e>
          </m:d>
          <m:r>
            <m:rPr>
              <m:sty m:val="p"/>
            </m:rPr>
            <m:t>=</m:t>
          </m:r>
          <m:r>
            <m:rPr>
              <m:sty m:val="p"/>
            </m:rPr>
            <m:t>−</m:t>
          </m:r>
          <m:f>
            <m:fPr>
              <m:type m:val="bar"/>
            </m:fPr>
            <m:num>
              <m:r>
                <m:t>1</m:t>
              </m:r>
            </m:num>
            <m:den>
              <m:r>
                <m:t>2</m:t>
              </m:r>
            </m:den>
          </m:f>
          <m:r>
            <m:rPr>
              <m:sty m:val="p"/>
            </m:rPr>
            <m:t>ln</m:t>
          </m:r>
          <m:r>
            <m:t>f</m:t>
          </m:r>
          <m:d>
            <m:dPr>
              <m:begChr m:val="("/>
              <m:endChr m:val=")"/>
              <m:sepChr m:val=""/>
              <m:grow/>
            </m:dPr>
            <m:e>
              <m:r>
                <m:t>r</m:t>
              </m:r>
            </m:e>
          </m:d>
          <m:r>
            <m:rPr>
              <m:sty m:val="p"/>
            </m:rPr>
            <m:t>,</m:t>
          </m:r>
          <m:r>
            <m:t>  </m:t>
          </m:r>
          <m:r>
            <m:t>T</m:t>
          </m:r>
          <m:sSub>
            <m:e>
              <m:r>
                <m:rPr>
                  <m:sty m:val="p"/>
                  <m:scr m:val="script"/>
                </m:rPr>
                <m:t>P</m:t>
              </m:r>
            </m:e>
            <m:sub>
              <m:r>
                <m:t>r</m:t>
              </m:r>
            </m:sub>
          </m:sSub>
          <m:r>
            <m:rPr>
              <m:sty m:val="p"/>
            </m:rPr>
            <m:t>=</m:t>
          </m:r>
          <m:r>
            <m:t>1</m:t>
          </m:r>
          <m:r>
            <m:rPr>
              <m:sty m:val="p"/>
            </m:rPr>
            <m:t>.</m:t>
          </m:r>
        </m:oMath>
      </m:oMathPara>
    </w:p>
    <w:p>
      <w:pPr>
        <w:pStyle w:val="FirstParagraph"/>
      </w:pPr>
      <w:r>
        <w:t xml:space="preserve">The exact size mode is therefore</w:t>
      </w:r>
    </w:p>
    <w:p>
      <w:pPr>
        <w:pStyle w:val="BodyText"/>
      </w:pPr>
      <m:oMathPara>
        <m:oMathParaPr>
          <m:jc m:val="center"/>
        </m:oMathParaPr>
        <m:oMath>
          <m:borderBox>
            <m:e>
              <m:sSub>
                <m:e>
                  <m:r>
                    <m:t>α</m:t>
                  </m:r>
                </m:e>
                <m:sub>
                  <m:r>
                    <m:rPr>
                      <m:sty m:val="p"/>
                    </m:rPr>
                    <m:t>S</m:t>
                  </m:r>
                  <m:r>
                    <m:rPr>
                      <m:sty m:val="p"/>
                    </m:rPr>
                    <m:t>c</m:t>
                  </m:r>
                  <m:r>
                    <m:rPr>
                      <m:sty m:val="p"/>
                    </m:rPr>
                    <m:t>h</m:t>
                  </m:r>
                  <m:r>
                    <m:rPr>
                      <m:sty m:val="p"/>
                    </m:rPr>
                    <m:t>w</m:t>
                  </m:r>
                </m:sub>
              </m:sSub>
              <m:d>
                <m:dPr>
                  <m:begChr m:val="("/>
                  <m:endChr m:val=")"/>
                  <m:sepChr m:val=""/>
                  <m:grow/>
                </m:dPr>
                <m:e>
                  <m:r>
                    <m:t>r</m:t>
                  </m:r>
                </m:e>
              </m:d>
              <m:r>
                <m:rPr>
                  <m:sty m:val="p"/>
                </m:rPr>
                <m:t>=</m:t>
              </m:r>
              <m:r>
                <m:rPr>
                  <m:sty m:val="p"/>
                </m:rPr>
                <m:t>−</m:t>
              </m:r>
              <m:f>
                <m:fPr>
                  <m:type m:val="bar"/>
                </m:fPr>
                <m:num>
                  <m:r>
                    <m:t>1</m:t>
                  </m:r>
                </m:num>
                <m:den>
                  <m:r>
                    <m:t>2</m:t>
                  </m:r>
                </m:den>
              </m:f>
              <m:r>
                <m:rPr>
                  <m:sty m:val="p"/>
                </m:rPr>
                <m:t>ln</m:t>
              </m:r>
              <m:d>
                <m:dPr>
                  <m:begChr m:val="("/>
                  <m:endChr m:val=")"/>
                  <m:sepChr m:val=""/>
                  <m:grow/>
                </m:dPr>
                <m:e>
                  <m:r>
                    <m:t>1</m:t>
                  </m:r>
                  <m:r>
                    <m:rPr>
                      <m:sty m:val="p"/>
                    </m:rPr>
                    <m:t>−</m:t>
                  </m:r>
                  <m:f>
                    <m:fPr>
                      <m:type m:val="bar"/>
                    </m:fPr>
                    <m:num>
                      <m:r>
                        <m:t>2</m:t>
                      </m:r>
                      <m:r>
                        <m:t>G</m:t>
                      </m:r>
                      <m:r>
                        <m:t>M</m:t>
                      </m:r>
                    </m:num>
                    <m:den>
                      <m:r>
                        <m:t>r</m:t>
                      </m:r>
                      <m:sSup>
                        <m:e>
                          <m:r>
                            <m:t>c</m:t>
                          </m:r>
                        </m:e>
                        <m:sup>
                          <m:r>
                            <m:t>2</m:t>
                          </m:r>
                        </m:sup>
                      </m:sSup>
                    </m:den>
                  </m:f>
                </m:e>
              </m:d>
              <m:r>
                <m:rPr>
                  <m:sty m:val="p"/>
                </m:rPr>
                <m:t>.</m:t>
              </m:r>
            </m:e>
          </m:borderBox>
        </m:oMath>
      </m:oMathPara>
    </w:p>
    <w:p>
      <w:pPr>
        <w:pStyle w:val="FirstParagraph"/>
      </w:pPr>
      <w:r>
        <w:t xml:space="preserve">Its Newtonian limit is</w:t>
      </w:r>
    </w:p>
    <w:p>
      <w:pPr>
        <w:pStyle w:val="BodyText"/>
      </w:pPr>
      <m:oMathPara>
        <m:oMathParaPr>
          <m:jc m:val="center"/>
        </m:oMathParaPr>
        <m:oMath>
          <m:sSub>
            <m:e>
              <m:r>
                <m:t>α</m:t>
              </m:r>
            </m:e>
            <m:sub>
              <m:r>
                <m:rPr>
                  <m:sty m:val="p"/>
                </m:rPr>
                <m:t>S</m:t>
              </m:r>
              <m:r>
                <m:rPr>
                  <m:sty m:val="p"/>
                </m:rPr>
                <m:t>c</m:t>
              </m:r>
              <m:r>
                <m:rPr>
                  <m:sty m:val="p"/>
                </m:rPr>
                <m:t>h</m:t>
              </m:r>
              <m:r>
                <m:rPr>
                  <m:sty m:val="p"/>
                </m:rPr>
                <m:t>w</m:t>
              </m:r>
            </m:sub>
          </m:sSub>
          <m:d>
            <m:dPr>
              <m:begChr m:val="("/>
              <m:endChr m:val=")"/>
              <m:sepChr m:val=""/>
              <m:grow/>
            </m:dPr>
            <m:e>
              <m:r>
                <m:t>r</m:t>
              </m:r>
            </m:e>
          </m:d>
          <m:r>
            <m:rPr>
              <m:sty m:val="p"/>
            </m:rPr>
            <m:t>=</m:t>
          </m:r>
          <m:f>
            <m:fPr>
              <m:type m:val="bar"/>
            </m:fPr>
            <m:num>
              <m:r>
                <m:t>G</m:t>
              </m:r>
              <m:r>
                <m:t>M</m:t>
              </m:r>
            </m:num>
            <m:den>
              <m:r>
                <m:t>r</m:t>
              </m:r>
              <m:sSup>
                <m:e>
                  <m:r>
                    <m:t>c</m:t>
                  </m:r>
                </m:e>
                <m:sup>
                  <m:r>
                    <m:t>2</m:t>
                  </m:r>
                </m:sup>
              </m:sSup>
            </m:den>
          </m:f>
          <m:r>
            <m:rPr>
              <m:sty m:val="p"/>
            </m:rPr>
            <m:t>+</m:t>
          </m:r>
          <m:r>
            <m:t>O</m:t>
          </m:r>
          <m:r>
            <m:t>​</m:t>
          </m:r>
          <m:d>
            <m:dPr>
              <m:begChr m:val="("/>
              <m:endChr m:val=")"/>
              <m:sepChr m:val=""/>
              <m:grow/>
            </m:dPr>
            <m:e>
              <m:f>
                <m:fPr>
                  <m:type m:val="bar"/>
                </m:fPr>
                <m:num>
                  <m:sSup>
                    <m:e>
                      <m:r>
                        <m:t>G</m:t>
                      </m:r>
                    </m:e>
                    <m:sup>
                      <m:r>
                        <m:t>2</m:t>
                      </m:r>
                    </m:sup>
                  </m:sSup>
                  <m:sSup>
                    <m:e>
                      <m:r>
                        <m:t>M</m:t>
                      </m:r>
                    </m:e>
                    <m:sup>
                      <m:r>
                        <m:t>2</m:t>
                      </m:r>
                    </m:sup>
                  </m:sSup>
                </m:num>
                <m:den>
                  <m:sSup>
                    <m:e>
                      <m:r>
                        <m:t>r</m:t>
                      </m:r>
                    </m:e>
                    <m:sup>
                      <m:r>
                        <m:t>2</m:t>
                      </m:r>
                    </m:sup>
                  </m:sSup>
                  <m:sSup>
                    <m:e>
                      <m:r>
                        <m:t>c</m:t>
                      </m:r>
                    </m:e>
                    <m:sup>
                      <m:r>
                        <m:t>4</m:t>
                      </m:r>
                    </m:sup>
                  </m:sSup>
                </m:den>
              </m:f>
            </m:e>
          </m:d>
          <m:r>
            <m:rPr>
              <m:sty m:val="p"/>
            </m:rPr>
            <m:t>.</m:t>
          </m:r>
        </m:oMath>
      </m:oMathPara>
    </w:p>
    <w:p>
      <w:pPr>
        <w:pStyle w:val="FirstParagraph"/>
      </w:pPr>
      <w:r>
        <w:t xml:space="preserve">This corrects the earlier use of</w:t>
      </w:r>
      <w:r>
        <w:t xml:space="preserve"> </w:t>
      </w:r>
      <m:oMath>
        <m:r>
          <m:t>T</m:t>
        </m:r>
        <m:r>
          <m:rPr>
            <m:sty m:val="p"/>
          </m:rPr>
          <m:t>=</m:t>
        </m:r>
        <m:r>
          <m:t>1</m:t>
        </m:r>
        <m:r>
          <m:rPr>
            <m:sty m:val="p"/>
          </m:rPr>
          <m:t>+</m:t>
        </m:r>
        <m:r>
          <m:t>Φ</m:t>
        </m:r>
        <m:r>
          <m:rPr>
            <m:sty m:val="p"/>
          </m:rPr>
          <m:t>/</m:t>
        </m:r>
        <m:sSup>
          <m:e>
            <m:r>
              <m:t>c</m:t>
            </m:r>
          </m:e>
          <m:sup>
            <m:r>
              <m:t>2</m:t>
            </m:r>
          </m:sup>
        </m:sSup>
      </m:oMath>
      <w:r>
        <w:t xml:space="preserve"> </w:t>
      </w:r>
      <w:r>
        <w:t xml:space="preserve">as an exact equation. That relation is the first-order limit; the exact Schwarzschild clock factor is</w:t>
      </w:r>
      <w:r>
        <w:t xml:space="preserve"> </w:t>
      </w:r>
      <m:oMath>
        <m:r>
          <m:t>T</m:t>
        </m:r>
        <m:r>
          <m:rPr>
            <m:sty m:val="p"/>
          </m:rPr>
          <m:t>=</m:t>
        </m:r>
        <m:rad>
          <m:radPr>
            <m:degHide m:val="on"/>
          </m:radPr>
          <m:deg/>
          <m:e>
            <m:r>
              <m:t>1</m:t>
            </m:r>
            <m:r>
              <m:rPr>
                <m:sty m:val="p"/>
              </m:rPr>
              <m:t>+</m:t>
            </m:r>
            <m:r>
              <m:t>2</m:t>
            </m:r>
            <m:sSub>
              <m:e>
                <m:r>
                  <m:t>Φ</m:t>
                </m:r>
              </m:e>
              <m:sub>
                <m:r>
                  <m:t>N</m:t>
                </m:r>
              </m:sub>
            </m:sSub>
            <m:r>
              <m:rPr>
                <m:sty m:val="p"/>
              </m:rPr>
              <m:t>/</m:t>
            </m:r>
            <m:sSup>
              <m:e>
                <m:r>
                  <m:t>c</m:t>
                </m:r>
              </m:e>
              <m:sup>
                <m:r>
                  <m:t>2</m:t>
                </m:r>
              </m:sup>
            </m:sSup>
          </m:e>
        </m:rad>
      </m:oMath>
      <w:r>
        <w:t xml:space="preserve"> </w:t>
      </w:r>
      <w:r>
        <w:t xml:space="preserve">when</w:t>
      </w:r>
      <w:r>
        <w:t xml:space="preserve"> </w:t>
      </w:r>
      <m:oMath>
        <m:sSub>
          <m:e>
            <m:r>
              <m:t>Φ</m:t>
            </m:r>
          </m:e>
          <m:sub>
            <m:r>
              <m:t>N</m:t>
            </m:r>
          </m:sub>
        </m:sSub>
        <m:r>
          <m:rPr>
            <m:sty m:val="p"/>
          </m:rPr>
          <m:t>=</m:t>
        </m:r>
        <m:r>
          <m:rPr>
            <m:sty m:val="p"/>
          </m:rPr>
          <m:t>−</m:t>
        </m:r>
        <m:r>
          <m:t>G</m:t>
        </m:r>
        <m:r>
          <m:t>M</m:t>
        </m:r>
        <m:r>
          <m:rPr>
            <m:sty m:val="p"/>
          </m:rPr>
          <m:t>/</m:t>
        </m:r>
        <m:r>
          <m:t>r</m:t>
        </m:r>
      </m:oMath>
      <w:r>
        <w:t xml:space="preserve">.</w:t>
      </w:r>
    </w:p>
    <w:bookmarkEnd w:id="38"/>
    <w:bookmarkStart w:id="39" w:name="what-the-representation-establishes"/>
    <w:p>
      <w:pPr>
        <w:pStyle w:val="Heading2"/>
      </w:pPr>
      <w:r>
        <w:t xml:space="preserve">6.2 What the representation establishes</w:t>
      </w:r>
    </w:p>
    <w:p>
      <w:pPr>
        <w:pStyle w:val="FirstParagraph"/>
      </w:pPr>
      <w:r>
        <w:t xml:space="preserve">Once the profile</w:t>
      </w:r>
      <w:r>
        <w:t xml:space="preserve"> </w:t>
      </w:r>
      <m:oMath>
        <m:r>
          <m:t>f</m:t>
        </m:r>
        <m:d>
          <m:dPr>
            <m:begChr m:val="("/>
            <m:endChr m:val=")"/>
            <m:sepChr m:val=""/>
            <m:grow/>
          </m:dPr>
          <m:e>
            <m:r>
              <m:t>r</m:t>
            </m:r>
          </m:e>
        </m:d>
      </m:oMath>
      <w:r>
        <w:t xml:space="preserve"> </w:t>
      </w:r>
      <w:r>
        <w:t xml:space="preserve">is supplied, the bubble variables reproduce the exact metric and therefore its light bending, precession, redshift and geodesics. The original numerical integrations are valid benchmark checks of this representation.</w:t>
      </w:r>
    </w:p>
    <w:p>
      <w:pPr>
        <w:pStyle w:val="BodyText"/>
      </w:pPr>
      <w:r>
        <w:t xml:space="preserve">They establish:</w:t>
      </w:r>
    </w:p>
    <w:p>
      <w:pPr>
        <w:pStyle w:val="Compact"/>
        <w:numPr>
          <w:ilvl w:val="0"/>
          <w:numId w:val="1002"/>
        </w:numPr>
      </w:pPr>
      <w:r>
        <w:t xml:space="preserve">the packing contribution is necessary for the full GR light response;</w:t>
      </w:r>
    </w:p>
    <w:p>
      <w:pPr>
        <w:pStyle w:val="Compact"/>
        <w:numPr>
          <w:ilvl w:val="0"/>
          <w:numId w:val="1002"/>
        </w:numPr>
      </w:pPr>
      <w:r>
        <w:t xml:space="preserve">the two-handle language can encode exact Schwarzschild geometry;</w:t>
      </w:r>
    </w:p>
    <w:p>
      <w:pPr>
        <w:pStyle w:val="Compact"/>
        <w:numPr>
          <w:ilvl w:val="0"/>
          <w:numId w:val="1002"/>
        </w:numPr>
      </w:pPr>
      <w:r>
        <w:t xml:space="preserve">the numerical implementation is consistent with the metric it was given.</w:t>
      </w:r>
    </w:p>
    <w:p>
      <w:pPr>
        <w:pStyle w:val="FirstParagraph"/>
      </w:pPr>
      <w:r>
        <w:t xml:space="preserve">They do not yet establish:</w:t>
      </w:r>
    </w:p>
    <w:p>
      <w:pPr>
        <w:pStyle w:val="Compact"/>
        <w:numPr>
          <w:ilvl w:val="0"/>
          <w:numId w:val="1003"/>
        </w:numPr>
      </w:pPr>
      <w:r>
        <w:t xml:space="preserve">that</w:t>
      </w:r>
      <w:r>
        <w:t xml:space="preserve"> </w:t>
      </w:r>
      <m:oMath>
        <m:r>
          <m:t>f</m:t>
        </m:r>
        <m:d>
          <m:dPr>
            <m:begChr m:val="("/>
            <m:endChr m:val=")"/>
            <m:sepChr m:val=""/>
            <m:grow/>
          </m:dPr>
          <m:e>
            <m:r>
              <m:t>r</m:t>
            </m:r>
          </m:e>
        </m:d>
      </m:oMath>
      <w:r>
        <w:t xml:space="preserve"> </w:t>
      </w:r>
      <w:r>
        <w:t xml:space="preserve">follows uniquely from the least-action cell definition;</w:t>
      </w:r>
    </w:p>
    <w:p>
      <w:pPr>
        <w:pStyle w:val="Compact"/>
        <w:numPr>
          <w:ilvl w:val="0"/>
          <w:numId w:val="1003"/>
        </w:numPr>
      </w:pPr>
      <w:r>
        <w:t xml:space="preserve">that arbitrary matter distributions source</w:t>
      </w:r>
      <w:r>
        <w:t xml:space="preserve"> </w:t>
      </w:r>
      <m:oMath>
        <m:r>
          <m:t>α</m:t>
        </m:r>
      </m:oMath>
      <w:r>
        <w:t xml:space="preserve"> </w:t>
      </w:r>
      <w:r>
        <w:t xml:space="preserve">and</w:t>
      </w:r>
      <w:r>
        <w:t xml:space="preserve"> </w:t>
      </w:r>
      <m:oMath>
        <m:r>
          <m:t>ν</m:t>
        </m:r>
      </m:oMath>
      <w:r>
        <w:t xml:space="preserve"> </w:t>
      </w:r>
      <w:r>
        <w:t xml:space="preserve">correctly;</w:t>
      </w:r>
    </w:p>
    <w:p>
      <w:pPr>
        <w:pStyle w:val="Compact"/>
        <w:numPr>
          <w:ilvl w:val="0"/>
          <w:numId w:val="1003"/>
        </w:numPr>
      </w:pPr>
      <w:r>
        <w:t xml:space="preserve">that</w:t>
      </w:r>
      <w:r>
        <w:t xml:space="preserve"> </w:t>
      </w:r>
      <m:oMath>
        <m:r>
          <m:t>G</m:t>
        </m:r>
      </m:oMath>
      <w:r>
        <w:t xml:space="preserve"> </w:t>
      </w:r>
      <w:r>
        <w:t xml:space="preserve">is derived rather than calibrated.</w:t>
      </w:r>
    </w:p>
    <w:bookmarkEnd w:id="39"/>
    <w:bookmarkStart w:id="40" w:name="coordinate-discipline"/>
    <w:p>
      <w:pPr>
        <w:pStyle w:val="Heading2"/>
      </w:pPr>
      <w:r>
        <w:t xml:space="preserve">6.3 Coordinate discipline</w:t>
      </w:r>
    </w:p>
    <w:p>
      <w:pPr>
        <w:pStyle w:val="FirstParagraph"/>
      </w:pPr>
      <w:r>
        <w:t xml:space="preserve">In isotropic radius</w:t>
      </w:r>
      <w:r>
        <w:t xml:space="preserve"> </w:t>
      </w:r>
      <m:oMath>
        <m:r>
          <m:t>ρ</m:t>
        </m:r>
      </m:oMath>
      <w:r>
        <w:t xml:space="preserve">, Schwarzschild is</w:t>
      </w:r>
    </w:p>
    <w:p>
      <w:pPr>
        <w:pStyle w:val="BodyText"/>
      </w:pPr>
      <m:oMathPara>
        <m:oMathParaPr>
          <m:jc m:val="center"/>
        </m:oMathParaPr>
        <m:oMath>
          <m:r>
            <m:t>d</m:t>
          </m:r>
          <m:sSup>
            <m:e>
              <m:r>
                <m:t>s</m:t>
              </m:r>
            </m:e>
            <m:sup>
              <m:r>
                <m:t>2</m:t>
              </m:r>
            </m:sup>
          </m:sSup>
          <m:r>
            <m:rPr>
              <m:sty m:val="p"/>
            </m:rPr>
            <m:t>=</m:t>
          </m:r>
          <m:r>
            <m:rPr>
              <m:sty m:val="p"/>
            </m:rPr>
            <m:t>−</m:t>
          </m:r>
          <m:sSup>
            <m:e>
              <m:d>
                <m:dPr>
                  <m:begChr m:val="("/>
                  <m:endChr m:val=")"/>
                  <m:sepChr m:val=""/>
                  <m:grow/>
                </m:dPr>
                <m:e>
                  <m:f>
                    <m:fPr>
                      <m:type m:val="bar"/>
                    </m:fPr>
                    <m:num>
                      <m:r>
                        <m:t>1</m:t>
                      </m:r>
                      <m:r>
                        <m:rPr>
                          <m:sty m:val="p"/>
                        </m:rPr>
                        <m:t>−</m:t>
                      </m:r>
                      <m:r>
                        <m:t>m</m:t>
                      </m:r>
                      <m:r>
                        <m:rPr>
                          <m:sty m:val="p"/>
                        </m:rPr>
                        <m:t>/</m:t>
                      </m:r>
                      <m:d>
                        <m:dPr>
                          <m:begChr m:val="("/>
                          <m:endChr m:val=")"/>
                          <m:sepChr m:val=""/>
                          <m:grow/>
                        </m:dPr>
                        <m:e>
                          <m:r>
                            <m:t>2</m:t>
                          </m:r>
                          <m:r>
                            <m:t>ρ</m:t>
                          </m:r>
                        </m:e>
                      </m:d>
                    </m:num>
                    <m:den>
                      <m:r>
                        <m:t>1</m:t>
                      </m:r>
                      <m:r>
                        <m:rPr>
                          <m:sty m:val="p"/>
                        </m:rPr>
                        <m:t>+</m:t>
                      </m:r>
                      <m:r>
                        <m:t>m</m:t>
                      </m:r>
                      <m:r>
                        <m:rPr>
                          <m:sty m:val="p"/>
                        </m:rPr>
                        <m:t>/</m:t>
                      </m:r>
                      <m:d>
                        <m:dPr>
                          <m:begChr m:val="("/>
                          <m:endChr m:val=")"/>
                          <m:sepChr m:val=""/>
                          <m:grow/>
                        </m:dPr>
                        <m:e>
                          <m:r>
                            <m:t>2</m:t>
                          </m:r>
                          <m:r>
                            <m:t>ρ</m:t>
                          </m:r>
                        </m:e>
                      </m:d>
                    </m:den>
                  </m:f>
                </m:e>
              </m:d>
            </m:e>
            <m:sup>
              <m:r>
                <m:t>2</m:t>
              </m:r>
            </m:sup>
          </m:sSup>
          <m:sSup>
            <m:e>
              <m:r>
                <m:t>c</m:t>
              </m:r>
            </m:e>
            <m:sup>
              <m:r>
                <m:t>2</m:t>
              </m:r>
            </m:sup>
          </m:sSup>
          <m:r>
            <m:t>d</m:t>
          </m:r>
          <m:sSup>
            <m:e>
              <m:r>
                <m:t>t</m:t>
              </m:r>
            </m:e>
            <m:sup>
              <m:r>
                <m:t>2</m:t>
              </m:r>
            </m:sup>
          </m:sSup>
          <m:r>
            <m:rPr>
              <m:sty m:val="p"/>
            </m:rPr>
            <m:t>+</m:t>
          </m:r>
          <m:sSup>
            <m:e>
              <m:d>
                <m:dPr>
                  <m:begChr m:val="("/>
                  <m:endChr m:val=")"/>
                  <m:sepChr m:val=""/>
                  <m:grow/>
                </m:dPr>
                <m:e>
                  <m:r>
                    <m:t>1</m:t>
                  </m:r>
                  <m:r>
                    <m:rPr>
                      <m:sty m:val="p"/>
                    </m:rPr>
                    <m:t>+</m:t>
                  </m:r>
                  <m:f>
                    <m:fPr>
                      <m:type m:val="bar"/>
                    </m:fPr>
                    <m:num>
                      <m:r>
                        <m:t>m</m:t>
                      </m:r>
                    </m:num>
                    <m:den>
                      <m:r>
                        <m:t>2</m:t>
                      </m:r>
                      <m:r>
                        <m:t>ρ</m:t>
                      </m:r>
                    </m:den>
                  </m:f>
                </m:e>
              </m:d>
            </m:e>
            <m:sup>
              <m:r>
                <m:t>4</m:t>
              </m:r>
            </m:sup>
          </m:sSup>
          <m:r>
            <m:t>d</m:t>
          </m:r>
          <m:sSup>
            <m:e>
              <m:r>
                <m:rPr>
                  <m:sty m:val="b"/>
                </m:rPr>
                <m:t>x</m:t>
              </m:r>
            </m:e>
            <m:sup>
              <m:r>
                <m:t>2</m:t>
              </m:r>
            </m:sup>
          </m:sSup>
          <m:r>
            <m:rPr>
              <m:sty m:val="p"/>
            </m:rPr>
            <m:t>.</m:t>
          </m:r>
        </m:oMath>
      </m:oMathPara>
    </w:p>
    <w:p>
      <w:pPr>
        <w:pStyle w:val="FirstParagraph"/>
      </w:pPr>
      <w:r>
        <w:t xml:space="preserve">The same geometry is represented by</w:t>
      </w:r>
    </w:p>
    <w:p>
      <w:pPr>
        <w:pStyle w:val="BodyText"/>
      </w:pPr>
      <m:oMathPara>
        <m:oMathParaPr>
          <m:jc m:val="center"/>
        </m:oMathParaPr>
        <m:oMath>
          <m:r>
            <m:t>T</m:t>
          </m:r>
          <m:r>
            <m:rPr>
              <m:sty m:val="p"/>
            </m:rPr>
            <m:t>=</m:t>
          </m:r>
          <m:f>
            <m:fPr>
              <m:type m:val="bar"/>
            </m:fPr>
            <m:num>
              <m:r>
                <m:t>1</m:t>
              </m:r>
              <m:r>
                <m:rPr>
                  <m:sty m:val="p"/>
                </m:rPr>
                <m:t>−</m:t>
              </m:r>
              <m:r>
                <m:t>m</m:t>
              </m:r>
              <m:r>
                <m:rPr>
                  <m:sty m:val="p"/>
                </m:rPr>
                <m:t>/</m:t>
              </m:r>
              <m:d>
                <m:dPr>
                  <m:begChr m:val="("/>
                  <m:endChr m:val=")"/>
                  <m:sepChr m:val=""/>
                  <m:grow/>
                </m:dPr>
                <m:e>
                  <m:r>
                    <m:t>2</m:t>
                  </m:r>
                  <m:r>
                    <m:t>ρ</m:t>
                  </m:r>
                </m:e>
              </m:d>
            </m:num>
            <m:den>
              <m:r>
                <m:t>1</m:t>
              </m:r>
              <m:r>
                <m:rPr>
                  <m:sty m:val="p"/>
                </m:rPr>
                <m:t>+</m:t>
              </m:r>
              <m:r>
                <m:t>m</m:t>
              </m:r>
              <m:r>
                <m:rPr>
                  <m:sty m:val="p"/>
                </m:rPr>
                <m:t>/</m:t>
              </m:r>
              <m:d>
                <m:dPr>
                  <m:begChr m:val="("/>
                  <m:endChr m:val=")"/>
                  <m:sepChr m:val=""/>
                  <m:grow/>
                </m:dPr>
                <m:e>
                  <m:r>
                    <m:t>2</m:t>
                  </m:r>
                  <m:r>
                    <m:t>ρ</m:t>
                  </m:r>
                </m:e>
              </m:d>
            </m:den>
          </m:f>
          <m:r>
            <m:rPr>
              <m:sty m:val="p"/>
            </m:rPr>
            <m:t>,</m:t>
          </m:r>
          <m:r>
            <m:t>  </m:t>
          </m:r>
          <m:r>
            <m:rPr>
              <m:sty m:val="p"/>
              <m:scr m:val="script"/>
            </m:rPr>
            <m:t>P</m:t>
          </m:r>
          <m:r>
            <m:rPr>
              <m:sty m:val="p"/>
            </m:rPr>
            <m:t>=</m:t>
          </m:r>
          <m:sSup>
            <m:e>
              <m:d>
                <m:dPr>
                  <m:begChr m:val="("/>
                  <m:endChr m:val=")"/>
                  <m:sepChr m:val=""/>
                  <m:grow/>
                </m:dPr>
                <m:e>
                  <m:r>
                    <m:t>1</m:t>
                  </m:r>
                  <m:r>
                    <m:rPr>
                      <m:sty m:val="p"/>
                    </m:rPr>
                    <m:t>+</m:t>
                  </m:r>
                  <m:f>
                    <m:fPr>
                      <m:type m:val="bar"/>
                    </m:fPr>
                    <m:num>
                      <m:r>
                        <m:t>m</m:t>
                      </m:r>
                    </m:num>
                    <m:den>
                      <m:r>
                        <m:t>2</m:t>
                      </m:r>
                      <m:r>
                        <m:t>ρ</m:t>
                      </m:r>
                    </m:den>
                  </m:f>
                </m:e>
              </m:d>
            </m:e>
            <m:sup>
              <m:r>
                <m:t>2</m:t>
              </m:r>
            </m:sup>
          </m:sSup>
          <m:r>
            <m:rPr>
              <m:sty m:val="p"/>
            </m:rPr>
            <m:t>,</m:t>
          </m:r>
        </m:oMath>
      </m:oMathPara>
    </w:p>
    <w:p>
      <w:pPr>
        <w:pStyle w:val="FirstParagraph"/>
      </w:pPr>
      <w:r>
        <w:t xml:space="preserve">which gives</w:t>
      </w:r>
    </w:p>
    <w:p>
      <w:pPr>
        <w:pStyle w:val="BodyText"/>
      </w:pPr>
      <m:oMathPara>
        <m:oMathParaPr>
          <m:jc m:val="center"/>
        </m:oMathParaPr>
        <m:oMath>
          <m:r>
            <m:t>α</m:t>
          </m:r>
          <m:r>
            <m:rPr>
              <m:sty m:val="p"/>
            </m:rPr>
            <m:t>=</m:t>
          </m:r>
          <m:r>
            <m:rPr>
              <m:sty m:val="p"/>
            </m:rPr>
            <m:t>−</m:t>
          </m:r>
          <m:r>
            <m:rPr>
              <m:sty m:val="p"/>
            </m:rPr>
            <m:t>ln</m:t>
          </m:r>
          <m:r>
            <m:t>T</m:t>
          </m:r>
          <m:r>
            <m:rPr>
              <m:sty m:val="p"/>
            </m:rPr>
            <m:t>,</m:t>
          </m:r>
          <m:r>
            <m:t>  </m:t>
          </m:r>
          <m:r>
            <m:t>ν</m:t>
          </m:r>
          <m:r>
            <m:rPr>
              <m:sty m:val="p"/>
            </m:rPr>
            <m:t>=</m:t>
          </m:r>
          <m:r>
            <m:t>3</m:t>
          </m:r>
          <m:d>
            <m:dPr>
              <m:begChr m:val="("/>
              <m:endChr m:val=")"/>
              <m:sepChr m:val=""/>
              <m:grow/>
            </m:dPr>
            <m:e>
              <m:r>
                <m:rPr>
                  <m:sty m:val="p"/>
                </m:rPr>
                <m:t>ln</m:t>
              </m:r>
              <m:r>
                <m:rPr>
                  <m:sty m:val="p"/>
                  <m:scr m:val="script"/>
                </m:rPr>
                <m:t>P</m:t>
              </m:r>
              <m:r>
                <m:rPr>
                  <m:sty m:val="p"/>
                </m:rPr>
                <m:t>−</m:t>
              </m:r>
              <m:r>
                <m:t>α</m:t>
              </m:r>
            </m:e>
          </m:d>
          <m:r>
            <m:rPr>
              <m:sty m:val="p"/>
            </m:rPr>
            <m:t>.</m:t>
          </m:r>
        </m:oMath>
      </m:oMathPara>
    </w:p>
    <w:p>
      <w:pPr>
        <w:pStyle w:val="FirstParagraph"/>
      </w:pPr>
      <w:r>
        <w:t xml:space="preserve">Consequently, the statement</w:t>
      </w:r>
      <w:r>
        <w:t xml:space="preserve"> </w:t>
      </w:r>
      <m:oMath>
        <m:r>
          <m:t>ν</m:t>
        </m:r>
        <m:r>
          <m:rPr>
            <m:sty m:val="p"/>
          </m:rPr>
          <m:t>=</m:t>
        </m:r>
        <m:r>
          <m:t>0</m:t>
        </m:r>
      </m:oMath>
      <w:r>
        <w:t xml:space="preserve"> </w:t>
      </w:r>
      <w:r>
        <w:t xml:space="preserve">is gauge-specific unless</w:t>
      </w:r>
      <w:r>
        <w:t xml:space="preserve"> </w:t>
      </w:r>
      <m:oMath>
        <m:r>
          <m:t>n</m:t>
        </m:r>
      </m:oMath>
      <w:r>
        <w:t xml:space="preserve"> </w:t>
      </w:r>
      <w:r>
        <w:t xml:space="preserve">is defined covariantly as a proper number density relative to the phase congruence and a specified physical volume form. A rigorous source theory must make that definition explicit.</w:t>
      </w:r>
    </w:p>
    <w:bookmarkEnd w:id="40"/>
    <w:bookmarkEnd w:id="41"/>
    <w:bookmarkStart w:id="42" w:name="the-baseline-cell-scale"/>
    <w:p>
      <w:pPr>
        <w:pStyle w:val="Heading1"/>
      </w:pPr>
      <w:r>
        <w:t xml:space="preserve">7. The baseline cell scale</w:t>
      </w:r>
    </w:p>
    <w:p>
      <w:pPr>
        <w:pStyle w:val="FirstParagraph"/>
      </w:pPr>
      <w:r>
        <w:t xml:space="preserve">Take the vacuum energy density</w:t>
      </w:r>
      <w:r>
        <w:t xml:space="preserve"> </w:t>
      </w:r>
      <m:oMath>
        <m:sSub>
          <m:e>
            <m:r>
              <m:t>ρ</m:t>
            </m:r>
          </m:e>
          <m:sub>
            <m:r>
              <m:t>Λ</m:t>
            </m:r>
          </m:sub>
        </m:sSub>
      </m:oMath>
      <w:r>
        <w:t xml:space="preserve"> </w:t>
      </w:r>
      <w:r>
        <w:t xml:space="preserve">directly as the measured input. Do not reconstruct it from</w:t>
      </w:r>
      <w:r>
        <w:t xml:space="preserve"> </w:t>
      </w:r>
      <m:oMath>
        <m:sSub>
          <m:e>
            <m:r>
              <m:t>H</m:t>
            </m:r>
          </m:e>
          <m:sub>
            <m:r>
              <m:t>0</m:t>
            </m:r>
          </m:sub>
        </m:sSub>
      </m:oMath>
      <w:r>
        <w:t xml:space="preserve">,</w:t>
      </w:r>
      <w:r>
        <w:t xml:space="preserve"> </w:t>
      </w:r>
      <m:oMath>
        <m:sSub>
          <m:e>
            <m:r>
              <m:t>Ω</m:t>
            </m:r>
          </m:e>
          <m:sub>
            <m:r>
              <m:t>Λ</m:t>
            </m:r>
          </m:sub>
        </m:sSub>
      </m:oMath>
      <w:r>
        <w:t xml:space="preserve"> </w:t>
      </w:r>
      <w:r>
        <w:t xml:space="preserve">and</w:t>
      </w:r>
      <w:r>
        <w:t xml:space="preserve"> </w:t>
      </w:r>
      <m:oMath>
        <m:r>
          <m:t>G</m:t>
        </m:r>
      </m:oMath>
      <w:r>
        <w:t xml:space="preserve"> </w:t>
      </w:r>
      <w:r>
        <w:t xml:space="preserve">if the purpose is to test whether</w:t>
      </w:r>
      <w:r>
        <w:t xml:space="preserve"> </w:t>
      </w:r>
      <m:oMath>
        <m:r>
          <m:t>G</m:t>
        </m:r>
      </m:oMath>
      <w:r>
        <w:t xml:space="preserve"> </w:t>
      </w:r>
      <w:r>
        <w:t xml:space="preserve">can later be derived independently.</w:t>
      </w:r>
    </w:p>
    <w:p>
      <w:pPr>
        <w:pStyle w:val="BodyText"/>
      </w:pPr>
      <w:r>
        <w:t xml:space="preserve">If the baseline cells fill the undisturbed state,</w:t>
      </w:r>
    </w:p>
    <w:p>
      <w:pPr>
        <w:pStyle w:val="BodyText"/>
      </w:pPr>
      <m:oMathPara>
        <m:oMathParaPr>
          <m:jc m:val="center"/>
        </m:oMathParaPr>
        <m:oMath>
          <m:sSub>
            <m:e>
              <m:r>
                <m:t>n</m:t>
              </m:r>
            </m:e>
            <m:sub>
              <m:r>
                <m:t>0</m:t>
              </m:r>
            </m:sub>
          </m:sSub>
          <m:r>
            <m:rPr>
              <m:sty m:val="p"/>
            </m:rPr>
            <m:t>=</m:t>
          </m:r>
          <m:sSubSup>
            <m:e>
              <m:r>
                <m:t>a</m:t>
              </m:r>
            </m:e>
            <m:sub>
              <m:r>
                <m:t>0</m:t>
              </m:r>
            </m:sub>
            <m:sup>
              <m:r>
                <m:rPr>
                  <m:sty m:val="p"/>
                </m:rPr>
                <m:t>−</m:t>
              </m:r>
              <m:r>
                <m:t>3</m:t>
              </m:r>
            </m:sup>
          </m:sSubSup>
          <m:r>
            <m:rPr>
              <m:sty m:val="p"/>
            </m:rPr>
            <m:t>,</m:t>
          </m:r>
          <m:r>
            <m:t>  </m:t>
          </m:r>
          <m:sSub>
            <m:e>
              <m:r>
                <m:t>ρ</m:t>
              </m:r>
            </m:e>
            <m:sub>
              <m:r>
                <m:t>Λ</m:t>
              </m:r>
            </m:sub>
          </m:sSub>
          <m:r>
            <m:rPr>
              <m:sty m:val="p"/>
            </m:rPr>
            <m:t>=</m:t>
          </m:r>
          <m:sSub>
            <m:e>
              <m:r>
                <m:t>ϵ</m:t>
              </m:r>
            </m:e>
            <m:sub>
              <m:r>
                <m:t>0</m:t>
              </m:r>
            </m:sub>
          </m:sSub>
          <m:sSub>
            <m:e>
              <m:r>
                <m:t>n</m:t>
              </m:r>
            </m:e>
            <m:sub>
              <m:r>
                <m:t>0</m:t>
              </m:r>
            </m:sub>
          </m:sSub>
          <m:r>
            <m:rPr>
              <m:sty m:val="p"/>
            </m:rPr>
            <m:t>.</m:t>
          </m:r>
        </m:oMath>
      </m:oMathPara>
    </w:p>
    <w:p>
      <w:pPr>
        <w:pStyle w:val="FirstParagraph"/>
      </w:pPr>
      <w:r>
        <w:t xml:space="preserve">Using</w:t>
      </w:r>
    </w:p>
    <w:p>
      <w:pPr>
        <w:pStyle w:val="BodyText"/>
      </w:pPr>
      <m:oMathPara>
        <m:oMathParaPr>
          <m:jc m:val="center"/>
        </m:oMathParaPr>
        <m:oMath>
          <m:sSub>
            <m:e>
              <m:r>
                <m:t>ϵ</m:t>
              </m:r>
            </m:e>
            <m:sub>
              <m:r>
                <m:t>0</m:t>
              </m:r>
            </m:sub>
          </m:sSub>
          <m:sSub>
            <m:e>
              <m:r>
                <m:t>τ</m:t>
              </m:r>
            </m:e>
            <m:sub>
              <m:r>
                <m:t>0</m:t>
              </m:r>
            </m:sub>
          </m:sSub>
          <m:r>
            <m:rPr>
              <m:sty m:val="p"/>
            </m:rPr>
            <m:t>=</m:t>
          </m:r>
          <m:r>
            <m:rPr>
              <m:sty m:val="p"/>
            </m:rPr>
            <m:t>ℏ</m:t>
          </m:r>
          <m:r>
            <m:rPr>
              <m:sty m:val="p"/>
            </m:rPr>
            <m:t>,</m:t>
          </m:r>
          <m:r>
            <m:t>  </m:t>
          </m:r>
          <m:sSub>
            <m:e>
              <m:r>
                <m:t>a</m:t>
              </m:r>
            </m:e>
            <m:sub>
              <m:r>
                <m:t>0</m:t>
              </m:r>
            </m:sub>
          </m:sSub>
          <m:r>
            <m:rPr>
              <m:sty m:val="p"/>
            </m:rPr>
            <m:t>=</m:t>
          </m:r>
          <m:r>
            <m:t>c</m:t>
          </m:r>
          <m:sSub>
            <m:e>
              <m:r>
                <m:t>τ</m:t>
              </m:r>
            </m:e>
            <m:sub>
              <m:r>
                <m:t>0</m:t>
              </m:r>
            </m:sub>
          </m:sSub>
          <m:r>
            <m:rPr>
              <m:sty m:val="p"/>
            </m:rPr>
            <m:t>,</m:t>
          </m:r>
        </m:oMath>
      </m:oMathPara>
    </w:p>
    <w:p>
      <w:pPr>
        <w:pStyle w:val="FirstParagraph"/>
      </w:pPr>
      <w:r>
        <w:t xml:space="preserve">one obtains</w:t>
      </w:r>
    </w:p>
    <w:p>
      <w:pPr>
        <w:pStyle w:val="BodyText"/>
      </w:pPr>
      <m:oMathPara>
        <m:oMathParaPr>
          <m:jc m:val="center"/>
        </m:oMathParaPr>
        <m:oMath>
          <m:borderBox>
            <m:e>
              <m:sSub>
                <m:e>
                  <m:r>
                    <m:t>τ</m:t>
                  </m:r>
                </m:e>
                <m:sub>
                  <m:r>
                    <m:t>0</m:t>
                  </m:r>
                </m:sub>
              </m:sSub>
              <m:r>
                <m:rPr>
                  <m:sty m:val="p"/>
                </m:rPr>
                <m:t>=</m:t>
              </m:r>
              <m:sSup>
                <m:e>
                  <m:d>
                    <m:dPr>
                      <m:begChr m:val="("/>
                      <m:endChr m:val=")"/>
                      <m:sepChr m:val=""/>
                      <m:grow/>
                    </m:dPr>
                    <m:e>
                      <m:f>
                        <m:fPr>
                          <m:type m:val="bar"/>
                        </m:fPr>
                        <m:num>
                          <m:r>
                            <m:rPr>
                              <m:sty m:val="p"/>
                            </m:rPr>
                            <m:t>ℏ</m:t>
                          </m:r>
                        </m:num>
                        <m:den>
                          <m:sSub>
                            <m:e>
                              <m:r>
                                <m:t>ρ</m:t>
                              </m:r>
                            </m:e>
                            <m:sub>
                              <m:r>
                                <m:t>Λ</m:t>
                              </m:r>
                            </m:sub>
                          </m:sSub>
                          <m:sSup>
                            <m:e>
                              <m:r>
                                <m:t>c</m:t>
                              </m:r>
                            </m:e>
                            <m:sup>
                              <m:r>
                                <m:t>3</m:t>
                              </m:r>
                            </m:sup>
                          </m:sSup>
                        </m:den>
                      </m:f>
                    </m:e>
                  </m:d>
                </m:e>
                <m:sup>
                  <m:r>
                    <m:t>1</m:t>
                  </m:r>
                  <m:r>
                    <m:rPr>
                      <m:sty m:val="p"/>
                    </m:rPr>
                    <m:t>/</m:t>
                  </m:r>
                  <m:r>
                    <m:t>4</m:t>
                  </m:r>
                </m:sup>
              </m:sSup>
              <m:r>
                <m:rPr>
                  <m:sty m:val="p"/>
                </m:rPr>
                <m:t>,</m:t>
              </m:r>
              <m:r>
                <m:t>  </m:t>
              </m:r>
              <m:sSub>
                <m:e>
                  <m:r>
                    <m:t>a</m:t>
                  </m:r>
                </m:e>
                <m:sub>
                  <m:r>
                    <m:t>0</m:t>
                  </m:r>
                </m:sub>
              </m:sSub>
              <m:r>
                <m:rPr>
                  <m:sty m:val="p"/>
                </m:rPr>
                <m:t>=</m:t>
              </m:r>
              <m:sSup>
                <m:e>
                  <m:d>
                    <m:dPr>
                      <m:begChr m:val="("/>
                      <m:endChr m:val=")"/>
                      <m:sepChr m:val=""/>
                      <m:grow/>
                    </m:dPr>
                    <m:e>
                      <m:f>
                        <m:fPr>
                          <m:type m:val="bar"/>
                        </m:fPr>
                        <m:num>
                          <m:r>
                            <m:rPr>
                              <m:sty m:val="p"/>
                            </m:rPr>
                            <m:t>ℏ</m:t>
                          </m:r>
                          <m:r>
                            <m:t>c</m:t>
                          </m:r>
                        </m:num>
                        <m:den>
                          <m:sSub>
                            <m:e>
                              <m:r>
                                <m:t>ρ</m:t>
                              </m:r>
                            </m:e>
                            <m:sub>
                              <m:r>
                                <m:t>Λ</m:t>
                              </m:r>
                            </m:sub>
                          </m:sSub>
                        </m:den>
                      </m:f>
                    </m:e>
                  </m:d>
                </m:e>
                <m:sup>
                  <m:r>
                    <m:t>1</m:t>
                  </m:r>
                  <m:r>
                    <m:rPr>
                      <m:sty m:val="p"/>
                    </m:rPr>
                    <m:t>/</m:t>
                  </m:r>
                  <m:r>
                    <m:t>4</m:t>
                  </m:r>
                </m:sup>
              </m:sSup>
              <m:r>
                <m:rPr>
                  <m:sty m:val="p"/>
                </m:rPr>
                <m:t>.</m:t>
              </m:r>
            </m:e>
          </m:borderBox>
        </m:oMath>
      </m:oMathPara>
    </w:p>
    <w:p>
      <w:pPr>
        <w:pStyle w:val="FirstParagraph"/>
      </w:pPr>
      <w:r>
        <w:t xml:space="preserve">For</w:t>
      </w:r>
    </w:p>
    <w:p>
      <w:pPr>
        <w:pStyle w:val="BodyText"/>
      </w:pPr>
      <m:oMathPara>
        <m:oMathParaPr>
          <m:jc m:val="center"/>
        </m:oMathParaPr>
        <m:oMath>
          <m:sSub>
            <m:e>
              <m:r>
                <m:t>ρ</m:t>
              </m:r>
            </m:e>
            <m:sub>
              <m:r>
                <m:t>Λ</m:t>
              </m:r>
            </m:sub>
          </m:sSub>
          <m:r>
            <m:rPr>
              <m:sty m:val="p"/>
            </m:rPr>
            <m:t>=</m:t>
          </m:r>
          <m:r>
            <m:t>5.32398</m:t>
          </m:r>
          <m:r>
            <m:rPr>
              <m:sty m:val="p"/>
            </m:rPr>
            <m:t>×</m:t>
          </m:r>
          <m:sSup>
            <m:e>
              <m:r>
                <m:t>10</m:t>
              </m:r>
            </m:e>
            <m:sup>
              <m:r>
                <m:rPr>
                  <m:sty m:val="p"/>
                </m:rPr>
                <m:t>−</m:t>
              </m:r>
              <m:r>
                <m:t>10</m:t>
              </m:r>
            </m:sup>
          </m:sSup>
          <m:r>
            <m:t> </m:t>
          </m:r>
          <m:r>
            <m:rPr>
              <m:sty m:val="p"/>
            </m:rPr>
            <m:t>J</m:t>
          </m:r>
          <m:r>
            <m:rPr>
              <m:sty m:val="p"/>
            </m:rPr>
            <m:t> </m:t>
          </m:r>
          <m:sSup>
            <m:e>
              <m:r>
                <m:rPr>
                  <m:sty m:val="p"/>
                </m:rPr>
                <m:t>m</m:t>
              </m:r>
            </m:e>
            <m:sup>
              <m:r>
                <m:rPr>
                  <m:sty m:val="p"/>
                </m:rPr>
                <m:t>−</m:t>
              </m:r>
              <m:r>
                <m:rPr>
                  <m:sty m:val="p"/>
                </m:rPr>
                <m:t>3</m:t>
              </m:r>
            </m:sup>
          </m:sSup>
          <m:r>
            <m:rPr>
              <m:sty m:val="p"/>
            </m:rPr>
            <m:t>,</m:t>
          </m:r>
        </m:oMath>
      </m:oMathPara>
    </w:p>
    <w:p>
      <w:pPr>
        <w:pStyle w:val="FirstParagraph"/>
      </w:pPr>
      <w:r>
        <w:t xml:space="preserve">this gives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Quantity</w:t>
            </w:r>
          </w:p>
        </w:tc>
        <w:tc>
          <w:tcPr/>
          <w:p>
            <w:pPr>
              <w:pStyle w:val="Compact"/>
              <w:jc w:val="right"/>
            </w:pPr>
            <w:r>
              <w:t xml:space="preserve">Value</w:t>
            </w:r>
          </w:p>
        </w:tc>
      </w:tr>
      <w:tr>
        <w:tc>
          <w:tcPr/>
          <w:p>
            <w:pPr>
              <w:pStyle w:val="Compact"/>
              <w:jc w:val="left"/>
            </w:pPr>
            <w:r>
              <w:t xml:space="preserve">duration</w:t>
            </w:r>
            <w:r>
              <w:t xml:space="preserve"> </w:t>
            </w:r>
            <m:oMath>
              <m:sSub>
                <m:e>
                  <m:r>
                    <m:t>τ</m:t>
                  </m:r>
                </m:e>
                <m:sub>
                  <m:r>
                    <m:t>0</m:t>
                  </m:r>
                </m:sub>
              </m:sSub>
            </m:oMath>
          </w:p>
        </w:tc>
        <w:tc>
          <w:tcPr/>
          <w:p>
            <w:pPr>
              <w:pStyle w:val="Compact"/>
              <w:jc w:val="right"/>
            </w:pPr>
            <m:oMath>
              <m:r>
                <m:t>2.92816</m:t>
              </m:r>
              <m:r>
                <m:rPr>
                  <m:sty m:val="p"/>
                </m:rPr>
                <m:t>×</m:t>
              </m:r>
              <m:sSup>
                <m:e>
                  <m:r>
                    <m:t>10</m:t>
                  </m:r>
                </m:e>
                <m:sup>
                  <m:r>
                    <m:rPr>
                      <m:sty m:val="p"/>
                    </m:rPr>
                    <m:t>−</m:t>
                  </m:r>
                  <m:r>
                    <m:t>13</m:t>
                  </m:r>
                </m:sup>
              </m:sSup>
              <m:r>
                <m:t> </m:t>
              </m:r>
              <m:r>
                <m:rPr>
                  <m:sty m:val="p"/>
                </m:rPr>
                <m:t>s</m:t>
              </m:r>
            </m:oMath>
          </w:p>
        </w:tc>
      </w:tr>
      <w:tr>
        <w:tc>
          <w:tcPr/>
          <w:p>
            <w:pPr>
              <w:pStyle w:val="Compact"/>
              <w:jc w:val="left"/>
            </w:pPr>
            <w:r>
              <w:t xml:space="preserve">size</w:t>
            </w:r>
            <w:r>
              <w:t xml:space="preserve"> </w:t>
            </w:r>
            <m:oMath>
              <m:sSub>
                <m:e>
                  <m:r>
                    <m:t>a</m:t>
                  </m:r>
                </m:e>
                <m:sub>
                  <m:r>
                    <m:t>0</m:t>
                  </m:r>
                </m:sub>
              </m:sSub>
            </m:oMath>
          </w:p>
        </w:tc>
        <w:tc>
          <w:tcPr/>
          <w:p>
            <w:pPr>
              <w:pStyle w:val="Compact"/>
              <w:jc w:val="right"/>
            </w:pPr>
            <m:oMath>
              <m:r>
                <m:t>8.77840</m:t>
              </m:r>
              <m:r>
                <m:rPr>
                  <m:sty m:val="p"/>
                </m:rPr>
                <m:t>×</m:t>
              </m:r>
              <m:sSup>
                <m:e>
                  <m:r>
                    <m:t>10</m:t>
                  </m:r>
                </m:e>
                <m:sup>
                  <m:r>
                    <m:rPr>
                      <m:sty m:val="p"/>
                    </m:rPr>
                    <m:t>−</m:t>
                  </m:r>
                  <m:r>
                    <m:t>5</m:t>
                  </m:r>
                </m:sup>
              </m:sSup>
              <m:r>
                <m:t> </m:t>
              </m:r>
              <m:r>
                <m:rPr>
                  <m:sty m:val="p"/>
                </m:rPr>
                <m:t>m</m:t>
              </m:r>
              <m:r>
                <m:rPr>
                  <m:sty m:val="p"/>
                </m:rPr>
                <m:t>=</m:t>
              </m:r>
              <m:r>
                <m:t>87.784</m:t>
              </m:r>
              <m:r>
                <m:t> </m:t>
              </m:r>
              <m:r>
                <m:t>μ</m:t>
              </m:r>
              <m:r>
                <m:rPr>
                  <m:sty m:val="p"/>
                </m:rPr>
                <m:t>m</m:t>
              </m:r>
            </m:oMath>
          </w:p>
        </w:tc>
      </w:tr>
      <w:tr>
        <w:tc>
          <w:tcPr/>
          <w:p>
            <w:pPr>
              <w:pStyle w:val="Compact"/>
              <w:jc w:val="left"/>
            </w:pPr>
            <w:r>
              <w:t xml:space="preserve">energy</w:t>
            </w:r>
            <w:r>
              <w:t xml:space="preserve"> </w:t>
            </w:r>
            <m:oMath>
              <m:sSub>
                <m:e>
                  <m:r>
                    <m:t>ϵ</m:t>
                  </m:r>
                </m:e>
                <m:sub>
                  <m:r>
                    <m:t>0</m:t>
                  </m:r>
                </m:sub>
              </m:sSub>
            </m:oMath>
          </w:p>
        </w:tc>
        <w:tc>
          <w:tcPr/>
          <w:p>
            <w:pPr>
              <w:pStyle w:val="Compact"/>
              <w:jc w:val="right"/>
            </w:pPr>
            <m:oMath>
              <m:r>
                <m:t>3.60149</m:t>
              </m:r>
              <m:r>
                <m:rPr>
                  <m:sty m:val="p"/>
                </m:rPr>
                <m:t>×</m:t>
              </m:r>
              <m:sSup>
                <m:e>
                  <m:r>
                    <m:t>10</m:t>
                  </m:r>
                </m:e>
                <m:sup>
                  <m:r>
                    <m:rPr>
                      <m:sty m:val="p"/>
                    </m:rPr>
                    <m:t>−</m:t>
                  </m:r>
                  <m:r>
                    <m:t>22</m:t>
                  </m:r>
                </m:sup>
              </m:sSup>
              <m:r>
                <m:t> </m:t>
              </m:r>
              <m:r>
                <m:rPr>
                  <m:sty m:val="p"/>
                </m:rPr>
                <m:t>J</m:t>
              </m:r>
              <m:r>
                <m:rPr>
                  <m:sty m:val="p"/>
                </m:rPr>
                <m:t>=</m:t>
              </m:r>
              <m:r>
                <m:t>2.24787</m:t>
              </m:r>
              <m:r>
                <m:t> </m:t>
              </m:r>
              <m:r>
                <m:rPr>
                  <m:sty m:val="p"/>
                </m:rPr>
                <m:t>m</m:t>
              </m:r>
              <m:r>
                <m:rPr>
                  <m:sty m:val="p"/>
                </m:rPr>
                <m:t>e</m:t>
              </m:r>
              <m:r>
                <m:rPr>
                  <m:sty m:val="p"/>
                </m:rPr>
                <m:t>V</m:t>
              </m:r>
            </m:oMath>
          </w:p>
        </w:tc>
      </w:tr>
      <w:tr>
        <w:tc>
          <w:tcPr/>
          <w:p>
            <w:pPr>
              <w:pStyle w:val="Compact"/>
              <w:jc w:val="left"/>
            </w:pPr>
            <w:r>
              <w:t xml:space="preserve">number density</w:t>
            </w:r>
            <w:r>
              <w:t xml:space="preserve"> </w:t>
            </w:r>
            <m:oMath>
              <m:sSub>
                <m:e>
                  <m:r>
                    <m:t>n</m:t>
                  </m:r>
                </m:e>
                <m:sub>
                  <m:r>
                    <m:t>0</m:t>
                  </m:r>
                </m:sub>
              </m:sSub>
            </m:oMath>
          </w:p>
        </w:tc>
        <w:tc>
          <w:tcPr/>
          <w:p>
            <w:pPr>
              <w:pStyle w:val="Compact"/>
              <w:jc w:val="right"/>
            </w:pPr>
            <m:oMath>
              <m:r>
                <m:t>1.47827</m:t>
              </m:r>
              <m:r>
                <m:rPr>
                  <m:sty m:val="p"/>
                </m:rPr>
                <m:t>×</m:t>
              </m:r>
              <m:sSup>
                <m:e>
                  <m:r>
                    <m:t>10</m:t>
                  </m:r>
                </m:e>
                <m:sup>
                  <m:r>
                    <m:t>12</m:t>
                  </m:r>
                </m:sup>
              </m:sSup>
              <m:r>
                <m:t> </m:t>
              </m:r>
              <m:sSup>
                <m:e>
                  <m:r>
                    <m:rPr>
                      <m:sty m:val="p"/>
                    </m:rPr>
                    <m:t>m</m:t>
                  </m:r>
                </m:e>
                <m:sup>
                  <m:r>
                    <m:rPr>
                      <m:sty m:val="p"/>
                    </m:rPr>
                    <m:t>−</m:t>
                  </m:r>
                  <m:r>
                    <m:rPr>
                      <m:sty m:val="p"/>
                    </m:rPr>
                    <m:t>3</m:t>
                  </m:r>
                </m:sup>
              </m:sSup>
            </m:oMath>
          </w:p>
        </w:tc>
      </w:tr>
    </w:tbl>
    <w:p>
      <w:pPr>
        <w:pStyle w:val="BodyText"/>
      </w:pPr>
      <w:r>
        <w:t xml:space="preserve">This scale is a conditional prediction of the causal-cell interpretation. The dimensional combination itself is known; the new physical claim is that it is the size of an actual least-action cell and should produce a specified observable transfer function.</w:t>
      </w:r>
    </w:p>
    <w:bookmarkEnd w:id="42"/>
    <w:bookmarkStart w:id="43" w:name="vacuum-pressure-and-the-creation-issue"/>
    <w:p>
      <w:pPr>
        <w:pStyle w:val="Heading1"/>
      </w:pPr>
      <w:r>
        <w:t xml:space="preserve">8. Vacuum pressure and the creation issue</w:t>
      </w:r>
    </w:p>
    <w:p>
      <w:pPr>
        <w:pStyle w:val="FirstParagraph"/>
      </w:pPr>
      <w:r>
        <w:t xml:space="preserve">A constant vacuum term in a covariant action has stress-energy</w:t>
      </w:r>
    </w:p>
    <w:p>
      <w:pPr>
        <w:pStyle w:val="BodyText"/>
      </w:pPr>
      <m:oMathPara>
        <m:oMathParaPr>
          <m:jc m:val="center"/>
        </m:oMathParaPr>
        <m:oMath>
          <m:sSubSup>
            <m:e>
              <m:r>
                <m:t>T</m:t>
              </m:r>
            </m:e>
            <m:sub>
              <m:r>
                <m:t>μ</m:t>
              </m:r>
              <m:r>
                <m:t>ν</m:t>
              </m:r>
            </m:sub>
            <m:sup>
              <m:d>
                <m:dPr>
                  <m:begChr m:val="("/>
                  <m:endChr m:val=")"/>
                  <m:sepChr m:val=""/>
                  <m:grow/>
                </m:dPr>
                <m:e>
                  <m:r>
                    <m:t>Λ</m:t>
                  </m:r>
                </m:e>
              </m:d>
            </m:sup>
          </m:sSubSup>
          <m:r>
            <m:rPr>
              <m:sty m:val="p"/>
            </m:rPr>
            <m:t>=</m:t>
          </m:r>
          <m:r>
            <m:rPr>
              <m:sty m:val="p"/>
            </m:rPr>
            <m:t>−</m:t>
          </m:r>
          <m:sSub>
            <m:e>
              <m:r>
                <m:t>ρ</m:t>
              </m:r>
            </m:e>
            <m:sub>
              <m:r>
                <m:t>Λ</m:t>
              </m:r>
            </m:sub>
          </m:sSub>
          <m:sSub>
            <m:e>
              <m:r>
                <m:t>g</m:t>
              </m:r>
            </m:e>
            <m:sub>
              <m:r>
                <m:t>μ</m:t>
              </m:r>
              <m:r>
                <m:t>ν</m:t>
              </m:r>
            </m:sub>
          </m:sSub>
          <m:r>
            <m:rPr>
              <m:sty m:val="p"/>
            </m:rPr>
            <m:t>,</m:t>
          </m:r>
        </m:oMath>
      </m:oMathPara>
    </w:p>
    <w:p>
      <w:pPr>
        <w:pStyle w:val="FirstParagraph"/>
      </w:pPr>
      <w:r>
        <w:t xml:space="preserve">so</w:t>
      </w:r>
    </w:p>
    <w:p>
      <w:pPr>
        <w:pStyle w:val="BodyText"/>
      </w:pPr>
      <m:oMathPara>
        <m:oMathParaPr>
          <m:jc m:val="center"/>
        </m:oMathParaPr>
        <m:oMath>
          <m:r>
            <m:t>p</m:t>
          </m:r>
          <m:r>
            <m:rPr>
              <m:sty m:val="p"/>
            </m:rPr>
            <m:t>=</m:t>
          </m:r>
          <m:r>
            <m:rPr>
              <m:sty m:val="p"/>
            </m:rPr>
            <m:t>−</m:t>
          </m:r>
          <m:sSub>
            <m:e>
              <m:r>
                <m:t>ρ</m:t>
              </m:r>
            </m:e>
            <m:sub>
              <m:r>
                <m:t>Λ</m:t>
              </m:r>
            </m:sub>
          </m:sSub>
          <m:r>
            <m:rPr>
              <m:sty m:val="p"/>
            </m:rPr>
            <m:t>,</m:t>
          </m:r>
          <m:r>
            <m:t>  </m:t>
          </m:r>
          <m:r>
            <m:t>w</m:t>
          </m:r>
          <m:r>
            <m:rPr>
              <m:sty m:val="p"/>
            </m:rPr>
            <m:t>=</m:t>
          </m:r>
          <m:r>
            <m:rPr>
              <m:sty m:val="p"/>
            </m:rPr>
            <m:t>−</m:t>
          </m:r>
          <m:r>
            <m:t>1</m:t>
          </m:r>
          <m:r>
            <m:rPr>
              <m:sty m:val="p"/>
            </m:rPr>
            <m:t>.</m:t>
          </m:r>
        </m:oMath>
      </m:oMathPara>
    </w:p>
    <w:p>
      <w:pPr>
        <w:pStyle w:val="FirstParagraph"/>
      </w:pPr>
      <w:r>
        <w:t xml:space="preserve">That result is rigorous once</w:t>
      </w:r>
      <w:r>
        <w:t xml:space="preserve"> </w:t>
      </w:r>
      <m:oMath>
        <m:r>
          <m:t>U</m:t>
        </m:r>
        <m:d>
          <m:dPr>
            <m:begChr m:val="("/>
            <m:endChr m:val=")"/>
            <m:sepChr m:val=""/>
            <m:grow/>
          </m:dPr>
          <m:e>
            <m:r>
              <m:t>0</m:t>
            </m:r>
            <m:r>
              <m:rPr>
                <m:sty m:val="p"/>
              </m:rPr>
              <m:t>,</m:t>
            </m:r>
            <m:r>
              <m:t>0</m:t>
            </m:r>
          </m:e>
        </m:d>
        <m:r>
          <m:rPr>
            <m:sty m:val="p"/>
          </m:rPr>
          <m:t>=</m:t>
        </m:r>
        <m:sSub>
          <m:e>
            <m:r>
              <m:t>ρ</m:t>
            </m:r>
          </m:e>
          <m:sub>
            <m:r>
              <m:t>Λ</m:t>
            </m:r>
          </m:sub>
        </m:sSub>
      </m:oMath>
      <w:r>
        <w:t xml:space="preserve"> </w:t>
      </w:r>
      <w:r>
        <w:t xml:space="preserve">is included in the field potential.</w:t>
      </w:r>
    </w:p>
    <w:p>
      <w:pPr>
        <w:pStyle w:val="BodyText"/>
      </w:pPr>
      <w:r>
        <w:t xml:space="preserve">The microscopic sentence</w:t>
      </w:r>
      <w:r>
        <w:t xml:space="preserve"> </w:t>
      </w:r>
      <w:r>
        <w:t xml:space="preserve">“</w:t>
      </w:r>
      <w:r>
        <w:t xml:space="preserve">an expanding region simply contains more fixed cells</w:t>
      </w:r>
      <w:r>
        <w:t xml:space="preserve">”</w:t>
      </w:r>
      <w:r>
        <w:t xml:space="preserve"> </w:t>
      </w:r>
      <w:r>
        <w:t xml:space="preserve">additionally assumes a cell-creation law. Let</w:t>
      </w:r>
    </w:p>
    <w:p>
      <w:pPr>
        <w:pStyle w:val="BodyText"/>
      </w:pPr>
      <m:oMathPara>
        <m:oMathParaPr>
          <m:jc m:val="center"/>
        </m:oMathParaPr>
        <m:oMath>
          <m:sSup>
            <m:e>
              <m:r>
                <m:t>N</m:t>
              </m:r>
            </m:e>
            <m:sup>
              <m:r>
                <m:t>μ</m:t>
              </m:r>
            </m:sup>
          </m:sSup>
          <m:r>
            <m:rPr>
              <m:sty m:val="p"/>
            </m:rPr>
            <m:t>=</m:t>
          </m:r>
          <m:r>
            <m:t>n</m:t>
          </m:r>
          <m:sSup>
            <m:e>
              <m:r>
                <m:t>u</m:t>
              </m:r>
            </m:e>
            <m:sup>
              <m:r>
                <m:t>μ</m:t>
              </m:r>
            </m:sup>
          </m:sSup>
        </m:oMath>
      </m:oMathPara>
    </w:p>
    <w:p>
      <w:pPr>
        <w:pStyle w:val="FirstParagraph"/>
      </w:pPr>
      <w:r>
        <w:t xml:space="preserve">be the cell-number current. Constant proper density in an expanding congruence requires</w:t>
      </w:r>
    </w:p>
    <w:p>
      <w:pPr>
        <w:pStyle w:val="BodyText"/>
      </w:pPr>
      <m:oMathPara>
        <m:oMathParaPr>
          <m:jc m:val="center"/>
        </m:oMathParaPr>
        <m:oMath>
          <m:sSub>
            <m:e>
              <m:r>
                <m:rPr>
                  <m:sty m:val="p"/>
                </m:rPr>
                <m:t>∇</m:t>
              </m:r>
            </m:e>
            <m:sub>
              <m:r>
                <m:t>μ</m:t>
              </m:r>
            </m:sub>
          </m:sSub>
          <m:sSup>
            <m:e>
              <m:r>
                <m:t>N</m:t>
              </m:r>
            </m:e>
            <m:sup>
              <m:r>
                <m:t>μ</m:t>
              </m:r>
            </m:sup>
          </m:sSup>
          <m:r>
            <m:rPr>
              <m:sty m:val="p"/>
            </m:rPr>
            <m:t>=</m:t>
          </m:r>
          <m:r>
            <m:t>n</m:t>
          </m:r>
          <m:r>
            <m:t>Θ</m:t>
          </m:r>
          <m:r>
            <m:rPr>
              <m:sty m:val="p"/>
            </m:rPr>
            <m:t>,</m:t>
          </m:r>
          <m:r>
            <m:t>  </m:t>
          </m:r>
          <m:r>
            <m:t>Θ</m:t>
          </m:r>
          <m:box>
            <m:boxPr>
              <m:opEmu m:val="on"/>
            </m:boxPr>
            <m:e>
              <m:r>
                <m:rPr>
                  <m:sty m:val="p"/>
                </m:rPr>
                <m:t>:=</m:t>
              </m:r>
            </m:e>
          </m:box>
          <m:sSub>
            <m:e>
              <m:r>
                <m:rPr>
                  <m:sty m:val="p"/>
                </m:rPr>
                <m:t>∇</m:t>
              </m:r>
            </m:e>
            <m:sub>
              <m:r>
                <m:t>μ</m:t>
              </m:r>
            </m:sub>
          </m:sSub>
          <m:sSup>
            <m:e>
              <m:r>
                <m:t>u</m:t>
              </m:r>
            </m:e>
            <m:sup>
              <m:r>
                <m:t>μ</m:t>
              </m:r>
            </m:sup>
          </m:sSup>
          <m:r>
            <m:rPr>
              <m:sty m:val="p"/>
            </m:rPr>
            <m:t>,</m:t>
          </m:r>
        </m:oMath>
      </m:oMathPara>
    </w:p>
    <w:p>
      <w:pPr>
        <w:pStyle w:val="FirstParagraph"/>
      </w:pPr>
      <w:r>
        <w:t xml:space="preserve">rather than ordinary number conservation</w:t>
      </w:r>
      <w:r>
        <w:t xml:space="preserve"> </w:t>
      </w:r>
      <m:oMath>
        <m:sSub>
          <m:e>
            <m:r>
              <m:rPr>
                <m:sty m:val="p"/>
              </m:rPr>
              <m:t>∇</m:t>
            </m:r>
          </m:e>
          <m:sub>
            <m:r>
              <m:t>μ</m:t>
            </m:r>
          </m:sub>
        </m:sSub>
        <m:sSup>
          <m:e>
            <m:r>
              <m:t>N</m:t>
            </m:r>
          </m:e>
          <m:sup>
            <m:r>
              <m:t>μ</m:t>
            </m:r>
          </m:sup>
        </m:sSup>
        <m:r>
          <m:rPr>
            <m:sty m:val="p"/>
          </m:rPr>
          <m:t>=</m:t>
        </m:r>
        <m:r>
          <m:t>0</m:t>
        </m:r>
      </m:oMath>
      <w:r>
        <w:t xml:space="preserve">. This creation rule may eventually follow from the phase/action dynamics, but it is not a consequence of</w:t>
      </w:r>
      <w:r>
        <w:t xml:space="preserve"> </w:t>
      </w:r>
      <m:oMath>
        <m:r>
          <m:t>ϵ</m:t>
        </m:r>
        <m:r>
          <m:t>τ</m:t>
        </m:r>
        <m:r>
          <m:rPr>
            <m:sty m:val="p"/>
          </m:rPr>
          <m:t>=</m:t>
        </m:r>
        <m:r>
          <m:rPr>
            <m:sty m:val="p"/>
          </m:rPr>
          <m:t>ℏ</m:t>
        </m:r>
      </m:oMath>
      <w:r>
        <w:t xml:space="preserve"> </w:t>
      </w:r>
      <w:r>
        <w:t xml:space="preserve">alone.</w:t>
      </w:r>
    </w:p>
    <w:bookmarkEnd w:id="43"/>
    <w:bookmarkStart w:id="45" w:name="a-covariant-two-scalar-action"/>
    <w:p>
      <w:pPr>
        <w:pStyle w:val="Heading1"/>
      </w:pPr>
      <w:r>
        <w:t xml:space="preserve">9. A covariant two-scalar action</w:t>
      </w:r>
    </w:p>
    <w:p>
      <w:pPr>
        <w:pStyle w:val="FirstParagraph"/>
      </w:pPr>
      <w:r>
        <w:t xml:space="preserve">Let</w:t>
      </w:r>
    </w:p>
    <w:p>
      <w:pPr>
        <w:pStyle w:val="BodyText"/>
      </w:pPr>
      <m:oMathPara>
        <m:oMathParaPr>
          <m:jc m:val="center"/>
        </m:oMathParaPr>
        <m:oMath>
          <m:sSup>
            <m:e>
              <m:r>
                <m:t>q</m:t>
              </m:r>
            </m:e>
            <m:sup>
              <m:r>
                <m:t>I</m:t>
              </m:r>
            </m:sup>
          </m:sSup>
          <m:r>
            <m:rPr>
              <m:sty m:val="p"/>
            </m:rPr>
            <m:t>=</m:t>
          </m:r>
          <m:d>
            <m:dPr>
              <m:begChr m:val="("/>
              <m:endChr m:val=")"/>
              <m:sepChr m:val=""/>
              <m:grow/>
            </m:dPr>
            <m:e>
              <m:r>
                <m:t>α</m:t>
              </m:r>
              <m:r>
                <m:rPr>
                  <m:sty m:val="p"/>
                </m:rPr>
                <m:t>,</m:t>
              </m:r>
              <m:r>
                <m:t>ν</m:t>
              </m:r>
            </m:e>
          </m:d>
          <m:r>
            <m:rPr>
              <m:sty m:val="p"/>
            </m:rPr>
            <m:t>,</m:t>
          </m:r>
          <m:r>
            <m:t>  </m:t>
          </m:r>
          <m:r>
            <m:t>I</m:t>
          </m:r>
          <m:r>
            <m:rPr>
              <m:sty m:val="p"/>
            </m:rPr>
            <m:t>=</m:t>
          </m:r>
          <m:r>
            <m:t>1</m:t>
          </m:r>
          <m:r>
            <m:rPr>
              <m:sty m:val="p"/>
            </m:rPr>
            <m:t>,</m:t>
          </m:r>
          <m:r>
            <m:t>2</m:t>
          </m:r>
          <m:r>
            <m:rPr>
              <m:sty m:val="p"/>
            </m:rPr>
            <m:t>.</m:t>
          </m:r>
        </m:oMath>
      </m:oMathPara>
    </w:p>
    <w:p>
      <w:pPr>
        <w:pStyle w:val="FirstParagraph"/>
      </w:pPr>
      <w:r>
        <w:t xml:space="preserve">A minimum healthy scalar action is</w:t>
      </w:r>
    </w:p>
    <w:p>
      <w:pPr>
        <w:pStyle w:val="BodyText"/>
      </w:pPr>
      <m:oMathPara>
        <m:oMathParaPr>
          <m:jc m:val="center"/>
        </m:oMathParaPr>
        <m:oMath>
          <m:borderBox>
            <m:e>
              <m:sSub>
                <m:e>
                  <m:r>
                    <m:t>S</m:t>
                  </m:r>
                </m:e>
                <m:sub>
                  <m:r>
                    <m:rPr>
                      <m:sty m:val="p"/>
                    </m:rPr>
                    <m:t>B</m:t>
                  </m:r>
                </m:sub>
              </m:sSub>
              <m:r>
                <m:rPr>
                  <m:sty m:val="p"/>
                </m:rPr>
                <m:t>=</m:t>
              </m:r>
              <m:r>
                <m:rPr>
                  <m:sty m:val="p"/>
                </m:rPr>
                <m:t>∫</m:t>
              </m:r>
              <m:sSup>
                <m:e>
                  <m:r>
                    <m:t>d</m:t>
                  </m:r>
                </m:e>
                <m:sup>
                  <m:r>
                    <m:t>4</m:t>
                  </m:r>
                </m:sup>
              </m:sSup>
              <m:r>
                <m:t>x</m:t>
              </m:r>
              <m:rad>
                <m:radPr>
                  <m:degHide m:val="on"/>
                </m:radPr>
                <m:deg/>
                <m:e>
                  <m:r>
                    <m:rPr>
                      <m:sty m:val="p"/>
                    </m:rPr>
                    <m:t>−</m:t>
                  </m:r>
                  <m:r>
                    <m:t>g</m:t>
                  </m:r>
                </m:e>
              </m:rad>
              <m:d>
                <m:dPr>
                  <m:begChr m:val="["/>
                  <m:endChr m:val="]"/>
                  <m:sepChr m:val=""/>
                  <m:grow/>
                </m:dPr>
                <m:e>
                  <m:r>
                    <m:rPr>
                      <m:sty m:val="p"/>
                    </m:rPr>
                    <m:t>−</m:t>
                  </m:r>
                  <m:f>
                    <m:fPr>
                      <m:type m:val="bar"/>
                    </m:fPr>
                    <m:num>
                      <m:r>
                        <m:t>1</m:t>
                      </m:r>
                    </m:num>
                    <m:den>
                      <m:r>
                        <m:t>2</m:t>
                      </m:r>
                    </m:den>
                  </m:f>
                  <m:sSub>
                    <m:e>
                      <m:r>
                        <m:t>K</m:t>
                      </m:r>
                    </m:e>
                    <m:sub>
                      <m:r>
                        <m:t>I</m:t>
                      </m:r>
                      <m:r>
                        <m:t>J</m:t>
                      </m:r>
                    </m:sub>
                  </m:sSub>
                  <m:d>
                    <m:dPr>
                      <m:begChr m:val="("/>
                      <m:endChr m:val=")"/>
                      <m:sepChr m:val=""/>
                      <m:grow/>
                    </m:dPr>
                    <m:e>
                      <m:r>
                        <m:t>q</m:t>
                      </m:r>
                    </m:e>
                  </m:d>
                  <m:sSub>
                    <m:e>
                      <m:r>
                        <m:rPr>
                          <m:sty m:val="p"/>
                        </m:rPr>
                        <m:t>∇</m:t>
                      </m:r>
                    </m:e>
                    <m:sub>
                      <m:r>
                        <m:t>μ</m:t>
                      </m:r>
                    </m:sub>
                  </m:sSub>
                  <m:sSup>
                    <m:e>
                      <m:r>
                        <m:t>q</m:t>
                      </m:r>
                    </m:e>
                    <m:sup>
                      <m:r>
                        <m:t>I</m:t>
                      </m:r>
                    </m:sup>
                  </m:sSup>
                  <m:sSup>
                    <m:e>
                      <m:r>
                        <m:rPr>
                          <m:sty m:val="p"/>
                        </m:rPr>
                        <m:t>∇</m:t>
                      </m:r>
                    </m:e>
                    <m:sup>
                      <m:r>
                        <m:t>μ</m:t>
                      </m:r>
                    </m:sup>
                  </m:sSup>
                  <m:sSup>
                    <m:e>
                      <m:r>
                        <m:t>q</m:t>
                      </m:r>
                    </m:e>
                    <m:sup>
                      <m:r>
                        <m:t>J</m:t>
                      </m:r>
                    </m:sup>
                  </m:sSup>
                  <m:r>
                    <m:rPr>
                      <m:sty m:val="p"/>
                    </m:rPr>
                    <m:t>−</m:t>
                  </m:r>
                  <m:r>
                    <m:t>U</m:t>
                  </m:r>
                  <m:d>
                    <m:dPr>
                      <m:begChr m:val="("/>
                      <m:endChr m:val=")"/>
                      <m:sepChr m:val=""/>
                      <m:grow/>
                    </m:dPr>
                    <m:e>
                      <m:r>
                        <m:t>q</m:t>
                      </m:r>
                    </m:e>
                  </m:d>
                  <m:r>
                    <m:rPr>
                      <m:sty m:val="p"/>
                    </m:rPr>
                    <m:t>+</m:t>
                  </m:r>
                  <m:sSub>
                    <m:e>
                      <m:r>
                        <m:rPr>
                          <m:sty m:val="p"/>
                          <m:scr m:val="script"/>
                        </m:rPr>
                        <m:t>L</m:t>
                      </m:r>
                    </m:e>
                    <m:sub>
                      <m:r>
                        <m:rPr>
                          <m:sty m:val="p"/>
                        </m:rPr>
                        <m:t>i</m:t>
                      </m:r>
                      <m:r>
                        <m:rPr>
                          <m:sty m:val="p"/>
                        </m:rPr>
                        <m:t>n</m:t>
                      </m:r>
                      <m:r>
                        <m:rPr>
                          <m:sty m:val="p"/>
                        </m:rPr>
                        <m:t>t</m:t>
                      </m:r>
                    </m:sub>
                  </m:sSub>
                  <m:d>
                    <m:dPr>
                      <m:begChr m:val="("/>
                      <m:endChr m:val=")"/>
                      <m:sepChr m:val=""/>
                      <m:grow/>
                    </m:dPr>
                    <m:e>
                      <m:r>
                        <m:t>q</m:t>
                      </m:r>
                      <m:r>
                        <m:rPr>
                          <m:sty m:val="p"/>
                        </m:rPr>
                        <m:t>,</m:t>
                      </m:r>
                      <m:r>
                        <m:t>θ</m:t>
                      </m:r>
                      <m:r>
                        <m:rPr>
                          <m:sty m:val="p"/>
                        </m:rPr>
                        <m:t>,</m:t>
                      </m:r>
                      <m:r>
                        <m:t>χ</m:t>
                      </m:r>
                    </m:e>
                  </m:d>
                </m:e>
              </m:d>
              <m:r>
                <m:rPr>
                  <m:sty m:val="p"/>
                </m:rPr>
                <m:t>.</m:t>
              </m:r>
            </m:e>
          </m:borderBox>
        </m:oMath>
      </m:oMathPara>
    </w:p>
    <w:p>
      <w:pPr>
        <w:pStyle w:val="FirstParagraph"/>
      </w:pPr>
      <w:r>
        <w:t xml:space="preserve">Here</w:t>
      </w:r>
      <w:r>
        <w:t xml:space="preserve"> </w:t>
      </w:r>
      <m:oMath>
        <m:r>
          <m:t>χ</m:t>
        </m:r>
      </m:oMath>
      <w:r>
        <w:t xml:space="preserve"> </w:t>
      </w:r>
      <w:r>
        <w:t xml:space="preserve">denotes ordinary matter fields. The kinetic matrix must be positive definite in the physical regime:</w:t>
      </w:r>
    </w:p>
    <w:p>
      <w:pPr>
        <w:pStyle w:val="BodyText"/>
      </w:pPr>
      <m:oMathPara>
        <m:oMathParaPr>
          <m:jc m:val="center"/>
        </m:oMathParaPr>
        <m:oMath>
          <m:sSub>
            <m:e>
              <m:r>
                <m:t>K</m:t>
              </m:r>
            </m:e>
            <m:sub>
              <m:r>
                <m:t>α</m:t>
              </m:r>
              <m:r>
                <m:t>α</m:t>
              </m:r>
            </m:sub>
          </m:sSub>
          <m:r>
            <m:rPr>
              <m:sty m:val="p"/>
            </m:rPr>
            <m:t>&gt;</m:t>
          </m:r>
          <m:r>
            <m:t>0</m:t>
          </m:r>
          <m:r>
            <m:rPr>
              <m:sty m:val="p"/>
            </m:rPr>
            <m:t>,</m:t>
          </m:r>
          <m:r>
            <m:t>  </m:t>
          </m:r>
          <m:sSub>
            <m:e>
              <m:r>
                <m:t>K</m:t>
              </m:r>
            </m:e>
            <m:sub>
              <m:r>
                <m:t>ν</m:t>
              </m:r>
              <m:r>
                <m:t>ν</m:t>
              </m:r>
            </m:sub>
          </m:sSub>
          <m:r>
            <m:rPr>
              <m:sty m:val="p"/>
            </m:rPr>
            <m:t>&gt;</m:t>
          </m:r>
          <m:r>
            <m:t>0</m:t>
          </m:r>
          <m:r>
            <m:rPr>
              <m:sty m:val="p"/>
            </m:rPr>
            <m:t>,</m:t>
          </m:r>
          <m:r>
            <m:t>  </m:t>
          </m:r>
          <m:r>
            <m:rPr>
              <m:sty m:val="p"/>
            </m:rPr>
            <m:t>det</m:t>
          </m:r>
          <m:r>
            <m:t>K</m:t>
          </m:r>
          <m:r>
            <m:rPr>
              <m:sty m:val="p"/>
            </m:rPr>
            <m:t>&gt;</m:t>
          </m:r>
          <m:r>
            <m:t>0</m:t>
          </m:r>
          <m:r>
            <m:rPr>
              <m:sty m:val="p"/>
            </m:rPr>
            <m:t>.</m:t>
          </m:r>
        </m:oMath>
      </m:oMathPara>
    </w:p>
    <w:p>
      <w:pPr>
        <w:pStyle w:val="FirstParagraph"/>
      </w:pPr>
      <w:r>
        <w:t xml:space="preserve">These are the minimum no-ghost conditions.</w:t>
      </w:r>
    </w:p>
    <w:p>
      <w:pPr>
        <w:pStyle w:val="BodyText"/>
      </w:pPr>
      <w:r>
        <w:t xml:space="preserve">The Euler-Lagrange equations are</w:t>
      </w:r>
    </w:p>
    <w:p>
      <w:pPr>
        <w:pStyle w:val="BodyText"/>
      </w:pPr>
      <m:oMathPara>
        <m:oMathParaPr>
          <m:jc m:val="center"/>
        </m:oMathParaPr>
        <m:oMath>
          <m:borderBox>
            <m:e>
              <m:sSub>
                <m:e>
                  <m:r>
                    <m:rPr>
                      <m:sty m:val="p"/>
                    </m:rPr>
                    <m:t>∇</m:t>
                  </m:r>
                </m:e>
                <m:sub>
                  <m:r>
                    <m:t>μ</m:t>
                  </m:r>
                </m:sub>
              </m:sSub>
              <m:d>
                <m:dPr>
                  <m:begChr m:val="("/>
                  <m:endChr m:val=")"/>
                  <m:sepChr m:val=""/>
                  <m:grow/>
                </m:dPr>
                <m:e>
                  <m:sSub>
                    <m:e>
                      <m:r>
                        <m:t>K</m:t>
                      </m:r>
                    </m:e>
                    <m:sub>
                      <m:r>
                        <m:t>I</m:t>
                      </m:r>
                      <m:r>
                        <m:t>J</m:t>
                      </m:r>
                    </m:sub>
                  </m:sSub>
                  <m:sSup>
                    <m:e>
                      <m:r>
                        <m:rPr>
                          <m:sty m:val="p"/>
                        </m:rPr>
                        <m:t>∇</m:t>
                      </m:r>
                    </m:e>
                    <m:sup>
                      <m:r>
                        <m:t>μ</m:t>
                      </m:r>
                    </m:sup>
                  </m:sSup>
                  <m:sSup>
                    <m:e>
                      <m:r>
                        <m:t>q</m:t>
                      </m:r>
                    </m:e>
                    <m:sup>
                      <m:r>
                        <m:t>J</m:t>
                      </m:r>
                    </m:sup>
                  </m:sSup>
                </m:e>
              </m:d>
              <m:r>
                <m:rPr>
                  <m:sty m:val="p"/>
                </m:rPr>
                <m:t>−</m:t>
              </m:r>
              <m:f>
                <m:fPr>
                  <m:type m:val="bar"/>
                </m:fPr>
                <m:num>
                  <m:r>
                    <m:t>1</m:t>
                  </m:r>
                </m:num>
                <m:den>
                  <m:r>
                    <m:t>2</m:t>
                  </m:r>
                </m:den>
              </m:f>
              <m:sSub>
                <m:e>
                  <m:r>
                    <m:rPr>
                      <m:sty m:val="p"/>
                    </m:rPr>
                    <m:t>∂</m:t>
                  </m:r>
                </m:e>
                <m:sub>
                  <m:r>
                    <m:t>I</m:t>
                  </m:r>
                </m:sub>
              </m:sSub>
              <m:sSub>
                <m:e>
                  <m:r>
                    <m:t>K</m:t>
                  </m:r>
                </m:e>
                <m:sub>
                  <m:r>
                    <m:t>J</m:t>
                  </m:r>
                  <m:r>
                    <m:t>K</m:t>
                  </m:r>
                </m:sub>
              </m:sSub>
              <m:sSub>
                <m:e>
                  <m:r>
                    <m:rPr>
                      <m:sty m:val="p"/>
                    </m:rPr>
                    <m:t>∇</m:t>
                  </m:r>
                </m:e>
                <m:sub>
                  <m:r>
                    <m:t>μ</m:t>
                  </m:r>
                </m:sub>
              </m:sSub>
              <m:sSup>
                <m:e>
                  <m:r>
                    <m:t>q</m:t>
                  </m:r>
                </m:e>
                <m:sup>
                  <m:r>
                    <m:t>J</m:t>
                  </m:r>
                </m:sup>
              </m:sSup>
              <m:sSup>
                <m:e>
                  <m:r>
                    <m:rPr>
                      <m:sty m:val="p"/>
                    </m:rPr>
                    <m:t>∇</m:t>
                  </m:r>
                </m:e>
                <m:sup>
                  <m:r>
                    <m:t>μ</m:t>
                  </m:r>
                </m:sup>
              </m:sSup>
              <m:sSup>
                <m:e>
                  <m:r>
                    <m:t>q</m:t>
                  </m:r>
                </m:e>
                <m:sup>
                  <m:r>
                    <m:t>K</m:t>
                  </m:r>
                </m:sup>
              </m:sSup>
              <m:r>
                <m:rPr>
                  <m:sty m:val="p"/>
                </m:rPr>
                <m:t>−</m:t>
              </m:r>
              <m:sSub>
                <m:e>
                  <m:r>
                    <m:rPr>
                      <m:sty m:val="p"/>
                    </m:rPr>
                    <m:t>∂</m:t>
                  </m:r>
                </m:e>
                <m:sub>
                  <m:r>
                    <m:t>I</m:t>
                  </m:r>
                </m:sub>
              </m:sSub>
              <m:r>
                <m:t>U</m:t>
              </m:r>
              <m:r>
                <m:rPr>
                  <m:sty m:val="p"/>
                </m:rPr>
                <m:t>=</m:t>
              </m:r>
              <m:sSub>
                <m:e>
                  <m:r>
                    <m:t>J</m:t>
                  </m:r>
                </m:e>
                <m:sub>
                  <m:r>
                    <m:t>I</m:t>
                  </m:r>
                </m:sub>
              </m:sSub>
              <m:r>
                <m:rPr>
                  <m:sty m:val="p"/>
                </m:rPr>
                <m:t>,</m:t>
              </m:r>
            </m:e>
          </m:borderBox>
        </m:oMath>
      </m:oMathPara>
    </w:p>
    <w:p>
      <w:pPr>
        <w:pStyle w:val="FirstParagraph"/>
      </w:pPr>
      <w:r>
        <w:t xml:space="preserve">where</w:t>
      </w:r>
    </w:p>
    <w:p>
      <w:pPr>
        <w:pStyle w:val="BodyText"/>
      </w:pPr>
      <m:oMathPara>
        <m:oMathParaPr>
          <m:jc m:val="center"/>
        </m:oMathParaPr>
        <m:oMath>
          <m:sSub>
            <m:e>
              <m:r>
                <m:t>J</m:t>
              </m:r>
            </m:e>
            <m:sub>
              <m:r>
                <m:t>I</m:t>
              </m:r>
            </m:sub>
          </m:sSub>
          <m:box>
            <m:boxPr>
              <m:opEmu m:val="on"/>
            </m:boxPr>
            <m:e>
              <m:r>
                <m:rPr>
                  <m:sty m:val="p"/>
                </m:rPr>
                <m:t>:=</m:t>
              </m:r>
            </m:e>
          </m:box>
          <m:r>
            <m:rPr>
              <m:sty m:val="p"/>
            </m:rPr>
            <m:t>−</m:t>
          </m:r>
          <m:f>
            <m:fPr>
              <m:type m:val="bar"/>
            </m:fPr>
            <m:num>
              <m:r>
                <m:rPr>
                  <m:sty m:val="p"/>
                </m:rPr>
                <m:t>∂</m:t>
              </m:r>
              <m:sSub>
                <m:e>
                  <m:r>
                    <m:rPr>
                      <m:sty m:val="p"/>
                      <m:scr m:val="script"/>
                    </m:rPr>
                    <m:t>L</m:t>
                  </m:r>
                </m:e>
                <m:sub>
                  <m:r>
                    <m:rPr>
                      <m:sty m:val="p"/>
                    </m:rPr>
                    <m:t>i</m:t>
                  </m:r>
                  <m:r>
                    <m:rPr>
                      <m:sty m:val="p"/>
                    </m:rPr>
                    <m:t>n</m:t>
                  </m:r>
                  <m:r>
                    <m:rPr>
                      <m:sty m:val="p"/>
                    </m:rPr>
                    <m:t>t</m:t>
                  </m:r>
                </m:sub>
              </m:sSub>
            </m:num>
            <m:den>
              <m:r>
                <m:rPr>
                  <m:sty m:val="p"/>
                </m:rPr>
                <m:t>∂</m:t>
              </m:r>
              <m:sSup>
                <m:e>
                  <m:r>
                    <m:t>q</m:t>
                  </m:r>
                </m:e>
                <m:sup>
                  <m:r>
                    <m:t>I</m:t>
                  </m:r>
                </m:sup>
              </m:sSup>
            </m:den>
          </m:f>
        </m:oMath>
      </m:oMathPara>
    </w:p>
    <w:p>
      <w:pPr>
        <w:pStyle w:val="FirstParagraph"/>
      </w:pPr>
      <w:r>
        <w:t xml:space="preserve">are matter and phase source currents.</w:t>
      </w:r>
    </w:p>
    <w:bookmarkStart w:id="44" w:name="stress-energy-from-the-field"/>
    <w:p>
      <w:pPr>
        <w:pStyle w:val="Heading2"/>
      </w:pPr>
      <w:r>
        <w:t xml:space="preserve">9.1 Stress-energy from the field</w:t>
      </w:r>
    </w:p>
    <w:p>
      <w:pPr>
        <w:pStyle w:val="FirstParagraph"/>
      </w:pPr>
      <w:r>
        <w:t xml:space="preserve">The bubble field does not need a stress tensor bolted onto it. Once the action is supplied, its stress-energy is the metric variation</w:t>
      </w:r>
    </w:p>
    <w:p>
      <w:pPr>
        <w:pStyle w:val="BodyText"/>
      </w:pPr>
      <m:oMathPara>
        <m:oMathParaPr>
          <m:jc m:val="center"/>
        </m:oMathParaPr>
        <m:oMath>
          <m:sSubSup>
            <m:e>
              <m:r>
                <m:t>T</m:t>
              </m:r>
            </m:e>
            <m:sub>
              <m:r>
                <m:t>μ</m:t>
              </m:r>
              <m:r>
                <m:t>ν</m:t>
              </m:r>
            </m:sub>
            <m:sup>
              <m:r>
                <m:rPr>
                  <m:sty m:val="p"/>
                </m:rPr>
                <m:t>B</m:t>
              </m:r>
            </m:sup>
          </m:sSubSup>
          <m:r>
            <m:rPr>
              <m:sty m:val="p"/>
            </m:rPr>
            <m:t>=</m:t>
          </m:r>
          <m:r>
            <m:rPr>
              <m:sty m:val="p"/>
            </m:rPr>
            <m:t>−</m:t>
          </m:r>
          <m:f>
            <m:fPr>
              <m:type m:val="bar"/>
            </m:fPr>
            <m:num>
              <m:r>
                <m:t>2</m:t>
              </m:r>
            </m:num>
            <m:den>
              <m:rad>
                <m:radPr>
                  <m:degHide m:val="on"/>
                </m:radPr>
                <m:deg/>
                <m:e>
                  <m:r>
                    <m:rPr>
                      <m:sty m:val="p"/>
                    </m:rPr>
                    <m:t>−</m:t>
                  </m:r>
                  <m:r>
                    <m:t>g</m:t>
                  </m:r>
                </m:e>
              </m:rad>
            </m:den>
          </m:f>
          <m:f>
            <m:fPr>
              <m:type m:val="bar"/>
            </m:fPr>
            <m:num>
              <m:r>
                <m:t>δ</m:t>
              </m:r>
              <m:sSub>
                <m:e>
                  <m:r>
                    <m:t>S</m:t>
                  </m:r>
                </m:e>
                <m:sub>
                  <m:r>
                    <m:rPr>
                      <m:sty m:val="p"/>
                    </m:rPr>
                    <m:t>B</m:t>
                  </m:r>
                </m:sub>
              </m:sSub>
            </m:num>
            <m:den>
              <m:r>
                <m:t>δ</m:t>
              </m:r>
              <m:sSup>
                <m:e>
                  <m:r>
                    <m:t>g</m:t>
                  </m:r>
                </m:e>
                <m:sup>
                  <m:r>
                    <m:t>μ</m:t>
                  </m:r>
                  <m:r>
                    <m:t>ν</m:t>
                  </m:r>
                </m:sup>
              </m:sSup>
            </m:den>
          </m:f>
          <m:r>
            <m:rPr>
              <m:sty m:val="p"/>
            </m:rPr>
            <m:t>.</m:t>
          </m:r>
        </m:oMath>
      </m:oMathPara>
    </w:p>
    <w:p>
      <w:pPr>
        <w:pStyle w:val="FirstParagraph"/>
      </w:pPr>
      <w:r>
        <w:t xml:space="preserve">For the two-derivative scalar action,</w:t>
      </w:r>
    </w:p>
    <w:p>
      <w:pPr>
        <w:pStyle w:val="BodyText"/>
      </w:pPr>
      <m:oMathPara>
        <m:oMathParaPr>
          <m:jc m:val="center"/>
        </m:oMathParaPr>
        <m:oMath>
          <m:borderBox>
            <m:e>
              <m:sSubSup>
                <m:e>
                  <m:r>
                    <m:t>T</m:t>
                  </m:r>
                </m:e>
                <m:sub>
                  <m:r>
                    <m:t>μ</m:t>
                  </m:r>
                  <m:r>
                    <m:t>ν</m:t>
                  </m:r>
                </m:sub>
                <m:sup>
                  <m:r>
                    <m:rPr>
                      <m:sty m:val="p"/>
                    </m:rPr>
                    <m:t>B</m:t>
                  </m:r>
                </m:sup>
              </m:sSubSup>
              <m:r>
                <m:rPr>
                  <m:sty m:val="p"/>
                </m:rPr>
                <m:t>=</m:t>
              </m:r>
              <m:sSub>
                <m:e>
                  <m:r>
                    <m:t>K</m:t>
                  </m:r>
                </m:e>
                <m:sub>
                  <m:r>
                    <m:t>I</m:t>
                  </m:r>
                  <m:r>
                    <m:t>J</m:t>
                  </m:r>
                </m:sub>
              </m:sSub>
              <m:sSub>
                <m:e>
                  <m:r>
                    <m:rPr>
                      <m:sty m:val="p"/>
                    </m:rPr>
                    <m:t>∇</m:t>
                  </m:r>
                </m:e>
                <m:sub>
                  <m:r>
                    <m:t>μ</m:t>
                  </m:r>
                </m:sub>
              </m:sSub>
              <m:sSup>
                <m:e>
                  <m:r>
                    <m:t>q</m:t>
                  </m:r>
                </m:e>
                <m:sup>
                  <m:r>
                    <m:t>I</m:t>
                  </m:r>
                </m:sup>
              </m:sSup>
              <m:sSub>
                <m:e>
                  <m:r>
                    <m:rPr>
                      <m:sty m:val="p"/>
                    </m:rPr>
                    <m:t>∇</m:t>
                  </m:r>
                </m:e>
                <m:sub>
                  <m:r>
                    <m:t>ν</m:t>
                  </m:r>
                </m:sub>
              </m:sSub>
              <m:sSup>
                <m:e>
                  <m:r>
                    <m:t>q</m:t>
                  </m:r>
                </m:e>
                <m:sup>
                  <m:r>
                    <m:t>J</m:t>
                  </m:r>
                </m:sup>
              </m:sSup>
              <m:r>
                <m:rPr>
                  <m:sty m:val="p"/>
                </m:rPr>
                <m:t>−</m:t>
              </m:r>
              <m:sSub>
                <m:e>
                  <m:r>
                    <m:t>g</m:t>
                  </m:r>
                </m:e>
                <m:sub>
                  <m:r>
                    <m:t>μ</m:t>
                  </m:r>
                  <m:r>
                    <m:t>ν</m:t>
                  </m:r>
                </m:sub>
              </m:sSub>
              <m:d>
                <m:dPr>
                  <m:begChr m:val="["/>
                  <m:endChr m:val="]"/>
                  <m:sepChr m:val=""/>
                  <m:grow/>
                </m:dPr>
                <m:e>
                  <m:f>
                    <m:fPr>
                      <m:type m:val="bar"/>
                    </m:fPr>
                    <m:num>
                      <m:r>
                        <m:t>1</m:t>
                      </m:r>
                    </m:num>
                    <m:den>
                      <m:r>
                        <m:t>2</m:t>
                      </m:r>
                    </m:den>
                  </m:f>
                  <m:sSub>
                    <m:e>
                      <m:r>
                        <m:t>K</m:t>
                      </m:r>
                    </m:e>
                    <m:sub>
                      <m:r>
                        <m:t>I</m:t>
                      </m:r>
                      <m:r>
                        <m:t>J</m:t>
                      </m:r>
                    </m:sub>
                  </m:sSub>
                  <m:sSub>
                    <m:e>
                      <m:r>
                        <m:rPr>
                          <m:sty m:val="p"/>
                        </m:rPr>
                        <m:t>∇</m:t>
                      </m:r>
                    </m:e>
                    <m:sub>
                      <m:r>
                        <m:t>ρ</m:t>
                      </m:r>
                    </m:sub>
                  </m:sSub>
                  <m:sSup>
                    <m:e>
                      <m:r>
                        <m:t>q</m:t>
                      </m:r>
                    </m:e>
                    <m:sup>
                      <m:r>
                        <m:t>I</m:t>
                      </m:r>
                    </m:sup>
                  </m:sSup>
                  <m:sSup>
                    <m:e>
                      <m:r>
                        <m:rPr>
                          <m:sty m:val="p"/>
                        </m:rPr>
                        <m:t>∇</m:t>
                      </m:r>
                    </m:e>
                    <m:sup>
                      <m:r>
                        <m:t>ρ</m:t>
                      </m:r>
                    </m:sup>
                  </m:sSup>
                  <m:sSup>
                    <m:e>
                      <m:r>
                        <m:t>q</m:t>
                      </m:r>
                    </m:e>
                    <m:sup>
                      <m:r>
                        <m:t>J</m:t>
                      </m:r>
                    </m:sup>
                  </m:sSup>
                  <m:r>
                    <m:rPr>
                      <m:sty m:val="p"/>
                    </m:rPr>
                    <m:t>+</m:t>
                  </m:r>
                  <m:r>
                    <m:t>U</m:t>
                  </m:r>
                  <m:d>
                    <m:dPr>
                      <m:begChr m:val="("/>
                      <m:endChr m:val=")"/>
                      <m:sepChr m:val=""/>
                      <m:grow/>
                    </m:dPr>
                    <m:e>
                      <m:r>
                        <m:t>q</m:t>
                      </m:r>
                    </m:e>
                  </m:d>
                </m:e>
              </m:d>
              <m:r>
                <m:rPr>
                  <m:sty m:val="p"/>
                </m:rPr>
                <m:t>+</m:t>
              </m:r>
              <m:sSubSup>
                <m:e>
                  <m:r>
                    <m:t>T</m:t>
                  </m:r>
                </m:e>
                <m:sub>
                  <m:r>
                    <m:t>μ</m:t>
                  </m:r>
                  <m:r>
                    <m:t>ν</m:t>
                  </m:r>
                </m:sub>
                <m:sup>
                  <m:r>
                    <m:rPr>
                      <m:sty m:val="p"/>
                    </m:rPr>
                    <m:t>i</m:t>
                  </m:r>
                  <m:r>
                    <m:rPr>
                      <m:sty m:val="p"/>
                    </m:rPr>
                    <m:t>n</m:t>
                  </m:r>
                  <m:r>
                    <m:rPr>
                      <m:sty m:val="p"/>
                    </m:rPr>
                    <m:t>t</m:t>
                  </m:r>
                </m:sup>
              </m:sSubSup>
              <m:r>
                <m:rPr>
                  <m:sty m:val="p"/>
                </m:rPr>
                <m:t>.</m:t>
              </m:r>
            </m:e>
          </m:borderBox>
        </m:oMath>
      </m:oMathPara>
    </w:p>
    <w:p>
      <w:pPr>
        <w:pStyle w:val="FirstParagraph"/>
      </w:pPr>
      <w:r>
        <w:t xml:space="preserve">This tensor contains energy density, momentum flux, isotropic pressure and anisotropic stress produced by spatial gradients. It is exactly the object required to connect the bubble field to general relativity.</w:t>
      </w:r>
    </w:p>
    <w:bookmarkEnd w:id="44"/>
    <w:bookmarkEnd w:id="45"/>
    <w:bookmarkStart w:id="48" w:name="general-relativity-as-the-toolkit"/>
    <w:p>
      <w:pPr>
        <w:pStyle w:val="Heading1"/>
      </w:pPr>
      <w:r>
        <w:t xml:space="preserve">10. General relativity as the toolkit</w:t>
      </w:r>
    </w:p>
    <w:p>
      <w:pPr>
        <w:pStyle w:val="FirstParagraph"/>
      </w:pPr>
      <w:r>
        <w:t xml:space="preserve">The conservative completion treats general relativity as the geometric conversion rule:</w:t>
      </w:r>
    </w:p>
    <w:p>
      <w:pPr>
        <w:pStyle w:val="BodyText"/>
      </w:pPr>
      <m:oMathPara>
        <m:oMathParaPr>
          <m:jc m:val="center"/>
        </m:oMathParaPr>
        <m:oMath>
          <m:borderBox>
            <m:e>
              <m:sSub>
                <m:e>
                  <m:r>
                    <m:t>G</m:t>
                  </m:r>
                </m:e>
                <m:sub>
                  <m:r>
                    <m:t>μ</m:t>
                  </m:r>
                  <m:r>
                    <m:t>ν</m:t>
                  </m:r>
                </m:sub>
              </m:sSub>
              <m:r>
                <m:rPr>
                  <m:sty m:val="p"/>
                </m:rPr>
                <m:t>+</m:t>
              </m:r>
              <m:r>
                <m:t>Λ</m:t>
              </m:r>
              <m:sSub>
                <m:e>
                  <m:r>
                    <m:t>g</m:t>
                  </m:r>
                </m:e>
                <m:sub>
                  <m:r>
                    <m:t>μ</m:t>
                  </m:r>
                  <m:r>
                    <m:t>ν</m:t>
                  </m:r>
                </m:sub>
              </m:sSub>
              <m:r>
                <m:rPr>
                  <m:sty m:val="p"/>
                </m:rPr>
                <m:t>=</m:t>
              </m:r>
              <m:f>
                <m:fPr>
                  <m:type m:val="bar"/>
                </m:fPr>
                <m:num>
                  <m:r>
                    <m:t>8</m:t>
                  </m:r>
                  <m:r>
                    <m:t>π</m:t>
                  </m:r>
                  <m:r>
                    <m:t>G</m:t>
                  </m:r>
                </m:num>
                <m:den>
                  <m:sSup>
                    <m:e>
                      <m:r>
                        <m:t>c</m:t>
                      </m:r>
                    </m:e>
                    <m:sup>
                      <m:r>
                        <m:t>4</m:t>
                      </m:r>
                    </m:sup>
                  </m:sSup>
                </m:den>
              </m:f>
              <m:d>
                <m:dPr>
                  <m:begChr m:val="("/>
                  <m:endChr m:val=")"/>
                  <m:sepChr m:val=""/>
                  <m:grow/>
                </m:dPr>
                <m:e>
                  <m:sSubSup>
                    <m:e>
                      <m:r>
                        <m:t>T</m:t>
                      </m:r>
                    </m:e>
                    <m:sub>
                      <m:r>
                        <m:t>μ</m:t>
                      </m:r>
                      <m:r>
                        <m:t>ν</m:t>
                      </m:r>
                    </m:sub>
                    <m:sup>
                      <m:r>
                        <m:rPr>
                          <m:sty m:val="p"/>
                        </m:rPr>
                        <m:t>m</m:t>
                      </m:r>
                      <m:r>
                        <m:rPr>
                          <m:sty m:val="p"/>
                        </m:rPr>
                        <m:t>a</m:t>
                      </m:r>
                      <m:r>
                        <m:rPr>
                          <m:sty m:val="p"/>
                        </m:rPr>
                        <m:t>t</m:t>
                      </m:r>
                      <m:r>
                        <m:rPr>
                          <m:sty m:val="p"/>
                        </m:rPr>
                        <m:t>t</m:t>
                      </m:r>
                      <m:r>
                        <m:rPr>
                          <m:sty m:val="p"/>
                        </m:rPr>
                        <m:t>e</m:t>
                      </m:r>
                      <m:r>
                        <m:rPr>
                          <m:sty m:val="p"/>
                        </m:rPr>
                        <m:t>r</m:t>
                      </m:r>
                    </m:sup>
                  </m:sSubSup>
                  <m:r>
                    <m:rPr>
                      <m:sty m:val="p"/>
                    </m:rPr>
                    <m:t>+</m:t>
                  </m:r>
                  <m:sSubSup>
                    <m:e>
                      <m:r>
                        <m:t>T</m:t>
                      </m:r>
                    </m:e>
                    <m:sub>
                      <m:r>
                        <m:t>μ</m:t>
                      </m:r>
                      <m:r>
                        <m:t>ν</m:t>
                      </m:r>
                    </m:sub>
                    <m:sup>
                      <m:r>
                        <m:rPr>
                          <m:sty m:val="p"/>
                        </m:rPr>
                        <m:t>B</m:t>
                      </m:r>
                    </m:sup>
                  </m:sSubSup>
                </m:e>
              </m:d>
              <m:r>
                <m:rPr>
                  <m:sty m:val="p"/>
                </m:rPr>
                <m:t>.</m:t>
              </m:r>
            </m:e>
          </m:borderBox>
        </m:oMath>
      </m:oMathPara>
    </w:p>
    <w:p>
      <w:pPr>
        <w:pStyle w:val="FirstParagraph"/>
      </w:pPr>
      <w:r>
        <w:t xml:space="preserve">The bubble theory must then specify</w:t>
      </w:r>
      <w:r>
        <w:t xml:space="preserve"> </w:t>
      </w:r>
      <m:oMath>
        <m:sSub>
          <m:e>
            <m:r>
              <m:t>K</m:t>
            </m:r>
          </m:e>
          <m:sub>
            <m:r>
              <m:t>I</m:t>
            </m:r>
            <m:r>
              <m:t>J</m:t>
            </m:r>
          </m:sub>
        </m:sSub>
      </m:oMath>
      <w:r>
        <w:t xml:space="preserve">,</w:t>
      </w:r>
      <w:r>
        <w:t xml:space="preserve"> </w:t>
      </w:r>
      <m:oMath>
        <m:r>
          <m:t>U</m:t>
        </m:r>
      </m:oMath>
      <w:r>
        <w:t xml:space="preserve">,</w:t>
      </w:r>
      <w:r>
        <w:t xml:space="preserve"> </w:t>
      </w:r>
      <m:oMath>
        <m:sSub>
          <m:e>
            <m:r>
              <m:t>J</m:t>
            </m:r>
          </m:e>
          <m:sub>
            <m:r>
              <m:t>I</m:t>
            </m:r>
          </m:sub>
        </m:sSub>
      </m:oMath>
      <w:r>
        <w:t xml:space="preserve">, and the relation between</w:t>
      </w:r>
      <w:r>
        <w:t xml:space="preserve"> </w:t>
      </w:r>
      <m:oMath>
        <m:d>
          <m:dPr>
            <m:begChr m:val="("/>
            <m:endChr m:val=")"/>
            <m:sepChr m:val=""/>
            <m:grow/>
          </m:dPr>
          <m:e>
            <m:r>
              <m:t>α</m:t>
            </m:r>
            <m:r>
              <m:rPr>
                <m:sty m:val="p"/>
              </m:rPr>
              <m:t>,</m:t>
            </m:r>
            <m:r>
              <m:t>ν</m:t>
            </m:r>
            <m:r>
              <m:rPr>
                <m:sty m:val="p"/>
              </m:rPr>
              <m:t>,</m:t>
            </m:r>
            <m:r>
              <m:t>θ</m:t>
            </m:r>
          </m:e>
        </m:d>
      </m:oMath>
      <w:r>
        <w:t xml:space="preserve"> </w:t>
      </w:r>
      <w:r>
        <w:t xml:space="preserve">and the metric sector. GR determines how the resulting stress-energy curves spacetime and how matter and radiation propagate.</w:t>
      </w:r>
    </w:p>
    <w:p>
      <w:pPr>
        <w:pStyle w:val="BodyText"/>
      </w:pPr>
      <w:r>
        <w:t xml:space="preserve">There are two possible levels of commitment:</w:t>
      </w:r>
    </w:p>
    <w:bookmarkStart w:id="46" w:name="gr-coupled-field-completion"/>
    <w:p>
      <w:pPr>
        <w:pStyle w:val="Heading3"/>
      </w:pPr>
      <w:r>
        <w:t xml:space="preserve">GR-coupled field completion</w:t>
      </w:r>
    </w:p>
    <w:p>
      <w:pPr>
        <w:pStyle w:val="FirstParagraph"/>
      </w:pPr>
      <w:r>
        <w:t xml:space="preserve">The metric is an independent variable. The bubble fields are covariant matter fields with stress-energy. Their weak-field values are interpreted through the potential map of Section 5.</w:t>
      </w:r>
    </w:p>
    <w:bookmarkEnd w:id="46"/>
    <w:bookmarkStart w:id="47" w:name="emergent-metric-completion"/>
    <w:p>
      <w:pPr>
        <w:pStyle w:val="Heading3"/>
      </w:pPr>
      <w:r>
        <w:t xml:space="preserve">Emergent-metric completion</w:t>
      </w:r>
    </w:p>
    <w:p>
      <w:pPr>
        <w:pStyle w:val="FirstParagraph"/>
      </w:pPr>
      <w:r>
        <w:t xml:space="preserve">The physical metric is reconstructed algebraically from</w:t>
      </w:r>
      <w:r>
        <w:t xml:space="preserve"> </w:t>
      </w:r>
      <m:oMath>
        <m:d>
          <m:dPr>
            <m:begChr m:val="("/>
            <m:endChr m:val=")"/>
            <m:sepChr m:val=""/>
            <m:grow/>
          </m:dPr>
          <m:e>
            <m:r>
              <m:t>α</m:t>
            </m:r>
            <m:r>
              <m:rPr>
                <m:sty m:val="p"/>
              </m:rPr>
              <m:t>,</m:t>
            </m:r>
            <m:r>
              <m:t>ν</m:t>
            </m:r>
            <m:r>
              <m:rPr>
                <m:sty m:val="p"/>
              </m:rPr>
              <m:t>,</m:t>
            </m:r>
            <m:r>
              <m:t>θ</m:t>
            </m:r>
          </m:e>
        </m:d>
      </m:oMath>
      <w:r>
        <w:t xml:space="preserve">, and the Einstein-Hilbert action is reduced to those variables:</w:t>
      </w:r>
    </w:p>
    <w:p>
      <w:pPr>
        <w:pStyle w:val="BodyText"/>
      </w:pPr>
      <m:oMathPara>
        <m:oMathParaPr>
          <m:jc m:val="center"/>
        </m:oMathParaPr>
        <m:oMath>
          <m:sSub>
            <m:e>
              <m:r>
                <m:t>S</m:t>
              </m:r>
            </m:e>
            <m:sub>
              <m:r>
                <m:rPr>
                  <m:sty m:val="p"/>
                </m:rPr>
                <m:t>r</m:t>
              </m:r>
              <m:r>
                <m:rPr>
                  <m:sty m:val="p"/>
                </m:rPr>
                <m:t>e</m:t>
              </m:r>
              <m:r>
                <m:rPr>
                  <m:sty m:val="p"/>
                </m:rPr>
                <m:t>d</m:t>
              </m:r>
            </m:sub>
          </m:sSub>
          <m:d>
            <m:dPr>
              <m:begChr m:val="["/>
              <m:endChr m:val="]"/>
              <m:sepChr m:val=""/>
              <m:grow/>
            </m:dPr>
            <m:e>
              <m:r>
                <m:t>q</m:t>
              </m:r>
              <m:r>
                <m:rPr>
                  <m:sty m:val="p"/>
                </m:rPr>
                <m:t>,</m:t>
              </m:r>
              <m:r>
                <m:t>θ</m:t>
              </m:r>
            </m:e>
          </m:d>
          <m:r>
            <m:rPr>
              <m:sty m:val="p"/>
            </m:rPr>
            <m:t>=</m:t>
          </m:r>
          <m:f>
            <m:fPr>
              <m:type m:val="bar"/>
            </m:fPr>
            <m:num>
              <m:sSup>
                <m:e>
                  <m:r>
                    <m:t>c</m:t>
                  </m:r>
                </m:e>
                <m:sup>
                  <m:r>
                    <m:t>4</m:t>
                  </m:r>
                </m:sup>
              </m:sSup>
            </m:num>
            <m:den>
              <m:r>
                <m:t>16</m:t>
              </m:r>
              <m:r>
                <m:t>π</m:t>
              </m:r>
              <m:r>
                <m:t>G</m:t>
              </m:r>
            </m:den>
          </m:f>
          <m:r>
            <m:rPr>
              <m:sty m:val="p"/>
            </m:rPr>
            <m:t>∫</m:t>
          </m:r>
          <m:rad>
            <m:radPr>
              <m:degHide m:val="on"/>
            </m:radPr>
            <m:deg/>
            <m:e>
              <m:r>
                <m:rPr>
                  <m:sty m:val="p"/>
                </m:rPr>
                <m:t>−</m:t>
              </m:r>
              <m:sSub>
                <m:e>
                  <m:r>
                    <m:t>g</m:t>
                  </m:r>
                </m:e>
                <m:sub>
                  <m:r>
                    <m:rPr>
                      <m:sty m:val="p"/>
                    </m:rPr>
                    <m:t>B</m:t>
                  </m:r>
                </m:sub>
              </m:sSub>
              <m:d>
                <m:dPr>
                  <m:begChr m:val="("/>
                  <m:endChr m:val=")"/>
                  <m:sepChr m:val=""/>
                  <m:grow/>
                </m:dPr>
                <m:e>
                  <m:r>
                    <m:t>q</m:t>
                  </m:r>
                  <m:r>
                    <m:rPr>
                      <m:sty m:val="p"/>
                    </m:rPr>
                    <m:t>,</m:t>
                  </m:r>
                  <m:r>
                    <m:t>θ</m:t>
                  </m:r>
                </m:e>
              </m:d>
            </m:e>
          </m:rad>
          <m:r>
            <m:t>R</m:t>
          </m:r>
          <m:d>
            <m:dPr>
              <m:begChr m:val="["/>
              <m:endChr m:val="]"/>
              <m:sepChr m:val=""/>
              <m:grow/>
            </m:dPr>
            <m:e>
              <m:sSub>
                <m:e>
                  <m:r>
                    <m:t>g</m:t>
                  </m:r>
                </m:e>
                <m:sub>
                  <m:r>
                    <m:rPr>
                      <m:sty m:val="p"/>
                    </m:rPr>
                    <m:t>B</m:t>
                  </m:r>
                </m:sub>
              </m:sSub>
              <m:d>
                <m:dPr>
                  <m:begChr m:val="("/>
                  <m:endChr m:val=")"/>
                  <m:sepChr m:val=""/>
                  <m:grow/>
                </m:dPr>
                <m:e>
                  <m:r>
                    <m:t>q</m:t>
                  </m:r>
                  <m:r>
                    <m:rPr>
                      <m:sty m:val="p"/>
                    </m:rPr>
                    <m:t>,</m:t>
                  </m:r>
                  <m:r>
                    <m:t>θ</m:t>
                  </m:r>
                </m:e>
              </m:d>
            </m:e>
          </m:d>
          <m:r>
            <m:t> </m:t>
          </m:r>
          <m:sSup>
            <m:e>
              <m:r>
                <m:t>d</m:t>
              </m:r>
            </m:e>
            <m:sup>
              <m:r>
                <m:t>4</m:t>
              </m:r>
            </m:sup>
          </m:sSup>
          <m:r>
            <m:t>x</m:t>
          </m:r>
          <m:r>
            <m:rPr>
              <m:sty m:val="p"/>
            </m:rPr>
            <m:t>+</m:t>
          </m:r>
          <m:sSub>
            <m:e>
              <m:r>
                <m:t>S</m:t>
              </m:r>
            </m:e>
            <m:sub>
              <m:r>
                <m:rPr>
                  <m:sty m:val="p"/>
                </m:rPr>
                <m:t>B</m:t>
              </m:r>
            </m:sub>
          </m:sSub>
          <m:r>
            <m:rPr>
              <m:sty m:val="p"/>
            </m:rPr>
            <m:t>+</m:t>
          </m:r>
          <m:sSub>
            <m:e>
              <m:r>
                <m:t>S</m:t>
              </m:r>
            </m:e>
            <m:sub>
              <m:r>
                <m:t>m</m:t>
              </m:r>
            </m:sub>
          </m:sSub>
          <m:r>
            <m:rPr>
              <m:sty m:val="p"/>
            </m:rPr>
            <m:t>.</m:t>
          </m:r>
        </m:oMath>
      </m:oMathPara>
    </w:p>
    <w:p>
      <w:pPr>
        <w:pStyle w:val="FirstParagraph"/>
      </w:pPr>
      <w:r>
        <w:t xml:space="preserve">Variation gives projected Einstein equations</w:t>
      </w:r>
    </w:p>
    <w:p>
      <w:pPr>
        <w:pStyle w:val="BodyText"/>
      </w:pPr>
      <m:oMathPara>
        <m:oMathParaPr>
          <m:jc m:val="center"/>
        </m:oMathParaPr>
        <m:oMath>
          <m:f>
            <m:fPr>
              <m:type m:val="bar"/>
            </m:fPr>
            <m:num>
              <m:r>
                <m:t>δ</m:t>
              </m:r>
              <m:sSubSup>
                <m:e>
                  <m:r>
                    <m:t>g</m:t>
                  </m:r>
                </m:e>
                <m:sub>
                  <m:r>
                    <m:t>μ</m:t>
                  </m:r>
                  <m:r>
                    <m:t>ν</m:t>
                  </m:r>
                </m:sub>
                <m:sup>
                  <m:r>
                    <m:rPr>
                      <m:sty m:val="p"/>
                    </m:rPr>
                    <m:t>B</m:t>
                  </m:r>
                </m:sup>
              </m:sSubSup>
            </m:num>
            <m:den>
              <m:r>
                <m:t>δ</m:t>
              </m:r>
              <m:sSup>
                <m:e>
                  <m:r>
                    <m:t>q</m:t>
                  </m:r>
                </m:e>
                <m:sup>
                  <m:r>
                    <m:t>I</m:t>
                  </m:r>
                </m:sup>
              </m:sSup>
            </m:den>
          </m:f>
          <m:d>
            <m:dPr>
              <m:begChr m:val="("/>
              <m:endChr m:val=")"/>
              <m:sepChr m:val=""/>
              <m:grow/>
            </m:dPr>
            <m:e>
              <m:sSup>
                <m:e>
                  <m:r>
                    <m:t>G</m:t>
                  </m:r>
                </m:e>
                <m:sup>
                  <m:r>
                    <m:t>μ</m:t>
                  </m:r>
                  <m:r>
                    <m:t>ν</m:t>
                  </m:r>
                </m:sup>
              </m:sSup>
              <m:r>
                <m:rPr>
                  <m:sty m:val="p"/>
                </m:rPr>
                <m:t>−</m:t>
              </m:r>
              <m:f>
                <m:fPr>
                  <m:type m:val="bar"/>
                </m:fPr>
                <m:num>
                  <m:r>
                    <m:t>8</m:t>
                  </m:r>
                  <m:r>
                    <m:t>π</m:t>
                  </m:r>
                  <m:r>
                    <m:t>G</m:t>
                  </m:r>
                </m:num>
                <m:den>
                  <m:sSup>
                    <m:e>
                      <m:r>
                        <m:t>c</m:t>
                      </m:r>
                    </m:e>
                    <m:sup>
                      <m:r>
                        <m:t>4</m:t>
                      </m:r>
                    </m:sup>
                  </m:sSup>
                </m:den>
              </m:f>
              <m:sSup>
                <m:e>
                  <m:r>
                    <m:t>T</m:t>
                  </m:r>
                </m:e>
                <m:sup>
                  <m:r>
                    <m:t>μ</m:t>
                  </m:r>
                  <m:r>
                    <m:t>ν</m:t>
                  </m:r>
                </m:sup>
              </m:sSup>
            </m:e>
          </m:d>
          <m:r>
            <m:rPr>
              <m:sty m:val="p"/>
            </m:rPr>
            <m:t>=</m:t>
          </m:r>
          <m:r>
            <m:t>0</m:t>
          </m:r>
          <m:r>
            <m:rPr>
              <m:sty m:val="p"/>
            </m:rPr>
            <m:t>.</m:t>
          </m:r>
        </m:oMath>
      </m:oMathPara>
    </w:p>
    <w:p>
      <w:pPr>
        <w:pStyle w:val="FirstParagraph"/>
      </w:pPr>
      <w:r>
        <w:t xml:space="preserve">This is closer to the intended claim that the metric</w:t>
      </w:r>
      <w:r>
        <w:t xml:space="preserve"> </w:t>
      </w:r>
      <w:r>
        <w:rPr>
          <w:i/>
          <w:iCs/>
        </w:rPr>
        <w:t xml:space="preserve">is</w:t>
      </w:r>
      <w:r>
        <w:t xml:space="preserve"> </w:t>
      </w:r>
      <w:r>
        <w:t xml:space="preserve">bubble packing, but it is also more restrictive and requires a complete covariant reconstruction map. It remains the stronger open programme.</w:t>
      </w:r>
    </w:p>
    <w:bookmarkEnd w:id="47"/>
    <w:bookmarkEnd w:id="48"/>
    <w:bookmarkStart w:id="49" w:name="minimum-source-equations"/>
    <w:p>
      <w:pPr>
        <w:pStyle w:val="Heading1"/>
      </w:pPr>
      <w:r>
        <w:t xml:space="preserve">11. Minimum source equations</w:t>
      </w:r>
    </w:p>
    <w:p>
      <w:pPr>
        <w:pStyle w:val="FirstParagraph"/>
      </w:pPr>
      <w:r>
        <w:t xml:space="preserve">Linearising around the baseline state gives a general two-field system</w:t>
      </w:r>
    </w:p>
    <w:p>
      <w:pPr>
        <w:pStyle w:val="BodyText"/>
      </w:pPr>
      <m:oMathPara>
        <m:oMathParaPr>
          <m:jc m:val="center"/>
        </m:oMathParaPr>
        <m:oMath>
          <m:borderBox>
            <m:e>
              <m:r>
                <m:rPr>
                  <m:sty m:val="b"/>
                </m:rPr>
                <m:t>K</m:t>
              </m:r>
              <m:sSup>
                <m:e>
                  <m:r>
                    <m:rPr>
                      <m:sty m:val="p"/>
                    </m:rPr>
                    <m:t>∇</m:t>
                  </m:r>
                </m:e>
                <m:sup>
                  <m:r>
                    <m:t>2</m:t>
                  </m:r>
                </m:sup>
              </m:sSup>
              <m:r>
                <m:rPr>
                  <m:sty m:val="b"/>
                </m:rPr>
                <m:t>q</m:t>
              </m:r>
              <m:r>
                <m:rPr>
                  <m:sty m:val="p"/>
                </m:rPr>
                <m:t>−</m:t>
              </m:r>
              <m:sSup>
                <m:e>
                  <m:r>
                    <m:rPr>
                      <m:sty m:val="b"/>
                    </m:rPr>
                    <m:t>M</m:t>
                  </m:r>
                </m:e>
                <m:sup>
                  <m:r>
                    <m:t>2</m:t>
                  </m:r>
                </m:sup>
              </m:sSup>
              <m:r>
                <m:rPr>
                  <m:sty m:val="b"/>
                </m:rPr>
                <m:t>q</m:t>
              </m:r>
              <m:r>
                <m:rPr>
                  <m:sty m:val="p"/>
                </m:rPr>
                <m:t>=</m:t>
              </m:r>
              <m:r>
                <m:rPr>
                  <m:sty m:val="p"/>
                </m:rPr>
                <m:t>−</m:t>
              </m:r>
              <m:r>
                <m:rPr>
                  <m:sty m:val="b"/>
                </m:rPr>
                <m:t>C</m:t>
              </m:r>
              <m:r>
                <m:t>ρ</m:t>
              </m:r>
              <m:r>
                <m:rPr>
                  <m:sty m:val="p"/>
                </m:rPr>
                <m:t>,</m:t>
              </m:r>
              <m:r>
                <m:t>  </m:t>
              </m:r>
              <m:r>
                <m:rPr>
                  <m:sty m:val="b"/>
                </m:rPr>
                <m:t>q</m:t>
              </m:r>
              <m:r>
                <m:rPr>
                  <m:sty m:val="p"/>
                </m:rPr>
                <m:t>=</m:t>
              </m:r>
              <m:d>
                <m:dPr>
                  <m:begChr m:val="("/>
                  <m:endChr m:val=")"/>
                  <m:sepChr m:val=""/>
                  <m:grow/>
                </m:dPr>
                <m:e>
                  <m:m>
                    <m:mPr>
                      <m:baseJc m:val="center"/>
                      <m:plcHide m:val="on"/>
                      <m:mcs>
                        <m:mc>
                          <m:mcPr>
                            <m:mcJc m:val="center"/>
                            <m:count m:val="1"/>
                          </m:mcPr>
                        </m:mc>
                      </m:mcs>
                    </m:mPr>
                    <m:mr>
                      <m:e>
                        <m:r>
                          <m:t>α</m:t>
                        </m:r>
                      </m:e>
                    </m:mr>
                    <m:mr>
                      <m:e>
                        <m:r>
                          <m:t>ν</m:t>
                        </m:r>
                      </m:e>
                    </m:mr>
                  </m:m>
                </m:e>
              </m:d>
              <m:r>
                <m:rPr>
                  <m:sty m:val="p"/>
                </m:rPr>
                <m:t>.</m:t>
              </m:r>
            </m:e>
          </m:borderBox>
        </m:oMath>
      </m:oMathPara>
    </w:p>
    <w:p>
      <w:pPr>
        <w:pStyle w:val="FirstParagraph"/>
      </w:pPr>
      <w:r>
        <w:t xml:space="preserve">The matrices have distinct roles:</w:t>
      </w:r>
    </w:p>
    <w:p>
      <w:pPr>
        <w:pStyle w:val="Compact"/>
        <w:numPr>
          <w:ilvl w:val="0"/>
          <w:numId w:val="1004"/>
        </w:numPr>
      </w:pPr>
      <m:oMath>
        <m:r>
          <m:rPr>
            <m:sty m:val="b"/>
          </m:rPr>
          <m:t>K</m:t>
        </m:r>
      </m:oMath>
      <w:r>
        <w:t xml:space="preserve">: field stiffness and kinetic mixing;</w:t>
      </w:r>
    </w:p>
    <w:p>
      <w:pPr>
        <w:pStyle w:val="Compact"/>
        <w:numPr>
          <w:ilvl w:val="0"/>
          <w:numId w:val="1004"/>
        </w:numPr>
      </w:pPr>
      <m:oMath>
        <m:sSup>
          <m:e>
            <m:r>
              <m:rPr>
                <m:sty m:val="b"/>
              </m:rPr>
              <m:t>M</m:t>
            </m:r>
          </m:e>
          <m:sup>
            <m:r>
              <m:t>2</m:t>
            </m:r>
          </m:sup>
        </m:sSup>
      </m:oMath>
      <w:r>
        <w:t xml:space="preserve">: ranges and screening scales;</w:t>
      </w:r>
    </w:p>
    <w:p>
      <w:pPr>
        <w:pStyle w:val="Compact"/>
        <w:numPr>
          <w:ilvl w:val="0"/>
          <w:numId w:val="1004"/>
        </w:numPr>
      </w:pPr>
      <m:oMath>
        <m:r>
          <m:rPr>
            <m:sty m:val="b"/>
          </m:rPr>
          <m:t>C</m:t>
        </m:r>
      </m:oMath>
      <w:r>
        <w:t xml:space="preserve">: coupling of matter to size and density modes.</w:t>
      </w:r>
    </w:p>
    <w:p>
      <w:pPr>
        <w:pStyle w:val="FirstParagraph"/>
      </w:pPr>
      <w:r>
        <w:t xml:space="preserve">The Newtonian limit fixes one observed combination. Since</w:t>
      </w:r>
    </w:p>
    <w:p>
      <w:pPr>
        <w:pStyle w:val="BodyText"/>
      </w:pPr>
      <m:oMathPara>
        <m:oMathParaPr>
          <m:jc m:val="center"/>
        </m:oMathParaPr>
        <m:oMath>
          <m:r>
            <m:t>Φ</m:t>
          </m:r>
          <m:r>
            <m:rPr>
              <m:sty m:val="p"/>
            </m:rPr>
            <m:t>=</m:t>
          </m:r>
          <m:r>
            <m:rPr>
              <m:sty m:val="p"/>
            </m:rPr>
            <m:t>−</m:t>
          </m:r>
          <m:sSup>
            <m:e>
              <m:r>
                <m:t>c</m:t>
              </m:r>
            </m:e>
            <m:sup>
              <m:r>
                <m:t>2</m:t>
              </m:r>
            </m:sup>
          </m:sSup>
          <m:r>
            <m:t>α</m:t>
          </m:r>
          <m:r>
            <m:rPr>
              <m:sty m:val="p"/>
            </m:rPr>
            <m:t>,</m:t>
          </m:r>
        </m:oMath>
      </m:oMathPara>
    </w:p>
    <w:p>
      <w:pPr>
        <w:pStyle w:val="FirstParagraph"/>
      </w:pPr>
      <w:r>
        <w:t xml:space="preserve">recovering</w:t>
      </w:r>
    </w:p>
    <w:p>
      <w:pPr>
        <w:pStyle w:val="BodyText"/>
      </w:pPr>
      <m:oMathPara>
        <m:oMathParaPr>
          <m:jc m:val="center"/>
        </m:oMathParaPr>
        <m:oMath>
          <m:sSup>
            <m:e>
              <m:r>
                <m:rPr>
                  <m:sty m:val="p"/>
                </m:rPr>
                <m:t>∇</m:t>
              </m:r>
            </m:e>
            <m:sup>
              <m:r>
                <m:t>2</m:t>
              </m:r>
            </m:sup>
          </m:sSup>
          <m:r>
            <m:t>Φ</m:t>
          </m:r>
          <m:r>
            <m:rPr>
              <m:sty m:val="p"/>
            </m:rPr>
            <m:t>=</m:t>
          </m:r>
          <m:r>
            <m:t>4</m:t>
          </m:r>
          <m:r>
            <m:t>π</m:t>
          </m:r>
          <m:r>
            <m:t>G</m:t>
          </m:r>
          <m:r>
            <m:t>ρ</m:t>
          </m:r>
        </m:oMath>
      </m:oMathPara>
    </w:p>
    <w:p>
      <w:pPr>
        <w:pStyle w:val="FirstParagraph"/>
      </w:pPr>
      <w:r>
        <w:t xml:space="preserve">requires</w:t>
      </w:r>
    </w:p>
    <w:p>
      <w:pPr>
        <w:pStyle w:val="BodyText"/>
      </w:pPr>
      <m:oMathPara>
        <m:oMathParaPr>
          <m:jc m:val="center"/>
        </m:oMathParaPr>
        <m:oMath>
          <m:sSup>
            <m:e>
              <m:r>
                <m:rPr>
                  <m:sty m:val="p"/>
                </m:rPr>
                <m:t>∇</m:t>
              </m:r>
            </m:e>
            <m:sup>
              <m:r>
                <m:t>2</m:t>
              </m:r>
            </m:sup>
          </m:sSup>
          <m:r>
            <m:t>α</m:t>
          </m:r>
          <m:r>
            <m:rPr>
              <m:sty m:val="p"/>
            </m:rPr>
            <m:t>=</m:t>
          </m:r>
          <m:r>
            <m:rPr>
              <m:sty m:val="p"/>
            </m:rPr>
            <m:t>−</m:t>
          </m:r>
          <m:f>
            <m:fPr>
              <m:type m:val="bar"/>
            </m:fPr>
            <m:num>
              <m:r>
                <m:t>4</m:t>
              </m:r>
              <m:r>
                <m:t>π</m:t>
              </m:r>
              <m:r>
                <m:t>G</m:t>
              </m:r>
            </m:num>
            <m:den>
              <m:sSup>
                <m:e>
                  <m:r>
                    <m:t>c</m:t>
                  </m:r>
                </m:e>
                <m:sup>
                  <m:r>
                    <m:t>2</m:t>
                  </m:r>
                </m:sup>
              </m:sSup>
            </m:den>
          </m:f>
          <m:r>
            <m:t>ρ</m:t>
          </m:r>
        </m:oMath>
      </m:oMathPara>
    </w:p>
    <w:p>
      <w:pPr>
        <w:pStyle w:val="FirstParagraph"/>
      </w:pPr>
      <w:r>
        <w:t xml:space="preserve">for the long-range eigenmode.</w:t>
      </w:r>
    </w:p>
    <w:p>
      <w:pPr>
        <w:pStyle w:val="BodyText"/>
      </w:pPr>
      <w:r>
        <w:t xml:space="preserve">This equation can be used in two ways:</w:t>
      </w:r>
    </w:p>
    <w:p>
      <w:pPr>
        <w:pStyle w:val="Compact"/>
        <w:numPr>
          <w:ilvl w:val="0"/>
          <w:numId w:val="1005"/>
        </w:numPr>
      </w:pPr>
      <w:r>
        <w:rPr>
          <w:b/>
          <w:bCs/>
        </w:rPr>
        <w:t xml:space="preserve">Calibration:</w:t>
      </w:r>
      <w:r>
        <w:t xml:space="preserve"> </w:t>
      </w:r>
      <w:r>
        <w:t xml:space="preserve">insert measured</w:t>
      </w:r>
      <w:r>
        <w:t xml:space="preserve"> </w:t>
      </w:r>
      <m:oMath>
        <m:r>
          <m:t>G</m:t>
        </m:r>
      </m:oMath>
      <w:r>
        <w:t xml:space="preserve"> </w:t>
      </w:r>
      <w:r>
        <w:t xml:space="preserve">and test the rest of the bubble theory.</w:t>
      </w:r>
    </w:p>
    <w:p>
      <w:pPr>
        <w:pStyle w:val="Compact"/>
        <w:numPr>
          <w:ilvl w:val="0"/>
          <w:numId w:val="1005"/>
        </w:numPr>
      </w:pPr>
      <w:r>
        <w:rPr>
          <w:b/>
          <w:bCs/>
        </w:rPr>
        <w:t xml:space="preserve">Derivation target:</w:t>
      </w:r>
      <w:r>
        <w:t xml:space="preserve"> </w:t>
      </w:r>
      <w:r>
        <w:t xml:space="preserve">derive the coefficient</w:t>
      </w:r>
      <w:r>
        <w:t xml:space="preserve"> </w:t>
      </w:r>
      <m:oMath>
        <m:r>
          <m:t>4</m:t>
        </m:r>
        <m:r>
          <m:t>π</m:t>
        </m:r>
        <m:r>
          <m:t>G</m:t>
        </m:r>
        <m:r>
          <m:rPr>
            <m:sty m:val="p"/>
          </m:rPr>
          <m:t>/</m:t>
        </m:r>
        <m:sSup>
          <m:e>
            <m:r>
              <m:t>c</m:t>
            </m:r>
          </m:e>
          <m:sup>
            <m:r>
              <m:t>2</m:t>
            </m:r>
          </m:sup>
        </m:sSup>
      </m:oMath>
      <w:r>
        <w:t xml:space="preserve"> </w:t>
      </w:r>
      <w:r>
        <w:t xml:space="preserve">from</w:t>
      </w:r>
      <w:r>
        <w:t xml:space="preserve"> </w:t>
      </w:r>
      <m:oMath>
        <m:r>
          <m:t>K</m:t>
        </m:r>
      </m:oMath>
      <w:r>
        <w:t xml:space="preserve">,</w:t>
      </w:r>
      <w:r>
        <w:t xml:space="preserve"> </w:t>
      </w:r>
      <m:oMath>
        <m:r>
          <m:t>C</m:t>
        </m:r>
      </m:oMath>
      <w:r>
        <w:t xml:space="preserve">,</w:t>
      </w:r>
      <w:r>
        <w:t xml:space="preserve"> </w:t>
      </w:r>
      <m:oMath>
        <m:r>
          <m:rPr>
            <m:sty m:val="p"/>
          </m:rPr>
          <m:t>ℏ</m:t>
        </m:r>
      </m:oMath>
      <w:r>
        <w:t xml:space="preserve">,</w:t>
      </w:r>
      <w:r>
        <w:t xml:space="preserve"> </w:t>
      </w:r>
      <m:oMath>
        <m:r>
          <m:t>c</m:t>
        </m:r>
      </m:oMath>
      <w:r>
        <w:t xml:space="preserve">, and the vacuum cell structure.</w:t>
      </w:r>
    </w:p>
    <w:p>
      <w:pPr>
        <w:pStyle w:val="FirstParagraph"/>
      </w:pPr>
      <w:r>
        <w:t xml:space="preserve">The second is required before claiming a derivation of</w:t>
      </w:r>
      <w:r>
        <w:t xml:space="preserve"> </w:t>
      </w:r>
      <m:oMath>
        <m:r>
          <m:t>G</m:t>
        </m:r>
      </m:oMath>
      <w:r>
        <w:t xml:space="preserve">.</w:t>
      </w:r>
    </w:p>
    <w:p>
      <w:pPr>
        <w:pStyle w:val="BodyText"/>
      </w:pPr>
      <w:r>
        <w:t xml:space="preserve">A screened density mode may obey</w:t>
      </w:r>
    </w:p>
    <w:p>
      <w:pPr>
        <w:pStyle w:val="BodyText"/>
      </w:pPr>
      <m:oMathPara>
        <m:oMathParaPr>
          <m:jc m:val="center"/>
        </m:oMathParaPr>
        <m:oMath>
          <m:d>
            <m:dPr>
              <m:begChr m:val="("/>
              <m:endChr m:val=")"/>
              <m:sepChr m:val=""/>
              <m:grow/>
            </m:dPr>
            <m:e>
              <m:sSup>
                <m:e>
                  <m:r>
                    <m:rPr>
                      <m:sty m:val="p"/>
                    </m:rPr>
                    <m:t>∇</m:t>
                  </m:r>
                </m:e>
                <m:sup>
                  <m:r>
                    <m:t>2</m:t>
                  </m:r>
                </m:sup>
              </m:sSup>
              <m:r>
                <m:rPr>
                  <m:sty m:val="p"/>
                </m:rPr>
                <m:t>−</m:t>
              </m:r>
              <m:sSubSup>
                <m:e>
                  <m:r>
                    <m:t>λ</m:t>
                  </m:r>
                </m:e>
                <m:sub>
                  <m:r>
                    <m:t>ν</m:t>
                  </m:r>
                </m:sub>
                <m:sup>
                  <m:r>
                    <m:rPr>
                      <m:sty m:val="p"/>
                    </m:rPr>
                    <m:t>−</m:t>
                  </m:r>
                  <m:r>
                    <m:t>2</m:t>
                  </m:r>
                </m:sup>
              </m:sSubSup>
            </m:e>
          </m:d>
          <m:r>
            <m:t>ν</m:t>
          </m:r>
          <m:r>
            <m:rPr>
              <m:sty m:val="p"/>
            </m:rPr>
            <m:t>=</m:t>
          </m:r>
          <m:r>
            <m:rPr>
              <m:sty m:val="p"/>
            </m:rPr>
            <m:t>−</m:t>
          </m:r>
          <m:sSub>
            <m:e>
              <m:r>
                <m:t>β</m:t>
              </m:r>
            </m:e>
            <m:sub>
              <m:r>
                <m:t>ν</m:t>
              </m:r>
            </m:sub>
          </m:sSub>
          <m:f>
            <m:fPr>
              <m:type m:val="bar"/>
            </m:fPr>
            <m:num>
              <m:r>
                <m:t>4</m:t>
              </m:r>
              <m:r>
                <m:t>π</m:t>
              </m:r>
              <m:r>
                <m:t>G</m:t>
              </m:r>
            </m:num>
            <m:den>
              <m:sSup>
                <m:e>
                  <m:r>
                    <m:t>c</m:t>
                  </m:r>
                </m:e>
                <m:sup>
                  <m:r>
                    <m:t>2</m:t>
                  </m:r>
                </m:sup>
              </m:sSup>
            </m:den>
          </m:f>
          <m:r>
            <m:t>ρ</m:t>
          </m:r>
          <m:r>
            <m:rPr>
              <m:sty m:val="p"/>
            </m:rPr>
            <m:t>.</m:t>
          </m:r>
        </m:oMath>
      </m:oMathPara>
    </w:p>
    <w:p>
      <w:pPr>
        <w:pStyle w:val="FirstParagraph"/>
      </w:pPr>
      <w:r>
        <w:t xml:space="preserve">The parameters</w:t>
      </w:r>
      <w:r>
        <w:t xml:space="preserve"> </w:t>
      </w:r>
      <m:oMath>
        <m:sSub>
          <m:e>
            <m:r>
              <m:t>β</m:t>
            </m:r>
          </m:e>
          <m:sub>
            <m:r>
              <m:t>ν</m:t>
            </m:r>
          </m:sub>
        </m:sSub>
      </m:oMath>
      <w:r>
        <w:t xml:space="preserve"> </w:t>
      </w:r>
      <w:r>
        <w:t xml:space="preserve">and</w:t>
      </w:r>
      <w:r>
        <w:t xml:space="preserve"> </w:t>
      </w:r>
      <m:oMath>
        <m:sSub>
          <m:e>
            <m:r>
              <m:t>λ</m:t>
            </m:r>
          </m:e>
          <m:sub>
            <m:r>
              <m:t>ν</m:t>
            </m:r>
          </m:sub>
        </m:sSub>
      </m:oMath>
      <w:r>
        <w:t xml:space="preserve"> </w:t>
      </w:r>
      <w:r>
        <w:t xml:space="preserve">are not free decorations: Solar System slip, lensing, binary pulsars and cosmological structure constrain them.</w:t>
      </w:r>
    </w:p>
    <w:bookmarkEnd w:id="49"/>
    <w:bookmarkStart w:id="53" w:name="computed-source-example"/>
    <w:p>
      <w:pPr>
        <w:pStyle w:val="Heading1"/>
      </w:pPr>
      <w:r>
        <w:t xml:space="preserve">12. Computed source example</w:t>
      </w:r>
    </w:p>
    <w:p>
      <w:pPr>
        <w:pStyle w:val="FirstParagraph"/>
      </w:pPr>
      <w:r>
        <w:t xml:space="preserve">The accompanying program solves a smooth spherical toy source with total solar mass. It uses</w:t>
      </w:r>
    </w:p>
    <w:p>
      <w:pPr>
        <w:pStyle w:val="BodyText"/>
      </w:pPr>
      <m:oMathPara>
        <m:oMathParaPr>
          <m:jc m:val="center"/>
        </m:oMathParaPr>
        <m:oMath>
          <m:sSup>
            <m:e>
              <m:r>
                <m:rPr>
                  <m:sty m:val="p"/>
                </m:rPr>
                <m:t>∇</m:t>
              </m:r>
            </m:e>
            <m:sup>
              <m:r>
                <m:t>2</m:t>
              </m:r>
            </m:sup>
          </m:sSup>
          <m:r>
            <m:t>α</m:t>
          </m:r>
          <m:r>
            <m:rPr>
              <m:sty m:val="p"/>
            </m:rPr>
            <m:t>=</m:t>
          </m:r>
          <m:r>
            <m:rPr>
              <m:sty m:val="p"/>
            </m:rPr>
            <m:t>−</m:t>
          </m:r>
          <m:f>
            <m:fPr>
              <m:type m:val="bar"/>
            </m:fPr>
            <m:num>
              <m:r>
                <m:t>4</m:t>
              </m:r>
              <m:r>
                <m:t>π</m:t>
              </m:r>
              <m:r>
                <m:t>G</m:t>
              </m:r>
            </m:num>
            <m:den>
              <m:sSup>
                <m:e>
                  <m:r>
                    <m:t>c</m:t>
                  </m:r>
                </m:e>
                <m:sup>
                  <m:r>
                    <m:t>2</m:t>
                  </m:r>
                </m:sup>
              </m:sSup>
            </m:den>
          </m:f>
          <m:r>
            <m:t>ρ</m:t>
          </m:r>
        </m:oMath>
      </m:oMathPara>
    </w:p>
    <w:p>
      <w:pPr>
        <w:pStyle w:val="FirstParagraph"/>
      </w:pPr>
      <w:r>
        <w:t xml:space="preserve">and a screened illustrative equation for</w:t>
      </w:r>
      <w:r>
        <w:t xml:space="preserve"> </w:t>
      </w:r>
      <m:oMath>
        <m:r>
          <m:t>ν</m:t>
        </m:r>
      </m:oMath>
      <w:r>
        <w:t xml:space="preserve">. The purpose is not to declare the source sector solved. It verifies that the proposed equations are numerically well posed, reconstruct the metric factors, and expose the density mode directly as gravitational slip.</w:t>
      </w:r>
    </w:p>
    <w:p>
      <w:pPr>
        <w:pStyle w:val="CaptionedFigure"/>
      </w:pPr>
      <w:r>
        <w:drawing>
          <wp:inline>
            <wp:extent cx="5586984" cy="4162169"/>
            <wp:effectExtent b="0" l="0" r="0" t="0"/>
            <wp:docPr descr="Computed profiles from the rigorous script. Top left: the long-range size mode and a screened density mode. Top right: the density mode expressed as gravitational slip and compared with an indicative Cassini band. Bottom left: the exact Schwarzschild size profile and its Newtonian limit. Bottom right: departures of the reconstructed clock and packing factors from the baseline." title="" id="51" name="Picture"/>
            <a:graphic>
              <a:graphicData uri="http://schemas.openxmlformats.org/drawingml/2006/picture">
                <pic:pic>
                  <pic:nvPicPr>
                    <pic:cNvPr descr="bubble_field_rigorous_profiles.png" id="52" name="Picture"/>
                    <pic:cNvPicPr>
                      <a:picLocks noChangeArrowheads="1" noChangeAspect="1"/>
                    </pic:cNvPicPr>
                  </pic:nvPicPr>
                  <pic:blipFill>
                    <a:blip r:embed="rId50"/>
                    <a:stretch>
                      <a:fillRect/>
                    </a:stretch>
                  </pic:blipFill>
                  <pic:spPr bwMode="auto">
                    <a:xfrm>
                      <a:off x="0" y="0"/>
                      <a:ext cx="5586984" cy="4162169"/>
                    </a:xfrm>
                    <a:prstGeom prst="rect">
                      <a:avLst/>
                    </a:prstGeom>
                    <a:noFill/>
                    <a:ln w="9525">
                      <a:noFill/>
                      <a:headEnd/>
                      <a:tailEnd/>
                    </a:ln>
                  </pic:spPr>
                </pic:pic>
              </a:graphicData>
            </a:graphic>
          </wp:inline>
        </w:drawing>
      </w:r>
    </w:p>
    <w:p>
      <w:pPr>
        <w:pStyle w:val="ImageCaption"/>
      </w:pPr>
      <w:r>
        <w:t xml:space="preserve">Computed profiles from the rigorous script. Top left: the long-range size mode and a screened density mode. Top right: the density mode expressed as gravitational slip and compared with an indicative Cassini band. Bottom left: the exact Schwarzschild size profile and its Newtonian limit. Bottom right: departures of the reconstructed clock and packing factors from the baseline.</w:t>
      </w:r>
    </w:p>
    <w:p>
      <w:pPr>
        <w:pStyle w:val="BodyText"/>
      </w:pPr>
      <w:r>
        <w:t xml:space="preserve">The numerical certificate reports: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right"/>
            </w:pPr>
            <w:r>
              <w:t xml:space="preserve">Result</w:t>
            </w:r>
          </w:p>
        </w:tc>
      </w:tr>
      <w:tr>
        <w:tc>
          <w:tcPr/>
          <w:p>
            <w:pPr>
              <w:pStyle w:val="Compact"/>
              <w:jc w:val="left"/>
            </w:pPr>
            <w:r>
              <w:t xml:space="preserve">exact identity maximum error</w:t>
            </w:r>
          </w:p>
        </w:tc>
        <w:tc>
          <w:tcPr/>
          <w:p>
            <w:pPr>
              <w:pStyle w:val="Compact"/>
              <w:jc w:val="right"/>
            </w:pPr>
            <m:oMath>
              <m:r>
                <m:t>2.22</m:t>
              </m:r>
              <m:r>
                <m:rPr>
                  <m:sty m:val="p"/>
                </m:rPr>
                <m:t>×</m:t>
              </m:r>
              <m:sSup>
                <m:e>
                  <m:r>
                    <m:t>10</m:t>
                  </m:r>
                </m:e>
                <m:sup>
                  <m:r>
                    <m:rPr>
                      <m:sty m:val="p"/>
                    </m:rPr>
                    <m:t>−</m:t>
                  </m:r>
                  <m:r>
                    <m:t>16</m:t>
                  </m:r>
                </m:sup>
              </m:sSup>
            </m:oMath>
          </w:p>
        </w:tc>
      </w:tr>
      <w:tr>
        <w:tc>
          <w:tcPr/>
          <w:p>
            <w:pPr>
              <w:pStyle w:val="Compact"/>
              <w:jc w:val="left"/>
            </w:pPr>
            <w:r>
              <w:t xml:space="preserve">exact areal Schwarzschild mapping error</w:t>
            </w:r>
          </w:p>
        </w:tc>
        <w:tc>
          <w:tcPr/>
          <w:p>
            <w:pPr>
              <w:pStyle w:val="Compact"/>
              <w:jc w:val="right"/>
            </w:pPr>
            <m:oMath>
              <m:r>
                <m:t>1.11</m:t>
              </m:r>
              <m:r>
                <m:rPr>
                  <m:sty m:val="p"/>
                </m:rPr>
                <m:t>×</m:t>
              </m:r>
              <m:sSup>
                <m:e>
                  <m:r>
                    <m:t>10</m:t>
                  </m:r>
                </m:e>
                <m:sup>
                  <m:r>
                    <m:rPr>
                      <m:sty m:val="p"/>
                    </m:rPr>
                    <m:t>−</m:t>
                  </m:r>
                  <m:r>
                    <m:t>16</m:t>
                  </m:r>
                </m:sup>
              </m:sSup>
            </m:oMath>
          </w:p>
        </w:tc>
      </w:tr>
      <w:tr>
        <w:tc>
          <w:tcPr/>
          <w:p>
            <w:pPr>
              <w:pStyle w:val="Compact"/>
              <w:jc w:val="left"/>
            </w:pPr>
            <w:r>
              <w:t xml:space="preserve">exact isotropic mapping error</w:t>
            </w:r>
          </w:p>
        </w:tc>
        <w:tc>
          <w:tcPr/>
          <w:p>
            <w:pPr>
              <w:pStyle w:val="Compact"/>
              <w:jc w:val="right"/>
            </w:pPr>
            <m:oMath>
              <m:r>
                <m:t>2.22</m:t>
              </m:r>
              <m:r>
                <m:rPr>
                  <m:sty m:val="p"/>
                </m:rPr>
                <m:t>×</m:t>
              </m:r>
              <m:sSup>
                <m:e>
                  <m:r>
                    <m:t>10</m:t>
                  </m:r>
                </m:e>
                <m:sup>
                  <m:r>
                    <m:rPr>
                      <m:sty m:val="p"/>
                    </m:rPr>
                    <m:t>−</m:t>
                  </m:r>
                  <m:r>
                    <m:t>15</m:t>
                  </m:r>
                </m:sup>
              </m:sSup>
            </m:oMath>
          </w:p>
        </w:tc>
      </w:tr>
      <w:tr>
        <w:tc>
          <w:tcPr/>
          <w:p>
            <w:pPr>
              <w:pStyle w:val="Compact"/>
              <w:jc w:val="left"/>
            </w:pPr>
            <w:r>
              <w:t xml:space="preserve">toy Poisson relative</w:t>
            </w:r>
            <w:r>
              <w:t xml:space="preserve"> </w:t>
            </w:r>
            <m:oMath>
              <m:sSup>
                <m:e>
                  <m:r>
                    <m:t>L</m:t>
                  </m:r>
                </m:e>
                <m:sup>
                  <m:r>
                    <m:t>2</m:t>
                  </m:r>
                </m:sup>
              </m:sSup>
            </m:oMath>
            <w:r>
              <w:t xml:space="preserve"> </w:t>
            </w:r>
            <w:r>
              <w:t xml:space="preserve">residual</w:t>
            </w:r>
          </w:p>
        </w:tc>
        <w:tc>
          <w:tcPr/>
          <w:p>
            <w:pPr>
              <w:pStyle w:val="Compact"/>
              <w:jc w:val="right"/>
            </w:pPr>
            <m:oMath>
              <m:r>
                <m:t>1.25</m:t>
              </m:r>
              <m:r>
                <m:rPr>
                  <m:sty m:val="p"/>
                </m:rPr>
                <m:t>×</m:t>
              </m:r>
              <m:sSup>
                <m:e>
                  <m:r>
                    <m:t>10</m:t>
                  </m:r>
                </m:e>
                <m:sup>
                  <m:r>
                    <m:rPr>
                      <m:sty m:val="p"/>
                    </m:rPr>
                    <m:t>−</m:t>
                  </m:r>
                  <m:r>
                    <m:t>5</m:t>
                  </m:r>
                </m:sup>
              </m:sSup>
            </m:oMath>
          </w:p>
        </w:tc>
      </w:tr>
      <w:tr>
        <w:tc>
          <w:tcPr/>
          <w:p>
            <w:pPr>
              <w:pStyle w:val="Compact"/>
              <w:jc w:val="left"/>
            </w:pPr>
            <w:r>
              <w:t xml:space="preserve">toy maximum</w:t>
            </w:r>
            <w:r>
              <w:t xml:space="preserve"> </w:t>
            </w:r>
            <m:oMath>
              <m:d>
                <m:dPr>
                  <m:begChr m:val="|"/>
                  <m:endChr m:val="|"/>
                  <m:sepChr m:val=""/>
                  <m:grow/>
                </m:dPr>
                <m:e>
                  <m:r>
                    <m:t>γ</m:t>
                  </m:r>
                  <m:r>
                    <m:rPr>
                      <m:sty m:val="p"/>
                    </m:rPr>
                    <m:t>−</m:t>
                  </m:r>
                  <m:r>
                    <m:t>1</m:t>
                  </m:r>
                </m:e>
              </m:d>
            </m:oMath>
          </w:p>
        </w:tc>
        <w:tc>
          <w:tcPr/>
          <w:p>
            <w:pPr>
              <w:pStyle w:val="Compact"/>
              <w:jc w:val="right"/>
            </w:pPr>
            <m:oMath>
              <m:r>
                <m:t>3.22</m:t>
              </m:r>
              <m:r>
                <m:rPr>
                  <m:sty m:val="p"/>
                </m:rPr>
                <m:t>×</m:t>
              </m:r>
              <m:sSup>
                <m:e>
                  <m:r>
                    <m:t>10</m:t>
                  </m:r>
                </m:e>
                <m:sup>
                  <m:r>
                    <m:rPr>
                      <m:sty m:val="p"/>
                    </m:rPr>
                    <m:t>−</m:t>
                  </m:r>
                  <m:r>
                    <m:t>6</m:t>
                  </m:r>
                </m:sup>
              </m:sSup>
            </m:oMath>
          </w:p>
        </w:tc>
      </w:tr>
      <w:tr>
        <w:tc>
          <w:tcPr/>
          <w:p>
            <w:pPr>
              <w:pStyle w:val="Compact"/>
              <w:jc w:val="left"/>
            </w:pPr>
            <w:r>
              <w:t xml:space="preserve">inward-forward sign check</w:t>
            </w:r>
          </w:p>
        </w:tc>
        <w:tc>
          <w:tcPr/>
          <w:p>
            <w:pPr>
              <w:pStyle w:val="Compact"/>
              <w:jc w:val="right"/>
            </w:pPr>
            <w:r>
              <w:t xml:space="preserve">passed</w:t>
            </w:r>
          </w:p>
        </w:tc>
      </w:tr>
    </w:tbl>
    <w:p>
      <w:pPr>
        <w:pStyle w:val="BodyText"/>
      </w:pPr>
      <w:r>
        <w:t xml:space="preserve">The toy density coupling and screening length are illustrative. They demonstrate the workflow that future data fitting must use; they are not derived constants.</w:t>
      </w:r>
    </w:p>
    <w:bookmarkEnd w:id="53"/>
    <w:bookmarkStart w:id="57" w:name="X89fe585d0ab10e6f49d3371f3e2ab36e7d27421"/>
    <w:p>
      <w:pPr>
        <w:pStyle w:val="Heading1"/>
      </w:pPr>
      <w:r>
        <w:t xml:space="preserve">13. Reinterpreting the original numerical tests</w:t>
      </w:r>
    </w:p>
    <w:bookmarkStart w:id="54" w:name="light-bending"/>
    <w:p>
      <w:pPr>
        <w:pStyle w:val="Heading2"/>
      </w:pPr>
      <w:r>
        <w:t xml:space="preserve">13.1 Light bending</w:t>
      </w:r>
    </w:p>
    <w:p>
      <w:pPr>
        <w:pStyle w:val="FirstParagraph"/>
      </w:pPr>
      <w:r>
        <w:t xml:space="preserve">The original program compared:</w:t>
      </w:r>
    </w:p>
    <w:p>
      <w:pPr>
        <w:pStyle w:val="Compact"/>
        <w:numPr>
          <w:ilvl w:val="0"/>
          <w:numId w:val="1006"/>
        </w:numPr>
      </w:pPr>
      <w:r>
        <w:t xml:space="preserve">time dilation with no spatial packing;</w:t>
      </w:r>
    </w:p>
    <w:p>
      <w:pPr>
        <w:pStyle w:val="Compact"/>
        <w:numPr>
          <w:ilvl w:val="0"/>
          <w:numId w:val="1006"/>
        </w:numPr>
      </w:pPr>
      <w:r>
        <w:t xml:space="preserve">time dilation plus the Schwarzschild reciprocal radial factor.</w:t>
      </w:r>
    </w:p>
    <w:p>
      <w:pPr>
        <w:pStyle w:val="FirstParagraph"/>
      </w:pPr>
      <w:r>
        <w:t xml:space="preserve">The first returns approximately half the relativistic solar deflection, while the second returns the full value. That is consistent with the weak-field relation</w:t>
      </w:r>
    </w:p>
    <w:p>
      <w:pPr>
        <w:pStyle w:val="BodyText"/>
      </w:pPr>
      <m:oMathPara>
        <m:oMathParaPr>
          <m:jc m:val="center"/>
        </m:oMathParaPr>
        <m:oMath>
          <m:r>
            <m:t>δ</m:t>
          </m:r>
          <m:r>
            <m:t>θ</m:t>
          </m:r>
          <m:r>
            <m:rPr>
              <m:sty m:val="p"/>
            </m:rPr>
            <m:t>∝</m:t>
          </m:r>
          <m:d>
            <m:dPr>
              <m:begChr m:val="("/>
              <m:endChr m:val=")"/>
              <m:sepChr m:val=""/>
              <m:grow/>
            </m:dPr>
            <m:e>
              <m:r>
                <m:t>1</m:t>
              </m:r>
              <m:r>
                <m:rPr>
                  <m:sty m:val="p"/>
                </m:rPr>
                <m:t>+</m:t>
              </m:r>
              <m:r>
                <m:t>γ</m:t>
              </m:r>
            </m:e>
          </m:d>
          <m:f>
            <m:fPr>
              <m:type m:val="bar"/>
            </m:fPr>
            <m:num>
              <m:r>
                <m:t>G</m:t>
              </m:r>
              <m:r>
                <m:t>M</m:t>
              </m:r>
            </m:num>
            <m:den>
              <m:r>
                <m:t>b</m:t>
              </m:r>
              <m:sSup>
                <m:e>
                  <m:r>
                    <m:t>c</m:t>
                  </m:r>
                </m:e>
                <m:sup>
                  <m:r>
                    <m:t>2</m:t>
                  </m:r>
                </m:sup>
              </m:sSup>
            </m:den>
          </m:f>
          <m:r>
            <m:rPr>
              <m:sty m:val="p"/>
            </m:rPr>
            <m:t>.</m:t>
          </m:r>
        </m:oMath>
      </m:oMathPara>
    </w:p>
    <w:p>
      <w:pPr>
        <w:pStyle w:val="FirstParagraph"/>
      </w:pPr>
      <w:r>
        <w:t xml:space="preserve">The computation therefore demonstrates that the spatial potential is load-bearing. It does not by itself derive</w:t>
      </w:r>
      <w:r>
        <w:t xml:space="preserve"> </w:t>
      </w:r>
      <m:oMath>
        <m:r>
          <m:t>γ</m:t>
        </m:r>
        <m:r>
          <m:rPr>
            <m:sty m:val="p"/>
          </m:rPr>
          <m:t>=</m:t>
        </m:r>
        <m:r>
          <m:t>1</m:t>
        </m:r>
      </m:oMath>
      <w:r>
        <w:t xml:space="preserve"> </w:t>
      </w:r>
      <w:r>
        <w:t xml:space="preserve">from bubble microphysics. In the rigorous formulation that derivation target becomes</w:t>
      </w:r>
    </w:p>
    <w:p>
      <w:pPr>
        <w:pStyle w:val="BodyText"/>
      </w:pPr>
      <m:oMathPara>
        <m:oMathParaPr>
          <m:jc m:val="center"/>
        </m:oMathParaPr>
        <m:oMath>
          <m:r>
            <m:t>ν</m:t>
          </m:r>
          <m:r>
            <m:rPr>
              <m:sty m:val="p"/>
            </m:rPr>
            <m:t>=</m:t>
          </m:r>
          <m:r>
            <m:t>0</m:t>
          </m:r>
          <m:r>
            <m:t> </m:t>
          </m:r>
          <m:r>
            <m:rPr>
              <m:nor/>
              <m:sty m:val="p"/>
            </m:rPr>
            <m:t>or, more generally,</m:t>
          </m:r>
          <m:r>
            <m:t> </m:t>
          </m:r>
          <m:f>
            <m:fPr>
              <m:type m:val="bar"/>
            </m:fPr>
            <m:num>
              <m:r>
                <m:t>ν</m:t>
              </m:r>
            </m:num>
            <m:den>
              <m:r>
                <m:t>α</m:t>
              </m:r>
            </m:den>
          </m:f>
          <m:r>
            <m:rPr>
              <m:sty m:val="p"/>
            </m:rPr>
            <m:t>→</m:t>
          </m:r>
          <m:r>
            <m:t>0</m:t>
          </m:r>
        </m:oMath>
      </m:oMathPara>
    </w:p>
    <w:p>
      <w:pPr>
        <w:pStyle w:val="FirstParagraph"/>
      </w:pPr>
      <w:r>
        <w:t xml:space="preserve">in the unscreened Solar System exterior.</w:t>
      </w:r>
    </w:p>
    <w:bookmarkEnd w:id="54"/>
    <w:bookmarkStart w:id="55" w:name="mercury-precession"/>
    <w:p>
      <w:pPr>
        <w:pStyle w:val="Heading2"/>
      </w:pPr>
      <w:r>
        <w:t xml:space="preserve">13.2 Mercury precession</w:t>
      </w:r>
    </w:p>
    <w:p>
      <w:pPr>
        <w:pStyle w:val="FirstParagraph"/>
      </w:pPr>
      <w:r>
        <w:t xml:space="preserve">The full Schwarzschild mapping reproduces the relativistic precession because its geodesic equation is Schwarzschild’s. The bubble programme must now derive the required nonlinear radial profile or the equivalent post-Newtonian coefficients from its field action.</w:t>
      </w:r>
    </w:p>
    <w:bookmarkEnd w:id="55"/>
    <w:bookmarkStart w:id="56" w:name="the-two-body-force"/>
    <w:p>
      <w:pPr>
        <w:pStyle w:val="Heading2"/>
      </w:pPr>
      <w:r>
        <w:t xml:space="preserve">13.3 The two-body force</w:t>
      </w:r>
    </w:p>
    <w:p>
      <w:pPr>
        <w:pStyle w:val="FirstParagraph"/>
      </w:pPr>
      <w:r>
        <w:t xml:space="preserve">The earlier calculation began from the Newtonian potential</w:t>
      </w:r>
    </w:p>
    <w:p>
      <w:pPr>
        <w:pStyle w:val="BodyText"/>
      </w:pPr>
      <m:oMathPara>
        <m:oMathParaPr>
          <m:jc m:val="center"/>
        </m:oMathParaPr>
        <m:oMath>
          <m:sSub>
            <m:e>
              <m:r>
                <m:t>Φ</m:t>
              </m:r>
            </m:e>
            <m:sub>
              <m:r>
                <m:rPr>
                  <m:sty m:val="p"/>
                </m:rPr>
                <m:t>t</m:t>
              </m:r>
              <m:r>
                <m:rPr>
                  <m:sty m:val="p"/>
                </m:rPr>
                <m:t>o</m:t>
              </m:r>
              <m:r>
                <m:rPr>
                  <m:sty m:val="p"/>
                </m:rPr>
                <m:t>t</m:t>
              </m:r>
              <m:r>
                <m:rPr>
                  <m:sty m:val="p"/>
                </m:rPr>
                <m:t>a</m:t>
              </m:r>
              <m:r>
                <m:rPr>
                  <m:sty m:val="p"/>
                </m:rPr>
                <m:t>l</m:t>
              </m:r>
            </m:sub>
          </m:sSub>
          <m:r>
            <m:rPr>
              <m:sty m:val="p"/>
            </m:rPr>
            <m:t>=</m:t>
          </m:r>
          <m:r>
            <m:rPr>
              <m:sty m:val="p"/>
            </m:rPr>
            <m:t>−</m:t>
          </m:r>
          <m:nary>
            <m:naryPr>
              <m:chr m:val="∑"/>
              <m:limLoc m:val="undOvr"/>
              <m:subHide m:val="off"/>
              <m:supHide m:val="on"/>
            </m:naryPr>
            <m:sub>
              <m:r>
                <m:t>i</m:t>
              </m:r>
            </m:sub>
            <m:sup>
              <m:r>
                <m:t>​</m:t>
              </m:r>
            </m:sup>
            <m:e>
              <m:f>
                <m:fPr>
                  <m:type m:val="bar"/>
                </m:fPr>
                <m:num>
                  <m:r>
                    <m:t>G</m:t>
                  </m:r>
                  <m:sSub>
                    <m:e>
                      <m:r>
                        <m:t>M</m:t>
                      </m:r>
                    </m:e>
                    <m:sub>
                      <m:r>
                        <m:t>i</m:t>
                      </m:r>
                    </m:sub>
                  </m:sSub>
                </m:num>
                <m:den>
                  <m:d>
                    <m:dPr>
                      <m:begChr m:val="|"/>
                      <m:endChr m:val="|"/>
                      <m:sepChr m:val=""/>
                      <m:grow/>
                    </m:dPr>
                    <m:e>
                      <m:r>
                        <m:rPr>
                          <m:sty m:val="b"/>
                        </m:rPr>
                        <m:t>x</m:t>
                      </m:r>
                      <m:r>
                        <m:rPr>
                          <m:sty m:val="p"/>
                        </m:rPr>
                        <m:t>−</m:t>
                      </m:r>
                      <m:sSub>
                        <m:e>
                          <m:r>
                            <m:rPr>
                              <m:sty m:val="b"/>
                            </m:rPr>
                            <m:t>x</m:t>
                          </m:r>
                        </m:e>
                        <m:sub>
                          <m:r>
                            <m:t>i</m:t>
                          </m:r>
                        </m:sub>
                      </m:sSub>
                    </m:e>
                  </m:d>
                </m:den>
              </m:f>
            </m:e>
          </m:nary>
        </m:oMath>
      </m:oMathPara>
    </w:p>
    <w:p>
      <w:pPr>
        <w:pStyle w:val="FirstParagraph"/>
      </w:pPr>
      <w:r>
        <w:t xml:space="preserve">and then rewrote its gradient through the overcrowding variable. It is therefore a successful reparameterisation of Newtonian attraction, not an independent derivation of it.</w:t>
      </w:r>
    </w:p>
    <w:p>
      <w:pPr>
        <w:pStyle w:val="BodyText"/>
      </w:pPr>
      <w:r>
        <w:t xml:space="preserve">The next valid calculation begins instead with</w:t>
      </w:r>
      <w:r>
        <w:t xml:space="preserve"> </w:t>
      </w:r>
      <m:oMath>
        <m:r>
          <m:t>ρ</m:t>
        </m:r>
        <m:d>
          <m:dPr>
            <m:begChr m:val="("/>
            <m:endChr m:val=")"/>
            <m:sepChr m:val=""/>
            <m:grow/>
          </m:dPr>
          <m:e>
            <m:r>
              <m:rPr>
                <m:sty m:val="b"/>
              </m:rPr>
              <m:t>x</m:t>
            </m:r>
          </m:e>
        </m:d>
      </m:oMath>
      <w:r>
        <w:t xml:space="preserve">, solves the coupled</w:t>
      </w:r>
      <w:r>
        <w:t xml:space="preserve"> </w:t>
      </w:r>
      <m:oMath>
        <m:d>
          <m:dPr>
            <m:begChr m:val="("/>
            <m:endChr m:val=")"/>
            <m:sepChr m:val=""/>
            <m:grow/>
          </m:dPr>
          <m:e>
            <m:r>
              <m:t>α</m:t>
            </m:r>
            <m:r>
              <m:rPr>
                <m:sty m:val="p"/>
              </m:rPr>
              <m:t>,</m:t>
            </m:r>
            <m:r>
              <m:t>ν</m:t>
            </m:r>
          </m:e>
        </m:d>
      </m:oMath>
      <w:r>
        <w:t xml:space="preserve"> </w:t>
      </w:r>
      <w:r>
        <w:t xml:space="preserve">equations, reconstructs</w:t>
      </w:r>
      <w:r>
        <w:t xml:space="preserve"> </w:t>
      </w:r>
      <m:oMath>
        <m:r>
          <m:t>Φ</m:t>
        </m:r>
      </m:oMath>
      <w:r>
        <w:t xml:space="preserve">, and only then compares the predicted acceleration with Newtonian and relativistic observations.</w:t>
      </w:r>
    </w:p>
    <w:bookmarkEnd w:id="56"/>
    <w:bookmarkEnd w:id="57"/>
    <w:bookmarkStart w:id="58" w:name="X7eb9aca7134ef47255710aa47efe126b6129d8f"/>
    <w:p>
      <w:pPr>
        <w:pStyle w:val="Heading1"/>
      </w:pPr>
      <w:r>
        <w:t xml:space="preserve">14. Information recovered by the visual field systems</w:t>
      </w:r>
    </w:p>
    <w:p>
      <w:pPr>
        <w:pStyle w:val="FirstParagraph"/>
      </w:pPr>
      <w:r>
        <w:t xml:space="preserve">The Solar System and exoplanet sites remain valuable because they implement a common relational frame</w:t>
      </w:r>
    </w:p>
    <w:p>
      <w:pPr>
        <w:pStyle w:val="BodyText"/>
      </w:pPr>
      <m:oMathPara>
        <m:oMathParaPr>
          <m:jc m:val="center"/>
        </m:oMathParaPr>
        <m:oMath>
          <m:d>
            <m:dPr>
              <m:begChr m:val="("/>
              <m:endChr m:val=")"/>
              <m:sepChr m:val=""/>
              <m:grow/>
            </m:dPr>
            <m:e>
              <m:r>
                <m:rPr>
                  <m:sty m:val="b"/>
                </m:rPr>
                <m:t>r</m:t>
              </m:r>
              <m:r>
                <m:rPr>
                  <m:sty m:val="p"/>
                </m:rPr>
                <m:t>,</m:t>
              </m:r>
              <m:r>
                <m:rPr>
                  <m:sty m:val="b"/>
                </m:rPr>
                <m:t>v</m:t>
              </m:r>
              <m:r>
                <m:rPr>
                  <m:sty m:val="p"/>
                </m:rPr>
                <m:t>,</m:t>
              </m:r>
              <m:r>
                <m:rPr>
                  <m:sty m:val="b"/>
                </m:rPr>
                <m:t>g</m:t>
              </m:r>
            </m:e>
          </m:d>
          <m:r>
            <m:rPr>
              <m:sty m:val="p"/>
            </m:rPr>
            <m:t>.</m:t>
          </m:r>
        </m:oMath>
      </m:oMathPara>
    </w:p>
    <w:p>
      <w:pPr>
        <w:pStyle w:val="FirstParagraph"/>
      </w:pPr>
      <w:r>
        <w:t xml:space="preserve">From it one obtains:</w:t>
      </w:r>
    </w:p>
    <w:p>
      <w:pPr>
        <w:pStyle w:val="BodyText"/>
      </w:pPr>
      <m:oMathPara>
        <m:oMathParaPr>
          <m:jc m:val="center"/>
        </m:oMathParaPr>
        <m:oMath>
          <m:sSub>
            <m:e>
              <m:r>
                <m:t>v</m:t>
              </m:r>
            </m:e>
            <m:sub>
              <m:r>
                <m:t>r</m:t>
              </m:r>
            </m:sub>
          </m:sSub>
          <m:r>
            <m:rPr>
              <m:sty m:val="p"/>
            </m:rPr>
            <m:t>=</m:t>
          </m:r>
          <m:r>
            <m:rPr>
              <m:sty m:val="b"/>
            </m:rPr>
            <m:t>v</m:t>
          </m:r>
          <m:r>
            <m:rPr>
              <m:sty m:val="p"/>
            </m:rPr>
            <m:t>⋅</m:t>
          </m:r>
          <m:acc>
            <m:accPr>
              <m:chr m:val="̂"/>
            </m:accPr>
            <m:e>
              <m:r>
                <m:rPr>
                  <m:sty m:val="b"/>
                </m:rPr>
                <m:t>r</m:t>
              </m:r>
            </m:e>
          </m:acc>
          <m:r>
            <m:rPr>
              <m:sty m:val="p"/>
            </m:rPr>
            <m:t>,</m:t>
          </m:r>
          <m:r>
            <m:t>  </m:t>
          </m:r>
          <m:r>
            <m:rPr>
              <m:sty m:val="b"/>
            </m:rPr>
            <m:t>h</m:t>
          </m:r>
          <m:r>
            <m:rPr>
              <m:sty m:val="p"/>
            </m:rPr>
            <m:t>=</m:t>
          </m:r>
          <m:r>
            <m:rPr>
              <m:sty m:val="b"/>
            </m:rPr>
            <m:t>r</m:t>
          </m:r>
          <m:r>
            <m:rPr>
              <m:sty m:val="p"/>
            </m:rPr>
            <m:t>×</m:t>
          </m:r>
          <m:r>
            <m:rPr>
              <m:sty m:val="b"/>
            </m:rPr>
            <m:t>v</m:t>
          </m:r>
          <m:r>
            <m:rPr>
              <m:sty m:val="p"/>
            </m:rPr>
            <m:t>,</m:t>
          </m:r>
          <m:r>
            <m:t>  </m:t>
          </m:r>
          <m:r>
            <m:rPr>
              <m:sty m:val="b"/>
            </m:rPr>
            <m:t>τ</m:t>
          </m:r>
          <m:r>
            <m:rPr>
              <m:sty m:val="p"/>
            </m:rPr>
            <m:t>=</m:t>
          </m:r>
          <m:r>
            <m:rPr>
              <m:sty m:val="b"/>
            </m:rPr>
            <m:t>r</m:t>
          </m:r>
          <m:r>
            <m:rPr>
              <m:sty m:val="p"/>
            </m:rPr>
            <m:t>×</m:t>
          </m:r>
          <m:r>
            <m:rPr>
              <m:sty m:val="b"/>
            </m:rPr>
            <m:t>g</m:t>
          </m:r>
          <m:r>
            <m:rPr>
              <m:sty m:val="p"/>
            </m:rPr>
            <m:t>,</m:t>
          </m:r>
        </m:oMath>
      </m:oMathPara>
    </w:p>
    <w:p>
      <w:pPr>
        <w:pStyle w:val="FirstParagraph"/>
      </w:pPr>
      <m:oMathPara>
        <m:oMathParaPr>
          <m:jc m:val="center"/>
        </m:oMathParaPr>
        <m:oMath>
          <m:sSub>
            <m:e>
              <m:r>
                <m:t>κ</m:t>
              </m:r>
            </m:e>
            <m:sub>
              <m:r>
                <m:rPr>
                  <m:sty m:val="p"/>
                </m:rPr>
                <m:t>o</m:t>
              </m:r>
              <m:r>
                <m:rPr>
                  <m:sty m:val="p"/>
                </m:rPr>
                <m:t>r</m:t>
              </m:r>
              <m:r>
                <m:rPr>
                  <m:sty m:val="p"/>
                </m:rPr>
                <m:t>b</m:t>
              </m:r>
              <m:r>
                <m:rPr>
                  <m:sty m:val="p"/>
                </m:rPr>
                <m:t>i</m:t>
              </m:r>
              <m:r>
                <m:rPr>
                  <m:sty m:val="p"/>
                </m:rPr>
                <m:t>t</m:t>
              </m:r>
            </m:sub>
          </m:sSub>
          <m:r>
            <m:rPr>
              <m:sty m:val="p"/>
            </m:rPr>
            <m:t>=</m:t>
          </m:r>
          <m:f>
            <m:fPr>
              <m:type m:val="bar"/>
            </m:fPr>
            <m:num>
              <m:d>
                <m:dPr>
                  <m:begChr m:val="|"/>
                  <m:endChr m:val="|"/>
                  <m:sepChr m:val=""/>
                  <m:grow/>
                </m:dPr>
                <m:e>
                  <m:r>
                    <m:rPr>
                      <m:sty m:val="b"/>
                    </m:rPr>
                    <m:t>v</m:t>
                  </m:r>
                  <m:r>
                    <m:rPr>
                      <m:sty m:val="p"/>
                    </m:rPr>
                    <m:t>×</m:t>
                  </m:r>
                  <m:r>
                    <m:rPr>
                      <m:sty m:val="b"/>
                    </m:rPr>
                    <m:t>g</m:t>
                  </m:r>
                </m:e>
              </m:d>
            </m:num>
            <m:den>
              <m:sSup>
                <m:e>
                  <m:d>
                    <m:dPr>
                      <m:begChr m:val="|"/>
                      <m:endChr m:val="|"/>
                      <m:sepChr m:val=""/>
                      <m:grow/>
                    </m:dPr>
                    <m:e>
                      <m:r>
                        <m:rPr>
                          <m:sty m:val="b"/>
                        </m:rPr>
                        <m:t>v</m:t>
                      </m:r>
                    </m:e>
                  </m:d>
                </m:e>
                <m:sup>
                  <m:r>
                    <m:t>3</m:t>
                  </m:r>
                </m:sup>
              </m:sSup>
            </m:den>
          </m:f>
          <m:r>
            <m:rPr>
              <m:sty m:val="p"/>
            </m:rPr>
            <m:t>,</m:t>
          </m:r>
          <m:r>
            <m:t>  </m:t>
          </m:r>
          <m:f>
            <m:fPr>
              <m:type m:val="bar"/>
            </m:fPr>
            <m:num>
              <m:r>
                <m:t>d</m:t>
              </m:r>
              <m:r>
                <m:t>A</m:t>
              </m:r>
            </m:num>
            <m:den>
              <m:r>
                <m:t>d</m:t>
              </m:r>
              <m:r>
                <m:t>t</m:t>
              </m:r>
            </m:den>
          </m:f>
          <m:r>
            <m:rPr>
              <m:sty m:val="p"/>
            </m:rPr>
            <m:t>=</m:t>
          </m:r>
          <m:f>
            <m:fPr>
              <m:type m:val="bar"/>
            </m:fPr>
            <m:num>
              <m:r>
                <m:t>1</m:t>
              </m:r>
            </m:num>
            <m:den>
              <m:r>
                <m:t>2</m:t>
              </m:r>
            </m:den>
          </m:f>
          <m:d>
            <m:dPr>
              <m:begChr m:val="|"/>
              <m:endChr m:val="|"/>
              <m:sepChr m:val=""/>
              <m:grow/>
            </m:dPr>
            <m:e>
              <m:r>
                <m:rPr>
                  <m:sty m:val="b"/>
                </m:rPr>
                <m:t>h</m:t>
              </m:r>
            </m:e>
          </m:d>
          <m:r>
            <m:rPr>
              <m:sty m:val="p"/>
            </m:rPr>
            <m:t>.</m:t>
          </m:r>
        </m:oMath>
      </m:oMathPara>
    </w:p>
    <w:p>
      <w:pPr>
        <w:pStyle w:val="FirstParagraph"/>
      </w:pPr>
      <w:r>
        <w:t xml:space="preserve">The field map compresses position, retained momentum and selected acceleration into one local grammar. Across space it also provides divergence, curl, tidal eigenvectors, critical points, separatrices, shared boundaries and closure nesting.</w:t>
      </w:r>
    </w:p>
    <w:p>
      <w:pPr>
        <w:pStyle w:val="BodyText"/>
      </w:pPr>
      <w:r>
        <w:t xml:space="preserve">The exoplanet ensemble recovers the source parameter</w:t>
      </w:r>
    </w:p>
    <w:p>
      <w:pPr>
        <w:pStyle w:val="BodyText"/>
      </w:pPr>
      <m:oMathPara>
        <m:oMathParaPr>
          <m:jc m:val="center"/>
        </m:oMathParaPr>
        <m:oMath>
          <m:r>
            <m:t>μ</m:t>
          </m:r>
          <m:r>
            <m:rPr>
              <m:sty m:val="p"/>
            </m:rPr>
            <m:t>=</m:t>
          </m:r>
          <m:r>
            <m:t>G</m:t>
          </m:r>
          <m:r>
            <m:t>M</m:t>
          </m:r>
        </m:oMath>
      </m:oMathPara>
    </w:p>
    <w:p>
      <w:pPr>
        <w:pStyle w:val="FirstParagraph"/>
      </w:pPr>
      <w:r>
        <w:t xml:space="preserve">and tests the scaling</w:t>
      </w:r>
    </w:p>
    <w:p>
      <w:pPr>
        <w:pStyle w:val="BodyText"/>
      </w:pPr>
      <m:oMathPara>
        <m:oMathParaPr>
          <m:jc m:val="center"/>
        </m:oMathParaPr>
        <m:oMath>
          <m:d>
            <m:dPr>
              <m:begChr m:val="|"/>
              <m:endChr m:val="|"/>
              <m:sepChr m:val=""/>
              <m:grow/>
            </m:dPr>
            <m:e>
              <m:r>
                <m:rPr>
                  <m:sty m:val="b"/>
                </m:rPr>
                <m:t>g</m:t>
              </m:r>
            </m:e>
          </m:d>
          <m:r>
            <m:rPr>
              <m:sty m:val="p"/>
            </m:rPr>
            <m:t>∝</m:t>
          </m:r>
          <m:sSup>
            <m:e>
              <m:r>
                <m:t>M</m:t>
              </m:r>
            </m:e>
            <m:sup>
              <m:r>
                <m:t>η</m:t>
              </m:r>
            </m:sup>
          </m:sSup>
          <m:sSup>
            <m:e>
              <m:r>
                <m:t>r</m:t>
              </m:r>
            </m:e>
            <m:sup>
              <m:r>
                <m:t>p</m:t>
              </m:r>
            </m:sup>
          </m:sSup>
          <m:r>
            <m:rPr>
              <m:sty m:val="p"/>
            </m:rPr>
            <m:t>.</m:t>
          </m:r>
        </m:oMath>
      </m:oMathPara>
    </w:p>
    <w:p>
      <w:pPr>
        <w:pStyle w:val="FirstParagraph"/>
      </w:pPr>
      <w:r>
        <w:t xml:space="preserve">It cannot separate</w:t>
      </w:r>
      <w:r>
        <w:t xml:space="preserve"> </w:t>
      </w:r>
      <m:oMath>
        <m:r>
          <m:t>G</m:t>
        </m:r>
      </m:oMath>
      <w:r>
        <w:t xml:space="preserve"> </w:t>
      </w:r>
      <w:r>
        <w:t xml:space="preserve">from the absolute source mass without a non-gravitational mass calibration or a microphysical prediction of the coupling. The Bubble Field’s task is therefore not to relabel</w:t>
      </w:r>
      <w:r>
        <w:t xml:space="preserve"> </w:t>
      </w:r>
      <m:oMath>
        <m:r>
          <m:t>G</m:t>
        </m:r>
        <m:r>
          <m:t>M</m:t>
        </m:r>
      </m:oMath>
      <w:r>
        <w:t xml:space="preserve">, but to derive the source current and stiffness that fix the coefficient in the</w:t>
      </w:r>
      <w:r>
        <w:t xml:space="preserve"> </w:t>
      </w:r>
      <m:oMath>
        <m:r>
          <m:t>α</m:t>
        </m:r>
      </m:oMath>
      <w:r>
        <w:t xml:space="preserve"> </w:t>
      </w:r>
      <w:r>
        <w:t xml:space="preserve">equation.</w:t>
      </w:r>
    </w:p>
    <w:bookmarkEnd w:id="58"/>
    <w:bookmarkStart w:id="63" w:name="experimental-programme"/>
    <w:p>
      <w:pPr>
        <w:pStyle w:val="Heading1"/>
      </w:pPr>
      <w:r>
        <w:t xml:space="preserve">15. Experimental programme</w:t>
      </w:r>
    </w:p>
    <w:bookmarkStart w:id="59" w:name="short-distance-structure"/>
    <w:p>
      <w:pPr>
        <w:pStyle w:val="Heading2"/>
      </w:pPr>
      <w:r>
        <w:t xml:space="preserve">15.1 Short-distance structure</w:t>
      </w:r>
    </w:p>
    <w:p>
      <w:pPr>
        <w:pStyle w:val="FirstParagraph"/>
      </w:pPr>
      <w:r>
        <w:t xml:space="preserve">The baseline cell construction gives</w:t>
      </w:r>
    </w:p>
    <w:p>
      <w:pPr>
        <w:pStyle w:val="BodyText"/>
      </w:pPr>
      <m:oMathPara>
        <m:oMathParaPr>
          <m:jc m:val="center"/>
        </m:oMathParaPr>
        <m:oMath>
          <m:sSub>
            <m:e>
              <m:r>
                <m:t>a</m:t>
              </m:r>
            </m:e>
            <m:sub>
              <m:r>
                <m:t>0</m:t>
              </m:r>
            </m:sub>
          </m:sSub>
          <m:r>
            <m:rPr>
              <m:sty m:val="p"/>
            </m:rPr>
            <m:t>≃</m:t>
          </m:r>
          <m:r>
            <m:t>87.8</m:t>
          </m:r>
          <m:r>
            <m:t> </m:t>
          </m:r>
          <m:r>
            <m:t>μ</m:t>
          </m:r>
          <m:r>
            <m:rPr>
              <m:sty m:val="p"/>
            </m:rPr>
            <m:t>m</m:t>
          </m:r>
          <m:r>
            <m:rPr>
              <m:sty m:val="p"/>
            </m:rPr>
            <m:t>.</m:t>
          </m:r>
        </m:oMath>
      </m:oMathPara>
    </w:p>
    <w:p>
      <w:pPr>
        <w:pStyle w:val="FirstParagraph"/>
      </w:pPr>
      <w:r>
        <w:t xml:space="preserve">A real discrete cell scale must not merely be announced. It must generate a transfer function or correlation signature, for example</w:t>
      </w:r>
    </w:p>
    <w:p>
      <w:pPr>
        <w:pStyle w:val="BodyText"/>
      </w:pPr>
      <m:oMathPara>
        <m:oMathParaPr>
          <m:jc m:val="center"/>
        </m:oMathParaPr>
        <m:oMath>
          <m:r>
            <m:t>Φ</m:t>
          </m:r>
          <m:d>
            <m:dPr>
              <m:begChr m:val="("/>
              <m:endChr m:val=")"/>
              <m:sepChr m:val=""/>
              <m:grow/>
            </m:dPr>
            <m:e>
              <m:r>
                <m:t>k</m:t>
              </m:r>
            </m:e>
          </m:d>
          <m:r>
            <m:rPr>
              <m:sty m:val="p"/>
            </m:rPr>
            <m:t>=</m:t>
          </m:r>
          <m:r>
            <m:rPr>
              <m:sty m:val="p"/>
            </m:rPr>
            <m:t>−</m:t>
          </m:r>
          <m:f>
            <m:fPr>
              <m:type m:val="bar"/>
            </m:fPr>
            <m:num>
              <m:r>
                <m:t>4</m:t>
              </m:r>
              <m:r>
                <m:t>π</m:t>
              </m:r>
              <m:r>
                <m:t>G</m:t>
              </m:r>
            </m:num>
            <m:den>
              <m:sSup>
                <m:e>
                  <m:r>
                    <m:t>k</m:t>
                  </m:r>
                </m:e>
                <m:sup>
                  <m:r>
                    <m:t>2</m:t>
                  </m:r>
                </m:sup>
              </m:sSup>
            </m:den>
          </m:f>
          <m:r>
            <m:t> </m:t>
          </m:r>
          <m:r>
            <m:rPr>
              <m:sty m:val="p"/>
              <m:scr m:val="script"/>
            </m:rPr>
            <m:t>F</m:t>
          </m:r>
          <m:d>
            <m:dPr>
              <m:begChr m:val="("/>
              <m:endChr m:val=")"/>
              <m:sepChr m:val=""/>
              <m:grow/>
            </m:dPr>
            <m:e>
              <m:r>
                <m:t>k</m:t>
              </m:r>
              <m:sSub>
                <m:e>
                  <m:r>
                    <m:t>a</m:t>
                  </m:r>
                </m:e>
                <m:sub>
                  <m:r>
                    <m:t>0</m:t>
                  </m:r>
                </m:sub>
              </m:sSub>
            </m:e>
          </m:d>
          <m:r>
            <m:t>ρ</m:t>
          </m:r>
          <m:d>
            <m:dPr>
              <m:begChr m:val="("/>
              <m:endChr m:val=")"/>
              <m:sepChr m:val=""/>
              <m:grow/>
            </m:dPr>
            <m:e>
              <m:r>
                <m:t>k</m:t>
              </m:r>
            </m:e>
          </m:d>
          <m:r>
            <m:rPr>
              <m:sty m:val="p"/>
            </m:rPr>
            <m:t>,</m:t>
          </m:r>
          <m:r>
            <m:t>  </m:t>
          </m:r>
          <m:r>
            <m:rPr>
              <m:sty m:val="p"/>
              <m:scr m:val="script"/>
            </m:rPr>
            <m:t>F</m:t>
          </m:r>
          <m:d>
            <m:dPr>
              <m:begChr m:val="("/>
              <m:endChr m:val=")"/>
              <m:sepChr m:val=""/>
              <m:grow/>
            </m:dPr>
            <m:e>
              <m:r>
                <m:t>0</m:t>
              </m:r>
            </m:e>
          </m:d>
          <m:r>
            <m:rPr>
              <m:sty m:val="p"/>
            </m:rPr>
            <m:t>=</m:t>
          </m:r>
          <m:r>
            <m:t>1</m:t>
          </m:r>
          <m:r>
            <m:rPr>
              <m:sty m:val="p"/>
            </m:rPr>
            <m:t>.</m:t>
          </m:r>
        </m:oMath>
      </m:oMathPara>
    </w:p>
    <w:p>
      <w:pPr>
        <w:pStyle w:val="FirstParagraph"/>
      </w:pPr>
      <w:r>
        <w:t xml:space="preserve">Different microstructures produce different</w:t>
      </w:r>
      <w:r>
        <w:t xml:space="preserve"> </w:t>
      </w:r>
      <m:oMath>
        <m:r>
          <m:rPr>
            <m:sty m:val="p"/>
            <m:scr m:val="script"/>
          </m:rPr>
          <m:t>F</m:t>
        </m:r>
      </m:oMath>
      <w:r>
        <w:t xml:space="preserve">: suppression, oscillation, anisotropic noise, stochastic granularity, or a modified dispersion relation. The model must derive one.</w:t>
      </w:r>
    </w:p>
    <w:p>
      <w:pPr>
        <w:pStyle w:val="BodyText"/>
      </w:pPr>
      <w:r>
        <w:t xml:space="preserve">Torsion-balance experiments have tested the inverse-square law down to separations of approximately</w:t>
      </w:r>
      <w:r>
        <w:t xml:space="preserve"> </w:t>
      </w:r>
      <m:oMath>
        <m:r>
          <m:t>52</m:t>
        </m:r>
        <m:r>
          <m:t> </m:t>
        </m:r>
        <m:r>
          <m:t>μ</m:t>
        </m:r>
        <m:r>
          <m:rPr>
            <m:sty m:val="p"/>
          </m:rPr>
          <m:t>m</m:t>
        </m:r>
      </m:oMath>
      <w:r>
        <w:t xml:space="preserve"> </w:t>
      </w:r>
      <w:r>
        <w:t xml:space="preserve">without reporting a standard Yukawa deviation. That does not automatically exclude every possible granularity signal at</w:t>
      </w:r>
      <w:r>
        <w:t xml:space="preserve"> </w:t>
      </w:r>
      <m:oMath>
        <m:r>
          <m:t>87.8</m:t>
        </m:r>
        <m:r>
          <m:t> </m:t>
        </m:r>
        <m:r>
          <m:t>μ</m:t>
        </m:r>
        <m:r>
          <m:rPr>
            <m:sty m:val="p"/>
          </m:rPr>
          <m:t>m</m:t>
        </m:r>
      </m:oMath>
      <w:r>
        <w:t xml:space="preserve">, but it makes the scale immediately exposed and forces a quantitative comparison with the published apparatus response.</w:t>
      </w:r>
    </w:p>
    <w:bookmarkEnd w:id="59"/>
    <w:bookmarkStart w:id="60" w:name="gravitational-slip"/>
    <w:p>
      <w:pPr>
        <w:pStyle w:val="Heading2"/>
      </w:pPr>
      <w:r>
        <w:t xml:space="preserve">15.2 Gravitational slip</w:t>
      </w:r>
    </w:p>
    <w:p>
      <w:pPr>
        <w:pStyle w:val="FirstParagraph"/>
      </w:pPr>
      <w:r>
        <w:t xml:space="preserve">The direct scalar diagnostic is</w:t>
      </w:r>
    </w:p>
    <w:p>
      <w:pPr>
        <w:pStyle w:val="BodyText"/>
      </w:pPr>
      <m:oMathPara>
        <m:oMathParaPr>
          <m:jc m:val="center"/>
        </m:oMathParaPr>
        <m:oMath>
          <m:r>
            <m:t>γ</m:t>
          </m:r>
          <m:r>
            <m:rPr>
              <m:sty m:val="p"/>
            </m:rPr>
            <m:t>−</m:t>
          </m:r>
          <m:r>
            <m:t>1</m:t>
          </m:r>
          <m:r>
            <m:rPr>
              <m:sty m:val="p"/>
            </m:rPr>
            <m:t>=</m:t>
          </m:r>
          <m:f>
            <m:fPr>
              <m:type m:val="bar"/>
            </m:fPr>
            <m:num>
              <m:r>
                <m:t>ν</m:t>
              </m:r>
            </m:num>
            <m:den>
              <m:r>
                <m:t>3</m:t>
              </m:r>
              <m:r>
                <m:t>α</m:t>
              </m:r>
            </m:den>
          </m:f>
          <m:r>
            <m:rPr>
              <m:sty m:val="p"/>
            </m:rPr>
            <m:t>.</m:t>
          </m:r>
        </m:oMath>
      </m:oMathPara>
    </w:p>
    <w:p>
      <w:pPr>
        <w:pStyle w:val="FirstParagraph"/>
      </w:pPr>
      <w:r>
        <w:t xml:space="preserve">This should be confronted with:</w:t>
      </w:r>
    </w:p>
    <w:p>
      <w:pPr>
        <w:pStyle w:val="Compact"/>
        <w:numPr>
          <w:ilvl w:val="0"/>
          <w:numId w:val="1007"/>
        </w:numPr>
      </w:pPr>
      <w:r>
        <w:t xml:space="preserve">Cassini time delay;</w:t>
      </w:r>
    </w:p>
    <w:p>
      <w:pPr>
        <w:pStyle w:val="Compact"/>
        <w:numPr>
          <w:ilvl w:val="0"/>
          <w:numId w:val="1007"/>
        </w:numPr>
      </w:pPr>
      <w:r>
        <w:t xml:space="preserve">solar light deflection;</w:t>
      </w:r>
    </w:p>
    <w:p>
      <w:pPr>
        <w:pStyle w:val="Compact"/>
        <w:numPr>
          <w:ilvl w:val="0"/>
          <w:numId w:val="1007"/>
        </w:numPr>
      </w:pPr>
      <w:r>
        <w:t xml:space="preserve">galaxy dynamics versus lensing;</w:t>
      </w:r>
    </w:p>
    <w:p>
      <w:pPr>
        <w:pStyle w:val="Compact"/>
        <w:numPr>
          <w:ilvl w:val="0"/>
          <w:numId w:val="1007"/>
        </w:numPr>
      </w:pPr>
      <w:r>
        <w:t xml:space="preserve">cosmological weak lensing and redshift-space distortions;</w:t>
      </w:r>
    </w:p>
    <w:p>
      <w:pPr>
        <w:pStyle w:val="Compact"/>
        <w:numPr>
          <w:ilvl w:val="0"/>
          <w:numId w:val="1007"/>
        </w:numPr>
      </w:pPr>
      <w:r>
        <w:t xml:space="preserve">gravitational-wave propagation if the covariant completion alters tensor modes.</w:t>
      </w:r>
    </w:p>
    <w:bookmarkEnd w:id="60"/>
    <w:bookmarkStart w:id="61" w:name="equivalence-principle"/>
    <w:p>
      <w:pPr>
        <w:pStyle w:val="Heading2"/>
      </w:pPr>
      <w:r>
        <w:t xml:space="preserve">15.3 Equivalence principle</w:t>
      </w:r>
    </w:p>
    <w:p>
      <w:pPr>
        <w:pStyle w:val="FirstParagraph"/>
      </w:pPr>
      <w:r>
        <w:t xml:space="preserve">Matter may couple differently to</w:t>
      </w:r>
      <w:r>
        <w:t xml:space="preserve"> </w:t>
      </w:r>
      <m:oMath>
        <m:r>
          <m:t>α</m:t>
        </m:r>
      </m:oMath>
      <w:r>
        <w:t xml:space="preserve"> </w:t>
      </w:r>
      <w:r>
        <w:t xml:space="preserve">and</w:t>
      </w:r>
      <w:r>
        <w:t xml:space="preserve"> </w:t>
      </w:r>
      <m:oMath>
        <m:r>
          <m:t>ν</m:t>
        </m:r>
      </m:oMath>
      <w:r>
        <w:t xml:space="preserve">. Universal free fall requires the effective matter metric or source currents to be composition-independent to experimental accuracy. This is a direct constraint on</w:t>
      </w:r>
      <w:r>
        <w:t xml:space="preserve"> </w:t>
      </w:r>
      <m:oMath>
        <m:sSub>
          <m:e>
            <m:r>
              <m:rPr>
                <m:sty m:val="p"/>
                <m:scr m:val="script"/>
              </m:rPr>
              <m:t>L</m:t>
            </m:r>
          </m:e>
          <m:sub>
            <m:r>
              <m:rPr>
                <m:sty m:val="p"/>
              </m:rPr>
              <m:t>i</m:t>
            </m:r>
            <m:r>
              <m:rPr>
                <m:sty m:val="p"/>
              </m:rPr>
              <m:t>n</m:t>
            </m:r>
            <m:r>
              <m:rPr>
                <m:sty m:val="p"/>
              </m:rPr>
              <m:t>t</m:t>
            </m:r>
          </m:sub>
        </m:sSub>
      </m:oMath>
      <w:r>
        <w:t xml:space="preserve">.</w:t>
      </w:r>
    </w:p>
    <w:bookmarkEnd w:id="61"/>
    <w:bookmarkStart w:id="62" w:name="strong-field-systems"/>
    <w:p>
      <w:pPr>
        <w:pStyle w:val="Heading2"/>
      </w:pPr>
      <w:r>
        <w:t xml:space="preserve">15.4 Strong-field systems</w:t>
      </w:r>
    </w:p>
    <w:p>
      <w:pPr>
        <w:pStyle w:val="FirstParagraph"/>
      </w:pPr>
      <w:r>
        <w:t xml:space="preserve">Neutron stars and black-hole perturbations test whether the bubble scalar sector introduces extra radiation, scalarisation, altered ringdown, or a breakdown of the two-handle description. The exact Schwarzschild representation is not enough; its stability and sourced formation must be derived.</w:t>
      </w:r>
    </w:p>
    <w:bookmarkEnd w:id="62"/>
    <w:bookmarkEnd w:id="63"/>
    <w:bookmarkStart w:id="69" w:name="what-is-now-locked-in"/>
    <w:p>
      <w:pPr>
        <w:pStyle w:val="Heading1"/>
      </w:pPr>
      <w:r>
        <w:t xml:space="preserve">16. What is now locked in</w:t>
      </w:r>
    </w:p>
    <w:p>
      <w:pPr>
        <w:pStyle w:val="FirstParagraph"/>
      </w:pPr>
      <w:r>
        <w:t xml:space="preserve">The following statements can be used as the formal core.</w:t>
      </w:r>
    </w:p>
    <w:bookmarkStart w:id="64" w:name="definition-bubble-field"/>
    <w:p>
      <w:pPr>
        <w:pStyle w:val="Heading2"/>
      </w:pPr>
      <w:r>
        <w:t xml:space="preserve">Definition: Bubble Field</w:t>
      </w:r>
    </w:p>
    <w:p>
      <w:pPr>
        <w:pStyle w:val="BlockText"/>
      </w:pPr>
      <w:r>
        <w:t xml:space="preserve">The Bubble Field is a phase-oriented, two-scalar field system whose local size mode</w:t>
      </w:r>
      <w:r>
        <w:t xml:space="preserve"> </w:t>
      </w:r>
      <m:oMath>
        <m:r>
          <m:t>α</m:t>
        </m:r>
        <m:r>
          <m:rPr>
            <m:sty m:val="p"/>
          </m:rPr>
          <m:t>=</m:t>
        </m:r>
        <m:r>
          <m:rPr>
            <m:sty m:val="p"/>
          </m:rPr>
          <m:t>ln</m:t>
        </m:r>
        <m:d>
          <m:dPr>
            <m:begChr m:val="("/>
            <m:endChr m:val=")"/>
            <m:sepChr m:val=""/>
            <m:grow/>
          </m:dPr>
          <m:e>
            <m:r>
              <m:t>a</m:t>
            </m:r>
            <m:r>
              <m:rPr>
                <m:sty m:val="p"/>
              </m:rPr>
              <m:t>/</m:t>
            </m:r>
            <m:sSub>
              <m:e>
                <m:r>
                  <m:t>a</m:t>
                </m:r>
              </m:e>
              <m:sub>
                <m:r>
                  <m:t>0</m:t>
                </m:r>
              </m:sub>
            </m:sSub>
          </m:e>
        </m:d>
      </m:oMath>
      <w:r>
        <w:t xml:space="preserve"> </w:t>
      </w:r>
      <w:r>
        <w:t xml:space="preserve">and number-density mode</w:t>
      </w:r>
      <w:r>
        <w:t xml:space="preserve"> </w:t>
      </w:r>
      <m:oMath>
        <m:r>
          <m:t>ν</m:t>
        </m:r>
        <m:r>
          <m:rPr>
            <m:sty m:val="p"/>
          </m:rPr>
          <m:t>=</m:t>
        </m:r>
        <m:r>
          <m:rPr>
            <m:sty m:val="p"/>
          </m:rPr>
          <m:t>ln</m:t>
        </m:r>
        <m:d>
          <m:dPr>
            <m:begChr m:val="("/>
            <m:endChr m:val=")"/>
            <m:sepChr m:val=""/>
            <m:grow/>
          </m:dPr>
          <m:e>
            <m:r>
              <m:t>n</m:t>
            </m:r>
            <m:r>
              <m:rPr>
                <m:sty m:val="p"/>
              </m:rPr>
              <m:t>/</m:t>
            </m:r>
            <m:sSub>
              <m:e>
                <m:r>
                  <m:t>n</m:t>
                </m:r>
              </m:e>
              <m:sub>
                <m:r>
                  <m:t>0</m:t>
                </m:r>
              </m:sub>
            </m:sSub>
          </m:e>
        </m:d>
      </m:oMath>
      <w:r>
        <w:t xml:space="preserve"> </w:t>
      </w:r>
      <w:r>
        <w:t xml:space="preserve">reconstruct clock rate and spatial packing through</w:t>
      </w:r>
      <w:r>
        <w:t xml:space="preserve"> </w:t>
      </w:r>
      <m:oMath>
        <m:r>
          <m:t>T</m:t>
        </m:r>
        <m:r>
          <m:rPr>
            <m:sty m:val="p"/>
          </m:rPr>
          <m:t>=</m:t>
        </m:r>
        <m:sSup>
          <m:e>
            <m:r>
              <m:t>e</m:t>
            </m:r>
          </m:e>
          <m:sup>
            <m:r>
              <m:rPr>
                <m:sty m:val="p"/>
              </m:rPr>
              <m:t>−</m:t>
            </m:r>
            <m:r>
              <m:t>α</m:t>
            </m:r>
          </m:sup>
        </m:sSup>
      </m:oMath>
      <w:r>
        <w:t xml:space="preserve"> </w:t>
      </w:r>
      <w:r>
        <w:t xml:space="preserve">and</w:t>
      </w:r>
      <w:r>
        <w:t xml:space="preserve"> </w:t>
      </w:r>
      <m:oMath>
        <m:r>
          <m:rPr>
            <m:sty m:val="p"/>
            <m:scr m:val="script"/>
          </m:rPr>
          <m:t>P</m:t>
        </m:r>
        <m:r>
          <m:rPr>
            <m:sty m:val="p"/>
          </m:rPr>
          <m:t>=</m:t>
        </m:r>
        <m:sSup>
          <m:e>
            <m:r>
              <m:t>e</m:t>
            </m:r>
          </m:e>
          <m:sup>
            <m:r>
              <m:t>α</m:t>
            </m:r>
            <m:r>
              <m:rPr>
                <m:sty m:val="p"/>
              </m:rPr>
              <m:t>+</m:t>
            </m:r>
            <m:r>
              <m:t>ν</m:t>
            </m:r>
            <m:r>
              <m:rPr>
                <m:sty m:val="p"/>
              </m:rPr>
              <m:t>/</m:t>
            </m:r>
            <m:r>
              <m:t>3</m:t>
            </m:r>
          </m:sup>
        </m:sSup>
      </m:oMath>
      <w:r>
        <w:t xml:space="preserve">. The cyclic phase defines the future-directed congruence. A covariant action for these variables produces their stress-energy, and general relativity supplies the geometric toolkit relating that stress-energy to observable motion and radiation.</w:t>
      </w:r>
    </w:p>
    <w:bookmarkEnd w:id="64"/>
    <w:bookmarkStart w:id="65" w:name="first-theorem-packing-identity"/>
    <w:p>
      <w:pPr>
        <w:pStyle w:val="Heading2"/>
      </w:pPr>
      <w:r>
        <w:t xml:space="preserve">First theorem: Packing identity</w:t>
      </w:r>
    </w:p>
    <w:p>
      <w:pPr>
        <w:pStyle w:val="FirstParagraph"/>
      </w:pPr>
      <m:oMathPara>
        <m:oMathParaPr>
          <m:jc m:val="center"/>
        </m:oMathParaPr>
        <m:oMath>
          <m:r>
            <m:t>T</m:t>
          </m:r>
          <m:r>
            <m:rPr>
              <m:sty m:val="p"/>
              <m:scr m:val="script"/>
            </m:rPr>
            <m:t>P</m:t>
          </m:r>
          <m:r>
            <m:rPr>
              <m:sty m:val="p"/>
            </m:rPr>
            <m:t>=</m:t>
          </m:r>
          <m:sSup>
            <m:e>
              <m:r>
                <m:t>e</m:t>
              </m:r>
            </m:e>
            <m:sup>
              <m:r>
                <m:t>ν</m:t>
              </m:r>
              <m:r>
                <m:rPr>
                  <m:sty m:val="p"/>
                </m:rPr>
                <m:t>/</m:t>
              </m:r>
              <m:r>
                <m:t>3</m:t>
              </m:r>
            </m:sup>
          </m:sSup>
          <m:r>
            <m:rPr>
              <m:sty m:val="p"/>
            </m:rPr>
            <m:t>.</m:t>
          </m:r>
        </m:oMath>
      </m:oMathPara>
    </w:p>
    <w:p>
      <w:pPr>
        <w:pStyle w:val="FirstParagraph"/>
      </w:pPr>
      <w:r>
        <w:t xml:space="preserve">The reciprocal time-space relation is the</w:t>
      </w:r>
      <w:r>
        <w:t xml:space="preserve"> </w:t>
      </w:r>
      <m:oMath>
        <m:r>
          <m:t>ν</m:t>
        </m:r>
        <m:r>
          <m:rPr>
            <m:sty m:val="p"/>
          </m:rPr>
          <m:t>=</m:t>
        </m:r>
        <m:r>
          <m:t>0</m:t>
        </m:r>
      </m:oMath>
      <w:r>
        <w:t xml:space="preserve"> </w:t>
      </w:r>
      <w:r>
        <w:t xml:space="preserve">branch.</w:t>
      </w:r>
    </w:p>
    <w:bookmarkEnd w:id="65"/>
    <w:bookmarkStart w:id="66" w:name="second-theorem-weak-field-potential-map"/>
    <w:p>
      <w:pPr>
        <w:pStyle w:val="Heading2"/>
      </w:pPr>
      <w:r>
        <w:t xml:space="preserve">Second theorem: Weak-field potential map</w:t>
      </w:r>
    </w:p>
    <w:p>
      <w:pPr>
        <w:pStyle w:val="FirstParagraph"/>
      </w:pPr>
      <w:r>
        <w:t xml:space="preserve">Under the scalar metric reconstruction,</w:t>
      </w:r>
    </w:p>
    <w:p>
      <w:pPr>
        <w:pStyle w:val="BodyText"/>
      </w:pPr>
      <m:oMathPara>
        <m:oMathParaPr>
          <m:jc m:val="center"/>
        </m:oMathParaPr>
        <m:oMath>
          <m:r>
            <m:t>Φ</m:t>
          </m:r>
          <m:r>
            <m:rPr>
              <m:sty m:val="p"/>
            </m:rPr>
            <m:t>=</m:t>
          </m:r>
          <m:r>
            <m:rPr>
              <m:sty m:val="p"/>
            </m:rPr>
            <m:t>−</m:t>
          </m:r>
          <m:sSup>
            <m:e>
              <m:r>
                <m:t>c</m:t>
              </m:r>
            </m:e>
            <m:sup>
              <m:r>
                <m:t>2</m:t>
              </m:r>
            </m:sup>
          </m:sSup>
          <m:r>
            <m:t>α</m:t>
          </m:r>
          <m:r>
            <m:rPr>
              <m:sty m:val="p"/>
            </m:rPr>
            <m:t>,</m:t>
          </m:r>
          <m:r>
            <m:t>  </m:t>
          </m:r>
          <m:sSub>
            <m:e>
              <m:r>
                <m:t>Ψ</m:t>
              </m:r>
            </m:e>
            <m:sub>
              <m:r>
                <m:t>g</m:t>
              </m:r>
            </m:sub>
          </m:sSub>
          <m:r>
            <m:rPr>
              <m:sty m:val="p"/>
            </m:rPr>
            <m:t>=</m:t>
          </m:r>
          <m:r>
            <m:rPr>
              <m:sty m:val="p"/>
            </m:rPr>
            <m:t>−</m:t>
          </m:r>
          <m:sSup>
            <m:e>
              <m:r>
                <m:t>c</m:t>
              </m:r>
            </m:e>
            <m:sup>
              <m:r>
                <m:t>2</m:t>
              </m:r>
            </m:sup>
          </m:sSup>
          <m:d>
            <m:dPr>
              <m:begChr m:val="("/>
              <m:endChr m:val=")"/>
              <m:sepChr m:val=""/>
              <m:grow/>
            </m:dPr>
            <m:e>
              <m:r>
                <m:t>α</m:t>
              </m:r>
              <m:r>
                <m:rPr>
                  <m:sty m:val="p"/>
                </m:rPr>
                <m:t>+</m:t>
              </m:r>
              <m:f>
                <m:fPr>
                  <m:type m:val="bar"/>
                </m:fPr>
                <m:num>
                  <m:r>
                    <m:t>ν</m:t>
                  </m:r>
                </m:num>
                <m:den>
                  <m:r>
                    <m:t>3</m:t>
                  </m:r>
                </m:den>
              </m:f>
            </m:e>
          </m:d>
          <m:r>
            <m:rPr>
              <m:sty m:val="p"/>
            </m:rPr>
            <m:t>.</m:t>
          </m:r>
        </m:oMath>
      </m:oMathPara>
    </w:p>
    <w:p>
      <w:pPr>
        <w:pStyle w:val="FirstParagraph"/>
      </w:pPr>
      <w:r>
        <w:t xml:space="preserve">Therefore</w:t>
      </w:r>
    </w:p>
    <w:p>
      <w:pPr>
        <w:pStyle w:val="BodyText"/>
      </w:pPr>
      <m:oMathPara>
        <m:oMathParaPr>
          <m:jc m:val="center"/>
        </m:oMathParaPr>
        <m:oMath>
          <m:r>
            <m:t>γ</m:t>
          </m:r>
          <m:r>
            <m:rPr>
              <m:sty m:val="p"/>
            </m:rPr>
            <m:t>−</m:t>
          </m:r>
          <m:r>
            <m:t>1</m:t>
          </m:r>
          <m:r>
            <m:rPr>
              <m:sty m:val="p"/>
            </m:rPr>
            <m:t>=</m:t>
          </m:r>
          <m:f>
            <m:fPr>
              <m:type m:val="bar"/>
            </m:fPr>
            <m:num>
              <m:r>
                <m:t>ν</m:t>
              </m:r>
            </m:num>
            <m:den>
              <m:r>
                <m:t>3</m:t>
              </m:r>
              <m:r>
                <m:t>α</m:t>
              </m:r>
            </m:den>
          </m:f>
          <m:r>
            <m:rPr>
              <m:sty m:val="p"/>
            </m:rPr>
            <m:t>.</m:t>
          </m:r>
        </m:oMath>
      </m:oMathPara>
    </w:p>
    <w:bookmarkEnd w:id="66"/>
    <w:bookmarkStart w:id="67" w:name="orientation-principle"/>
    <w:p>
      <w:pPr>
        <w:pStyle w:val="Heading2"/>
      </w:pPr>
      <w:r>
        <w:t xml:space="preserve">Orientation principle</w:t>
      </w:r>
    </w:p>
    <w:p>
      <w:pPr>
        <w:pStyle w:val="FirstParagraph"/>
      </w:pPr>
      <m:oMathPara>
        <m:oMathParaPr>
          <m:jc m:val="center"/>
        </m:oMathParaPr>
        <m:oMath>
          <m:f>
            <m:fPr>
              <m:type m:val="bar"/>
            </m:fPr>
            <m:num>
              <m:r>
                <m:t>d</m:t>
              </m:r>
              <m:r>
                <m:t>r</m:t>
              </m:r>
            </m:num>
            <m:den>
              <m:r>
                <m:t>d</m:t>
              </m:r>
              <m:r>
                <m:t>τ</m:t>
              </m:r>
            </m:den>
          </m:f>
          <m:r>
            <m:rPr>
              <m:sty m:val="p"/>
            </m:rPr>
            <m:t>&lt;</m:t>
          </m:r>
          <m:r>
            <m:t>0</m:t>
          </m:r>
          <m:r>
            <m:rPr>
              <m:sty m:val="p"/>
            </m:rPr>
            <m:t>,</m:t>
          </m:r>
          <m:r>
            <m:t>  </m:t>
          </m:r>
          <m:f>
            <m:fPr>
              <m:type m:val="bar"/>
            </m:fPr>
            <m:num>
              <m:r>
                <m:t>d</m:t>
              </m:r>
              <m:r>
                <m:t>τ</m:t>
              </m:r>
            </m:num>
            <m:den>
              <m:r>
                <m:t>d</m:t>
              </m:r>
              <m:r>
                <m:t>t</m:t>
              </m:r>
            </m:den>
          </m:f>
          <m:r>
            <m:rPr>
              <m:sty m:val="p"/>
            </m:rPr>
            <m:t>&gt;</m:t>
          </m:r>
          <m:r>
            <m:t>0</m:t>
          </m:r>
        </m:oMath>
      </m:oMathPara>
    </w:p>
    <w:p>
      <w:pPr>
        <w:pStyle w:val="FirstParagraph"/>
      </w:pPr>
      <w:r>
        <w:t xml:space="preserve">is inward spatial evolution under positive proper-time evolution. The minus sign is directional, not temporal reversal.</w:t>
      </w:r>
    </w:p>
    <w:bookmarkEnd w:id="67"/>
    <w:bookmarkStart w:id="68" w:name="gr-toolkit-principle"/>
    <w:p>
      <w:pPr>
        <w:pStyle w:val="Heading2"/>
      </w:pPr>
      <w:r>
        <w:t xml:space="preserve">GR-toolkit principle</w:t>
      </w:r>
    </w:p>
    <w:p>
      <w:pPr>
        <w:pStyle w:val="FirstParagraph"/>
      </w:pPr>
      <w:r>
        <w:t xml:space="preserve">The bubble action supplies</w:t>
      </w:r>
      <w:r>
        <w:t xml:space="preserve"> </w:t>
      </w:r>
      <m:oMath>
        <m:sSubSup>
          <m:e>
            <m:r>
              <m:t>T</m:t>
            </m:r>
          </m:e>
          <m:sub>
            <m:r>
              <m:t>μ</m:t>
            </m:r>
            <m:r>
              <m:t>ν</m:t>
            </m:r>
          </m:sub>
          <m:sup>
            <m:r>
              <m:rPr>
                <m:sty m:val="p"/>
              </m:rPr>
              <m:t>B</m:t>
            </m:r>
          </m:sup>
        </m:sSubSup>
      </m:oMath>
      <w:r>
        <w:t xml:space="preserve">; general relativity converts total stress-energy into geometry. Exact known metrics may be represented in bubble variables, but independent derivation requires the bubble source equations to produce their profiles from matter and boundary data.</w:t>
      </w:r>
    </w:p>
    <w:bookmarkEnd w:id="68"/>
    <w:bookmarkEnd w:id="69"/>
    <w:bookmarkStart w:id="70" w:name="open-equations-stated-exactly"/>
    <w:p>
      <w:pPr>
        <w:pStyle w:val="Heading1"/>
      </w:pPr>
      <w:r>
        <w:t xml:space="preserve">17. Open equations, stated exactly</w:t>
      </w:r>
    </w:p>
    <w:p>
      <w:pPr>
        <w:pStyle w:val="FirstParagraph"/>
      </w:pPr>
      <w:r>
        <w:t xml:space="preserve">The theory is not complete until the following are fixed:</w:t>
      </w:r>
    </w:p>
    <w:p>
      <w:pPr>
        <w:pStyle w:val="Compact"/>
        <w:numPr>
          <w:ilvl w:val="0"/>
          <w:numId w:val="1008"/>
        </w:numPr>
      </w:pPr>
      <w:r>
        <w:rPr>
          <w:b/>
          <w:bCs/>
        </w:rPr>
        <w:t xml:space="preserve">Kinetic matrix</w:t>
      </w:r>
      <w:r>
        <w:t xml:space="preserve"> </w:t>
      </w:r>
      <m:oMath>
        <m:sSub>
          <m:e>
            <m:r>
              <m:t>K</m:t>
            </m:r>
          </m:e>
          <m:sub>
            <m:r>
              <m:t>I</m:t>
            </m:r>
            <m:r>
              <m:t>J</m:t>
            </m:r>
          </m:sub>
        </m:sSub>
        <m:d>
          <m:dPr>
            <m:begChr m:val="("/>
            <m:endChr m:val=")"/>
            <m:sepChr m:val=""/>
            <m:grow/>
          </m:dPr>
          <m:e>
            <m:r>
              <m:t>α</m:t>
            </m:r>
            <m:r>
              <m:rPr>
                <m:sty m:val="p"/>
              </m:rPr>
              <m:t>,</m:t>
            </m:r>
            <m:r>
              <m:t>ν</m:t>
            </m:r>
          </m:e>
        </m:d>
      </m:oMath>
      <w:r>
        <w:t xml:space="preserve">.</w:t>
      </w:r>
    </w:p>
    <w:p>
      <w:pPr>
        <w:pStyle w:val="Compact"/>
        <w:numPr>
          <w:ilvl w:val="0"/>
          <w:numId w:val="1008"/>
        </w:numPr>
      </w:pPr>
      <w:r>
        <w:rPr>
          <w:b/>
          <w:bCs/>
        </w:rPr>
        <w:t xml:space="preserve">Potential</w:t>
      </w:r>
      <w:r>
        <w:t xml:space="preserve"> </w:t>
      </w:r>
      <m:oMath>
        <m:r>
          <m:t>U</m:t>
        </m:r>
        <m:d>
          <m:dPr>
            <m:begChr m:val="("/>
            <m:endChr m:val=")"/>
            <m:sepChr m:val=""/>
            <m:grow/>
          </m:dPr>
          <m:e>
            <m:r>
              <m:t>α</m:t>
            </m:r>
            <m:r>
              <m:rPr>
                <m:sty m:val="p"/>
              </m:rPr>
              <m:t>,</m:t>
            </m:r>
            <m:r>
              <m:t>ν</m:t>
            </m:r>
          </m:e>
        </m:d>
      </m:oMath>
      <w:r>
        <w:t xml:space="preserve">, including the vacuum minimum and any size floor.</w:t>
      </w:r>
    </w:p>
    <w:p>
      <w:pPr>
        <w:pStyle w:val="Compact"/>
        <w:numPr>
          <w:ilvl w:val="0"/>
          <w:numId w:val="1008"/>
        </w:numPr>
      </w:pPr>
      <w:r>
        <w:rPr>
          <w:b/>
          <w:bCs/>
        </w:rPr>
        <w:t xml:space="preserve">Matter currents</w:t>
      </w:r>
      <w:r>
        <w:t xml:space="preserve"> </w:t>
      </w:r>
      <m:oMath>
        <m:sSub>
          <m:e>
            <m:r>
              <m:t>J</m:t>
            </m:r>
          </m:e>
          <m:sub>
            <m:r>
              <m:t>α</m:t>
            </m:r>
          </m:sub>
        </m:sSub>
      </m:oMath>
      <w:r>
        <w:t xml:space="preserve"> </w:t>
      </w:r>
      <w:r>
        <w:t xml:space="preserve">and</w:t>
      </w:r>
      <w:r>
        <w:t xml:space="preserve"> </w:t>
      </w:r>
      <m:oMath>
        <m:sSub>
          <m:e>
            <m:r>
              <m:t>J</m:t>
            </m:r>
          </m:e>
          <m:sub>
            <m:r>
              <m:t>ν</m:t>
            </m:r>
          </m:sub>
        </m:sSub>
      </m:oMath>
      <w:r>
        <w:t xml:space="preserve">.</w:t>
      </w:r>
    </w:p>
    <w:p>
      <w:pPr>
        <w:pStyle w:val="Compact"/>
        <w:numPr>
          <w:ilvl w:val="0"/>
          <w:numId w:val="1008"/>
        </w:numPr>
      </w:pPr>
      <w:r>
        <w:rPr>
          <w:b/>
          <w:bCs/>
        </w:rPr>
        <w:t xml:space="preserve">Phase dynamics</w:t>
      </w:r>
      <w:r>
        <w:t xml:space="preserve"> </w:t>
      </w:r>
      <w:r>
        <w:t xml:space="preserve">determining</w:t>
      </w:r>
      <w:r>
        <w:t xml:space="preserve"> </w:t>
      </w:r>
      <m:oMath>
        <m:sSub>
          <m:e>
            <m:r>
              <m:t>u</m:t>
            </m:r>
          </m:e>
          <m:sub>
            <m:r>
              <m:t>μ</m:t>
            </m:r>
          </m:sub>
        </m:sSub>
      </m:oMath>
      <w:r>
        <w:t xml:space="preserve"> </w:t>
      </w:r>
      <w:r>
        <w:t xml:space="preserve">and cell creation or annihilation.</w:t>
      </w:r>
    </w:p>
    <w:p>
      <w:pPr>
        <w:pStyle w:val="Compact"/>
        <w:numPr>
          <w:ilvl w:val="0"/>
          <w:numId w:val="1008"/>
        </w:numPr>
      </w:pPr>
      <w:r>
        <w:rPr>
          <w:b/>
          <w:bCs/>
        </w:rPr>
        <w:t xml:space="preserve">Absolute coupling</w:t>
      </w:r>
      <w:r>
        <w:t xml:space="preserve"> </w:t>
      </w:r>
      <w:r>
        <w:t xml:space="preserve">that becomes</w:t>
      </w:r>
      <w:r>
        <w:t xml:space="preserve"> </w:t>
      </w:r>
      <m:oMath>
        <m:r>
          <m:t>G</m:t>
        </m:r>
      </m:oMath>
      <w:r>
        <w:t xml:space="preserve"> </w:t>
      </w:r>
      <w:r>
        <w:t xml:space="preserve">in the long-range limit.</w:t>
      </w:r>
    </w:p>
    <w:p>
      <w:pPr>
        <w:pStyle w:val="Compact"/>
        <w:numPr>
          <w:ilvl w:val="0"/>
          <w:numId w:val="1008"/>
        </w:numPr>
      </w:pPr>
      <w:r>
        <w:rPr>
          <w:b/>
          <w:bCs/>
        </w:rPr>
        <w:t xml:space="preserve">Covariant density definition</w:t>
      </w:r>
      <w:r>
        <w:t xml:space="preserve"> </w:t>
      </w:r>
      <w:r>
        <w:t xml:space="preserve">and its relation to coordinate volume.</w:t>
      </w:r>
    </w:p>
    <w:p>
      <w:pPr>
        <w:pStyle w:val="Compact"/>
        <w:numPr>
          <w:ilvl w:val="0"/>
          <w:numId w:val="1008"/>
        </w:numPr>
      </w:pPr>
      <w:r>
        <w:rPr>
          <w:b/>
          <w:bCs/>
        </w:rPr>
        <w:t xml:space="preserve">Short-distance transfer function</w:t>
      </w:r>
      <w:r>
        <w:t xml:space="preserve"> </w:t>
      </w:r>
      <w:r>
        <w:t xml:space="preserve">near</w:t>
      </w:r>
      <w:r>
        <w:t xml:space="preserve"> </w:t>
      </w:r>
      <m:oMath>
        <m:sSub>
          <m:e>
            <m:r>
              <m:t>a</m:t>
            </m:r>
          </m:e>
          <m:sub>
            <m:r>
              <m:t>0</m:t>
            </m:r>
          </m:sub>
        </m:sSub>
      </m:oMath>
      <w:r>
        <w:t xml:space="preserve">.</w:t>
      </w:r>
    </w:p>
    <w:p>
      <w:pPr>
        <w:pStyle w:val="Compact"/>
        <w:numPr>
          <w:ilvl w:val="0"/>
          <w:numId w:val="1008"/>
        </w:numPr>
      </w:pPr>
      <w:r>
        <w:rPr>
          <w:b/>
          <w:bCs/>
        </w:rPr>
        <w:t xml:space="preserve">Non-spherical and time-dependent solutions</w:t>
      </w:r>
      <w:r>
        <w:t xml:space="preserve">.</w:t>
      </w:r>
    </w:p>
    <w:p>
      <w:pPr>
        <w:pStyle w:val="Compact"/>
        <w:numPr>
          <w:ilvl w:val="0"/>
          <w:numId w:val="1008"/>
        </w:numPr>
      </w:pPr>
      <w:r>
        <w:rPr>
          <w:b/>
          <w:bCs/>
        </w:rPr>
        <w:t xml:space="preserve">Strong-density limit</w:t>
      </w:r>
      <w:r>
        <w:t xml:space="preserve"> </w:t>
      </w:r>
      <w:r>
        <w:t xml:space="preserve">before any confinement claim can be made.</w:t>
      </w:r>
    </w:p>
    <w:p>
      <w:pPr>
        <w:pStyle w:val="FirstParagraph"/>
      </w:pPr>
      <w:r>
        <w:t xml:space="preserve">These are not vague future tasks. They are the exact mathematical unknowns left by the rigorous reduction.</w:t>
      </w:r>
    </w:p>
    <w:bookmarkEnd w:id="70"/>
    <w:bookmarkStart w:id="76" w:name="immediate-computational-sequence"/>
    <w:p>
      <w:pPr>
        <w:pStyle w:val="Heading1"/>
      </w:pPr>
      <w:r>
        <w:t xml:space="preserve">18. Immediate computational sequence</w:t>
      </w:r>
    </w:p>
    <w:p>
      <w:pPr>
        <w:pStyle w:val="FirstParagraph"/>
      </w:pPr>
      <w:r>
        <w:t xml:space="preserve">The next calculations should be performed in this order.</w:t>
      </w:r>
    </w:p>
    <w:bookmarkStart w:id="71" w:name="X20ddcf3da6bd712c252bdf78011036329075ece"/>
    <w:p>
      <w:pPr>
        <w:pStyle w:val="Heading3"/>
      </w:pPr>
      <w:r>
        <w:t xml:space="preserve">Calculation 1: Derive the linear mode spectrum</w:t>
      </w:r>
    </w:p>
    <w:p>
      <w:pPr>
        <w:pStyle w:val="FirstParagraph"/>
      </w:pPr>
      <w:r>
        <w:t xml:space="preserve">Expand</w:t>
      </w:r>
    </w:p>
    <w:p>
      <w:pPr>
        <w:pStyle w:val="BodyText"/>
      </w:pPr>
      <m:oMathPara>
        <m:oMathParaPr>
          <m:jc m:val="center"/>
        </m:oMathParaPr>
        <m:oMath>
          <m:r>
            <m:t>U</m:t>
          </m:r>
          <m:r>
            <m:rPr>
              <m:sty m:val="p"/>
            </m:rPr>
            <m:t>=</m:t>
          </m:r>
          <m:sSub>
            <m:e>
              <m:r>
                <m:t>ρ</m:t>
              </m:r>
            </m:e>
            <m:sub>
              <m:r>
                <m:t>Λ</m:t>
              </m:r>
            </m:sub>
          </m:sSub>
          <m:r>
            <m:rPr>
              <m:sty m:val="p"/>
            </m:rPr>
            <m:t>+</m:t>
          </m:r>
          <m:f>
            <m:fPr>
              <m:type m:val="bar"/>
            </m:fPr>
            <m:num>
              <m:r>
                <m:t>1</m:t>
              </m:r>
            </m:num>
            <m:den>
              <m:r>
                <m:t>2</m:t>
              </m:r>
            </m:den>
          </m:f>
          <m:sSup>
            <m:e>
              <m:r>
                <m:t>q</m:t>
              </m:r>
            </m:e>
            <m:sup>
              <m:r>
                <m:t>I</m:t>
              </m:r>
            </m:sup>
          </m:sSup>
          <m:sSub>
            <m:e>
              <m:d>
                <m:dPr>
                  <m:begChr m:val="("/>
                  <m:endChr m:val=")"/>
                  <m:sepChr m:val=""/>
                  <m:grow/>
                </m:dPr>
                <m:e>
                  <m:sSup>
                    <m:e>
                      <m:r>
                        <m:t>M</m:t>
                      </m:r>
                    </m:e>
                    <m:sup>
                      <m:r>
                        <m:t>2</m:t>
                      </m:r>
                    </m:sup>
                  </m:sSup>
                </m:e>
              </m:d>
            </m:e>
            <m:sub>
              <m:r>
                <m:t>I</m:t>
              </m:r>
              <m:r>
                <m:t>J</m:t>
              </m:r>
            </m:sub>
          </m:sSub>
          <m:sSup>
            <m:e>
              <m:r>
                <m:t>q</m:t>
              </m:r>
            </m:e>
            <m:sup>
              <m:r>
                <m:t>J</m:t>
              </m:r>
            </m:sup>
          </m:sSup>
          <m:r>
            <m:rPr>
              <m:sty m:val="p"/>
            </m:rPr>
            <m:t>+</m:t>
          </m:r>
          <m:r>
            <m:t>O</m:t>
          </m:r>
          <m:d>
            <m:dPr>
              <m:begChr m:val="("/>
              <m:endChr m:val=")"/>
              <m:sepChr m:val=""/>
              <m:grow/>
            </m:dPr>
            <m:e>
              <m:sSup>
                <m:e>
                  <m:r>
                    <m:t>q</m:t>
                  </m:r>
                </m:e>
                <m:sup>
                  <m:r>
                    <m:t>3</m:t>
                  </m:r>
                </m:sup>
              </m:sSup>
            </m:e>
          </m:d>
        </m:oMath>
      </m:oMathPara>
    </w:p>
    <w:p>
      <w:pPr>
        <w:pStyle w:val="FirstParagraph"/>
      </w:pPr>
      <w:r>
        <w:t xml:space="preserve">and diagonalise</w:t>
      </w:r>
      <w:r>
        <w:t xml:space="preserve"> </w:t>
      </w:r>
      <m:oMath>
        <m:sSup>
          <m:e>
            <m:r>
              <m:t>K</m:t>
            </m:r>
          </m:e>
          <m:sup>
            <m:r>
              <m:rPr>
                <m:sty m:val="p"/>
              </m:rPr>
              <m:t>−</m:t>
            </m:r>
            <m:r>
              <m:t>1</m:t>
            </m:r>
          </m:sup>
        </m:sSup>
        <m:sSup>
          <m:e>
            <m:r>
              <m:t>M</m:t>
            </m:r>
          </m:e>
          <m:sup>
            <m:r>
              <m:t>2</m:t>
            </m:r>
          </m:sup>
        </m:sSup>
      </m:oMath>
      <w:r>
        <w:t xml:space="preserve">. This determines the propagating combinations, their ranges, and whether either mode is unstable or ghostlike.</w:t>
      </w:r>
    </w:p>
    <w:bookmarkEnd w:id="71"/>
    <w:bookmarkStart w:id="72" w:name="Xdad96f0e3cd2e34f4db7f16ec89ccafcc6297b7"/>
    <w:p>
      <w:pPr>
        <w:pStyle w:val="Heading3"/>
      </w:pPr>
      <w:r>
        <w:t xml:space="preserve">Calculation 2: Solve a finite source without importing</w:t>
      </w:r>
      <w:r>
        <w:t xml:space="preserve"> </w:t>
      </w:r>
      <m:oMath>
        <m:r>
          <m:t>Φ</m:t>
        </m:r>
      </m:oMath>
    </w:p>
    <w:p>
      <w:pPr>
        <w:pStyle w:val="FirstParagraph"/>
      </w:pPr>
      <w:r>
        <w:t xml:space="preserve">Choose a smooth density</w:t>
      </w:r>
      <w:r>
        <w:t xml:space="preserve"> </w:t>
      </w:r>
      <m:oMath>
        <m:r>
          <m:t>ρ</m:t>
        </m:r>
        <m:d>
          <m:dPr>
            <m:begChr m:val="("/>
            <m:endChr m:val=")"/>
            <m:sepChr m:val=""/>
            <m:grow/>
          </m:dPr>
          <m:e>
            <m:r>
              <m:t>r</m:t>
            </m:r>
          </m:e>
        </m:d>
      </m:oMath>
      <w:r>
        <w:t xml:space="preserve">, solve the coupled radial equations, and derive</w:t>
      </w:r>
      <w:r>
        <w:t xml:space="preserve"> </w:t>
      </w:r>
      <m:oMath>
        <m:r>
          <m:t>Φ</m:t>
        </m:r>
      </m:oMath>
      <w:r>
        <w:t xml:space="preserve">,</w:t>
      </w:r>
      <w:r>
        <w:t xml:space="preserve"> </w:t>
      </w:r>
      <m:oMath>
        <m:sSub>
          <m:e>
            <m:r>
              <m:t>Ψ</m:t>
            </m:r>
          </m:e>
          <m:sub>
            <m:r>
              <m:t>g</m:t>
            </m:r>
          </m:sub>
        </m:sSub>
      </m:oMath>
      <w:r>
        <w:t xml:space="preserve">, acceleration and lensing from the solution. The supplied rigorous script performs the first calibrated toy version of this workflow.</w:t>
      </w:r>
    </w:p>
    <w:bookmarkEnd w:id="72"/>
    <w:bookmarkStart w:id="73" w:name="calculation-3-fit-the-density-mode"/>
    <w:p>
      <w:pPr>
        <w:pStyle w:val="Heading3"/>
      </w:pPr>
      <w:r>
        <w:t xml:space="preserve">Calculation 3: Fit the density mode</w:t>
      </w:r>
    </w:p>
    <w:p>
      <w:pPr>
        <w:pStyle w:val="FirstParagraph"/>
      </w:pPr>
      <w:r>
        <w:t xml:space="preserve">Use Cassini and the Solar System map to constrain</w:t>
      </w:r>
      <w:r>
        <w:t xml:space="preserve"> </w:t>
      </w:r>
      <m:oMath>
        <m:r>
          <m:t>ν</m:t>
        </m:r>
        <m:r>
          <m:rPr>
            <m:sty m:val="p"/>
          </m:rPr>
          <m:t>/</m:t>
        </m:r>
        <m:r>
          <m:t>α</m:t>
        </m:r>
      </m:oMath>
      <w:r>
        <w:t xml:space="preserve">, then extend the same parameters to binary and galactic systems. One coupling and one screening law must survive all scales.</w:t>
      </w:r>
    </w:p>
    <w:bookmarkEnd w:id="73"/>
    <w:bookmarkStart w:id="74" w:name="calculation-4-derive-the-grain-signature"/>
    <w:p>
      <w:pPr>
        <w:pStyle w:val="Heading3"/>
      </w:pPr>
      <w:r>
        <w:t xml:space="preserve">Calculation 4: Derive the grain signature</w:t>
      </w:r>
    </w:p>
    <w:p>
      <w:pPr>
        <w:pStyle w:val="FirstParagraph"/>
      </w:pPr>
      <w:r>
        <w:t xml:space="preserve">Compute</w:t>
      </w:r>
      <w:r>
        <w:t xml:space="preserve"> </w:t>
      </w:r>
      <m:oMath>
        <m:r>
          <m:rPr>
            <m:sty m:val="p"/>
            <m:scr m:val="script"/>
          </m:rPr>
          <m:t>F</m:t>
        </m:r>
        <m:d>
          <m:dPr>
            <m:begChr m:val="("/>
            <m:endChr m:val=")"/>
            <m:sepChr m:val=""/>
            <m:grow/>
          </m:dPr>
          <m:e>
            <m:r>
              <m:t>k</m:t>
            </m:r>
            <m:sSub>
              <m:e>
                <m:r>
                  <m:t>a</m:t>
                </m:r>
              </m:e>
              <m:sub>
                <m:r>
                  <m:t>0</m:t>
                </m:r>
              </m:sub>
            </m:sSub>
          </m:e>
        </m:d>
      </m:oMath>
      <w:r>
        <w:t xml:space="preserve"> </w:t>
      </w:r>
      <w:r>
        <w:t xml:space="preserve">from an explicit cell lattice, random packing, foam, or continuum limit. Confront the resulting force or noise spectrum with short-range gravity data.</w:t>
      </w:r>
    </w:p>
    <w:bookmarkEnd w:id="74"/>
    <w:bookmarkStart w:id="75" w:name="X96bc2d3af4ae1c5c290da7e40fa29fcf1e29829"/>
    <w:p>
      <w:pPr>
        <w:pStyle w:val="Heading3"/>
      </w:pPr>
      <w:r>
        <w:t xml:space="preserve">Calculation 5: Derive, do not assume, the source coupling</w:t>
      </w:r>
    </w:p>
    <w:p>
      <w:pPr>
        <w:pStyle w:val="FirstParagraph"/>
      </w:pPr>
      <w:r>
        <w:t xml:space="preserve">Relate</w:t>
      </w:r>
      <w:r>
        <w:t xml:space="preserve"> </w:t>
      </w:r>
      <m:oMath>
        <m:sSub>
          <m:e>
            <m:r>
              <m:t>J</m:t>
            </m:r>
          </m:e>
          <m:sub>
            <m:r>
              <m:t>I</m:t>
            </m:r>
          </m:sub>
        </m:sSub>
      </m:oMath>
      <w:r>
        <w:t xml:space="preserve"> </w:t>
      </w:r>
      <w:r>
        <w:t xml:space="preserve">to the energy, phase and boundary invariants of a matter closure. This is the step that can convert the exoplanet result</w:t>
      </w:r>
      <w:r>
        <w:t xml:space="preserve"> </w:t>
      </w:r>
      <m:oMath>
        <m:r>
          <m:t>G</m:t>
        </m:r>
        <m:r>
          <m:t>M</m:t>
        </m:r>
      </m:oMath>
      <w:r>
        <w:t xml:space="preserve"> </w:t>
      </w:r>
      <w:r>
        <w:t xml:space="preserve">into a derivation of</w:t>
      </w:r>
      <w:r>
        <w:t xml:space="preserve"> </w:t>
      </w:r>
      <m:oMath>
        <m:r>
          <m:t>G</m:t>
        </m:r>
      </m:oMath>
      <w:r>
        <w:t xml:space="preserve"> </w:t>
      </w:r>
      <w:r>
        <w:t xml:space="preserve">or show that</w:t>
      </w:r>
      <w:r>
        <w:t xml:space="preserve"> </w:t>
      </w:r>
      <m:oMath>
        <m:r>
          <m:t>G</m:t>
        </m:r>
      </m:oMath>
      <w:r>
        <w:t xml:space="preserve"> </w:t>
      </w:r>
      <w:r>
        <w:t xml:space="preserve">remains an empirical coupling.</w:t>
      </w:r>
    </w:p>
    <w:bookmarkEnd w:id="75"/>
    <w:bookmarkEnd w:id="76"/>
    <w:bookmarkStart w:id="77" w:name="reproducibility-package"/>
    <w:p>
      <w:pPr>
        <w:pStyle w:val="Heading1"/>
      </w:pPr>
      <w:r>
        <w:t xml:space="preserve">19. Reproducibility package</w:t>
      </w:r>
    </w:p>
    <w:p>
      <w:pPr>
        <w:pStyle w:val="FirstParagraph"/>
      </w:pPr>
      <w:r>
        <w:t xml:space="preserve">The package accompanying this paper contains:</w:t>
      </w:r>
    </w:p>
    <w:p>
      <w:pPr>
        <w:pStyle w:val="Compact"/>
        <w:numPr>
          <w:ilvl w:val="0"/>
          <w:numId w:val="1009"/>
        </w:numPr>
      </w:pPr>
      <w:r>
        <w:rPr>
          <w:rStyle w:val="VerbatimChar"/>
        </w:rPr>
        <w:t xml:space="preserve">bubble_field_rigorous.py</w:t>
      </w:r>
      <w:r>
        <w:t xml:space="preserve"> </w:t>
      </w:r>
      <w:r>
        <w:t xml:space="preserve">— definitions, exact identities, Schwarzschild representation checks, a covariant action certificate, a toy arbitrary-source solver, gravitational-slip output and future-time orientation check;</w:t>
      </w:r>
    </w:p>
    <w:p>
      <w:pPr>
        <w:pStyle w:val="Compact"/>
        <w:numPr>
          <w:ilvl w:val="0"/>
          <w:numId w:val="1009"/>
        </w:numPr>
      </w:pPr>
      <w:r>
        <w:rPr>
          <w:rStyle w:val="VerbatimChar"/>
        </w:rPr>
        <w:t xml:space="preserve">bubble_field_rigorous_results.json</w:t>
      </w:r>
      <w:r>
        <w:t xml:space="preserve"> </w:t>
      </w:r>
      <w:r>
        <w:t xml:space="preserve">— machine-readable numerical certificate;</w:t>
      </w:r>
    </w:p>
    <w:p>
      <w:pPr>
        <w:pStyle w:val="Compact"/>
        <w:numPr>
          <w:ilvl w:val="0"/>
          <w:numId w:val="1009"/>
        </w:numPr>
      </w:pPr>
      <w:r>
        <w:rPr>
          <w:rStyle w:val="VerbatimChar"/>
        </w:rPr>
        <w:t xml:space="preserve">bubble_field_rigorous_profiles.png</w:t>
      </w:r>
      <w:r>
        <w:t xml:space="preserve"> </w:t>
      </w:r>
      <w:r>
        <w:t xml:space="preserve">— generated profiles;</w:t>
      </w:r>
    </w:p>
    <w:p>
      <w:pPr>
        <w:pStyle w:val="Compact"/>
        <w:numPr>
          <w:ilvl w:val="0"/>
          <w:numId w:val="1009"/>
        </w:numPr>
      </w:pPr>
      <w:r>
        <w:t xml:space="preserve">the original Bubble Field script and manuscript, retained as historical inputs rather than silently overwritten.</w:t>
      </w:r>
    </w:p>
    <w:bookmarkEnd w:id="77"/>
    <w:bookmarkStart w:id="78" w:name="closing"/>
    <w:p>
      <w:pPr>
        <w:pStyle w:val="Heading1"/>
      </w:pPr>
      <w:r>
        <w:t xml:space="preserve">20. Closing</w:t>
      </w:r>
    </w:p>
    <w:p>
      <w:pPr>
        <w:pStyle w:val="FirstParagraph"/>
      </w:pPr>
      <w:r>
        <w:t xml:space="preserve">The bubble picture becomes a field theory only when its variables, metric map, action, source equations and status boundaries are all explicit. That has now been done at the minimum consistent level.</w:t>
      </w:r>
    </w:p>
    <w:p>
      <w:pPr>
        <w:pStyle w:val="BodyText"/>
      </w:pPr>
      <w:r>
        <w:t xml:space="preserve">The result is stronger than the original claim in one respect and narrower in another.</w:t>
      </w:r>
    </w:p>
    <w:p>
      <w:pPr>
        <w:pStyle w:val="BodyText"/>
      </w:pPr>
      <w:r>
        <w:t xml:space="preserve">It is narrower because Schwarzschild observables are not counted as independently derived while the Schwarzschild profile is an input.</w:t>
      </w:r>
    </w:p>
    <w:p>
      <w:pPr>
        <w:pStyle w:val="BodyText"/>
      </w:pPr>
      <w:r>
        <w:t xml:space="preserve">It is stronger because the framework now exposes a new, direct observable:</w:t>
      </w:r>
    </w:p>
    <w:p>
      <w:pPr>
        <w:pStyle w:val="BodyText"/>
      </w:pPr>
      <m:oMathPara>
        <m:oMathParaPr>
          <m:jc m:val="center"/>
        </m:oMathParaPr>
        <m:oMath>
          <m:borderBox>
            <m:e>
              <m:r>
                <m:t>γ</m:t>
              </m:r>
              <m:r>
                <m:rPr>
                  <m:sty m:val="p"/>
                </m:rPr>
                <m:t>−</m:t>
              </m:r>
              <m:r>
                <m:t>1</m:t>
              </m:r>
              <m:r>
                <m:rPr>
                  <m:sty m:val="p"/>
                </m:rPr>
                <m:t>=</m:t>
              </m:r>
              <m:f>
                <m:fPr>
                  <m:type m:val="bar"/>
                </m:fPr>
                <m:num>
                  <m:r>
                    <m:t>ν</m:t>
                  </m:r>
                </m:num>
                <m:den>
                  <m:r>
                    <m:t>3</m:t>
                  </m:r>
                  <m:r>
                    <m:t>α</m:t>
                  </m:r>
                </m:den>
              </m:f>
              <m:r>
                <m:rPr>
                  <m:sty m:val="p"/>
                </m:rPr>
                <m:t>.</m:t>
              </m:r>
            </m:e>
          </m:borderBox>
        </m:oMath>
      </m:oMathPara>
    </w:p>
    <w:p>
      <w:pPr>
        <w:pStyle w:val="FirstParagraph"/>
      </w:pPr>
      <w:r>
        <w:t xml:space="preserve">The density handle is precisely the gravitational-slip degree of freedom, the size handle is the clock potential, and the phase fixes forward evolution. Their action generates a stress tensor. General relativity can then be used as the toolkit without being mistaken for the microscopic origin of the fields.</w:t>
      </w:r>
    </w:p>
    <w:p>
      <w:pPr>
        <w:pStyle w:val="BodyText"/>
      </w:pPr>
      <w:r>
        <w:t xml:space="preserve">The decisive question is no longer whether bubbles can be drawn around gravity. It is whether one action, one potential and one matter coupling can produce the measured long-range mode, suppress or screen the density mode where required, and predict a unique short-distance signature near the claimed cell scale.</w:t>
      </w:r>
    </w:p>
    <w:p>
      <w:pPr>
        <w:pStyle w:val="BodyText"/>
      </w:pPr>
      <w:r>
        <w:t xml:space="preserve">That is a closed research programme with equations, observables and failure conditions.</w:t>
      </w:r>
    </w:p>
    <w:bookmarkEnd w:id="78"/>
    <w:bookmarkStart w:id="79" w:name="references"/>
    <w:p>
      <w:pPr>
        <w:pStyle w:val="Heading1"/>
      </w:pPr>
      <w:r>
        <w:t xml:space="preserve">References</w:t>
      </w:r>
    </w:p>
    <w:p>
      <w:pPr>
        <w:pStyle w:val="Compact"/>
        <w:numPr>
          <w:ilvl w:val="0"/>
          <w:numId w:val="1010"/>
        </w:numPr>
      </w:pPr>
      <w:r>
        <w:t xml:space="preserve">Shields, J. (2026).</w:t>
      </w:r>
      <w:r>
        <w:t xml:space="preserve"> </w:t>
      </w:r>
      <w:r>
        <w:rPr>
          <w:i/>
          <w:iCs/>
        </w:rPr>
        <w:t xml:space="preserve">Least-Cost Holonomy and Co-Distinction Fields: The Shields Field of Distinct Actions</w:t>
      </w:r>
      <w:r>
        <w:t xml:space="preserve">. Working paper.</w:t>
      </w:r>
    </w:p>
    <w:p>
      <w:pPr>
        <w:pStyle w:val="Compact"/>
        <w:numPr>
          <w:ilvl w:val="0"/>
          <w:numId w:val="1010"/>
        </w:numPr>
      </w:pPr>
      <w:r>
        <w:t xml:space="preserve">Shields, J., with computation by Claude (2026).</w:t>
      </w:r>
      <w:r>
        <w:t xml:space="preserve"> </w:t>
      </w:r>
      <w:r>
        <w:rPr>
          <w:i/>
          <w:iCs/>
        </w:rPr>
        <w:t xml:space="preserve">The Bubble Field: Gravity as Overcrowding in a Sea of Least-Action Cells</w:t>
      </w:r>
      <w:r>
        <w:t xml:space="preserve">. Working manuscript and code certificate.</w:t>
      </w:r>
    </w:p>
    <w:p>
      <w:pPr>
        <w:pStyle w:val="Compact"/>
        <w:numPr>
          <w:ilvl w:val="0"/>
          <w:numId w:val="1010"/>
        </w:numPr>
      </w:pPr>
      <w:r>
        <w:t xml:space="preserve">Bertotti, B., Iess, L. &amp; Tortora, P. (2003).</w:t>
      </w:r>
      <w:r>
        <w:t xml:space="preserve"> </w:t>
      </w:r>
      <w:r>
        <w:t xml:space="preserve">“</w:t>
      </w:r>
      <w:r>
        <w:t xml:space="preserve">A test of general relativity using radio links with the Cassini spacecraft.</w:t>
      </w:r>
      <w:r>
        <w:t xml:space="preserve">”</w:t>
      </w:r>
      <w:r>
        <w:t xml:space="preserve"> </w:t>
      </w:r>
      <w:r>
        <w:rPr>
          <w:i/>
          <w:iCs/>
        </w:rPr>
        <w:t xml:space="preserve">Nature</w:t>
      </w:r>
      <w:r>
        <w:t xml:space="preserve"> </w:t>
      </w:r>
      <w:r>
        <w:rPr>
          <w:b/>
          <w:bCs/>
        </w:rPr>
        <w:t xml:space="preserve">425</w:t>
      </w:r>
      <w:r>
        <w:t xml:space="preserve">, 374–376. doi:10.1038/nature01997.</w:t>
      </w:r>
    </w:p>
    <w:p>
      <w:pPr>
        <w:pStyle w:val="Compact"/>
        <w:numPr>
          <w:ilvl w:val="0"/>
          <w:numId w:val="1010"/>
        </w:numPr>
      </w:pPr>
      <w:r>
        <w:t xml:space="preserve">Lee, J. G., Adelberger, E. G., Cook, T. S., Fleischer, S. M. &amp; Heckel, B. R. (2020).</w:t>
      </w:r>
      <w:r>
        <w:t xml:space="preserve"> </w:t>
      </w:r>
      <w:r>
        <w:t xml:space="preserve">“</w:t>
      </w:r>
      <w:r>
        <w:t xml:space="preserve">New Test of the Gravitational 1/r² Law at Separations down to 52 μm.</w:t>
      </w:r>
      <w:r>
        <w:t xml:space="preserve">”</w:t>
      </w:r>
      <w:r>
        <w:t xml:space="preserve"> </w:t>
      </w:r>
      <w:r>
        <w:rPr>
          <w:i/>
          <w:iCs/>
        </w:rPr>
        <w:t xml:space="preserve">Physical Review Letters</w:t>
      </w:r>
      <w:r>
        <w:t xml:space="preserve"> </w:t>
      </w:r>
      <w:r>
        <w:rPr>
          <w:b/>
          <w:bCs/>
        </w:rPr>
        <w:t xml:space="preserve">124</w:t>
      </w:r>
      <w:r>
        <w:t xml:space="preserve">, 101101. doi:10.1103/PhysRevLett.124.101101.</w:t>
      </w:r>
    </w:p>
    <w:p>
      <w:pPr>
        <w:pStyle w:val="Compact"/>
        <w:numPr>
          <w:ilvl w:val="0"/>
          <w:numId w:val="1010"/>
        </w:numPr>
      </w:pPr>
      <w:r>
        <w:t xml:space="preserve">Carroll, S. M. (2004).</w:t>
      </w:r>
      <w:r>
        <w:t xml:space="preserve"> </w:t>
      </w:r>
      <w:r>
        <w:rPr>
          <w:i/>
          <w:iCs/>
        </w:rPr>
        <w:t xml:space="preserve">Spacetime and Geometry</w:t>
      </w:r>
      <w:r>
        <w:t xml:space="preserve">. Addison-Wesley.</w:t>
      </w:r>
    </w:p>
    <w:p>
      <w:pPr>
        <w:pStyle w:val="Compact"/>
        <w:numPr>
          <w:ilvl w:val="0"/>
          <w:numId w:val="1010"/>
        </w:numPr>
      </w:pPr>
      <w:r>
        <w:t xml:space="preserve">Wald, R. M. (1984).</w:t>
      </w:r>
      <w:r>
        <w:t xml:space="preserve"> </w:t>
      </w:r>
      <w:r>
        <w:rPr>
          <w:i/>
          <w:iCs/>
        </w:rPr>
        <w:t xml:space="preserve">General Relativity</w:t>
      </w:r>
      <w:r>
        <w:t xml:space="preserve">. University of Chicago Press.</w:t>
      </w:r>
    </w:p>
    <w:p>
      <w:pPr>
        <w:pStyle w:val="Compact"/>
        <w:numPr>
          <w:ilvl w:val="0"/>
          <w:numId w:val="1010"/>
        </w:numPr>
      </w:pPr>
      <w:r>
        <w:t xml:space="preserve">Will, C. M. (2014).</w:t>
      </w:r>
      <w:r>
        <w:t xml:space="preserve"> </w:t>
      </w:r>
      <w:r>
        <w:t xml:space="preserve">“</w:t>
      </w:r>
      <w:r>
        <w:t xml:space="preserve">The Confrontation between General Relativity and Experiment.</w:t>
      </w:r>
      <w:r>
        <w:t xml:space="preserve">”</w:t>
      </w:r>
      <w:r>
        <w:t xml:space="preserve"> </w:t>
      </w:r>
      <w:r>
        <w:rPr>
          <w:i/>
          <w:iCs/>
        </w:rPr>
        <w:t xml:space="preserve">Living Reviews in Relativity</w:t>
      </w:r>
      <w:r>
        <w:t xml:space="preserve"> </w:t>
      </w:r>
      <w:r>
        <w:rPr>
          <w:b/>
          <w:bCs/>
        </w:rPr>
        <w:t xml:space="preserve">17</w:t>
      </w:r>
      <w:r>
        <w:t xml:space="preserve">, 4.</w:t>
      </w:r>
    </w:p>
    <w:p>
      <w:pPr>
        <w:pStyle w:val="Compact"/>
        <w:numPr>
          <w:ilvl w:val="0"/>
          <w:numId w:val="1010"/>
        </w:numPr>
      </w:pPr>
      <w:r>
        <w:t xml:space="preserve">Ma, C.-P. &amp; Bertschinger, E. (1995).</w:t>
      </w:r>
      <w:r>
        <w:t xml:space="preserve"> </w:t>
      </w:r>
      <w:r>
        <w:t xml:space="preserve">“</w:t>
      </w:r>
      <w:r>
        <w:t xml:space="preserve">Cosmological Perturbation Theory in the Synchronous and Conformal Newtonian Gauges.</w:t>
      </w:r>
      <w:r>
        <w:t xml:space="preserve">”</w:t>
      </w:r>
      <w:r>
        <w:t xml:space="preserve"> </w:t>
      </w:r>
      <w:r>
        <w:rPr>
          <w:i/>
          <w:iCs/>
        </w:rPr>
        <w:t xml:space="preserve">Astrophysical Journal</w:t>
      </w:r>
      <w:r>
        <w:t xml:space="preserve"> </w:t>
      </w:r>
      <w:r>
        <w:rPr>
          <w:b/>
          <w:bCs/>
        </w:rPr>
        <w:t xml:space="preserve">455</w:t>
      </w:r>
      <w:r>
        <w:t xml:space="preserve">, 7.</w:t>
      </w:r>
    </w:p>
    <w:bookmarkEnd w:id="79"/>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0" Target="media/rId50.png" /><Relationship Type="http://schemas.openxmlformats.org/officeDocument/2006/relationships/image" Id="rId24" Target="media/rId24.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Bubble Field</dc:title>
  <dc:creator>Joseph Shields</dc:creator>
  <cp:keywords/>
  <dcterms:created xsi:type="dcterms:W3CDTF">2026-07-29T04:22:16Z</dcterms:created>
  <dcterms:modified xsi:type="dcterms:W3CDTF">2026-07-29T04:22:16Z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July 2026</vt:lpwstr>
  </property>
  <property fmtid="{D5CDD505-2E9C-101B-9397-08002B2CF9AE}" pid="3" name="subtitle">
    <vt:lpwstr>A Rigorous Scalar-Sector Formulation of the Universal Field of Least Action</vt:lpwstr>
  </property>
</Properties>
</file>