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Aptos Display" w:hAnsi="Aptos Display" w:eastAsia="Aptos Display"/>
          <w:b/>
          <w:color w:val="173A63"/>
          <w:sz w:val="62"/>
        </w:rPr>
        <w:t>THE BUBBLE FIELD</w:t>
        <w:br/>
        <w:t>CLOSURE ATTACK</w:t>
      </w:r>
    </w:p>
    <w:p>
      <w:pPr>
        <w:jc w:val="center"/>
      </w:pPr>
      <w:r>
        <w:rPr>
          <w:rFonts w:ascii="Aptos" w:hAnsi="Aptos" w:eastAsia="Aptos"/>
          <w:color w:val="5F6B76"/>
          <w:sz w:val="28"/>
        </w:rPr>
        <w:t>G, the source sector, the weak scale, and the charged-lepton spectrum</w:t>
      </w:r>
    </w:p>
    <w:p>
      <w:pPr>
        <w:spacing w:before="400"/>
        <w:jc w:val="center"/>
      </w:pPr>
      <w:r>
        <w:rPr>
          <w:rFonts w:ascii="Aptos" w:hAnsi="Aptos" w:eastAsia="Aptos"/>
          <w:b/>
          <w:color w:val="173A63"/>
          <w:sz w:val="30"/>
        </w:rPr>
        <w:t>Joseph Shields</w:t>
      </w:r>
    </w:p>
    <w:p>
      <w:pPr>
        <w:jc w:val="center"/>
      </w:pPr>
      <w:r>
        <w:rPr>
          <w:rFonts w:ascii="Aptos" w:hAnsi="Aptos" w:eastAsia="Aptos"/>
          <w:color w:val="5F6B76"/>
          <w:sz w:val="21"/>
        </w:rPr>
        <w:t>Computation and formal reconstruction with ChatGPT</w:t>
      </w:r>
    </w:p>
    <w:p>
      <w:pPr>
        <w:spacing w:before="520"/>
        <w:jc w:val="center"/>
      </w:pPr>
      <w:r>
        <w:rPr>
          <w:rFonts w:ascii="Aptos" w:hAnsi="Aptos" w:eastAsia="Aptos"/>
          <w:b/>
          <w:color w:val="315C8A"/>
          <w:sz w:val="20"/>
        </w:rPr>
        <w:t>Status discipline</w:t>
      </w:r>
    </w:p>
    <w:tbl>
      <w:tblPr>
        <w:tblW w:type="auto" w:w="0"/>
        <w:jc w:val="center"/>
        <w:tblLayout w:type="autofit"/>
        <w:tblLook w:firstColumn="1" w:firstRow="1" w:lastColumn="0" w:lastRow="0" w:noHBand="0" w:noVBand="1" w:val="04A0"/>
      </w:tblPr>
      <w:tblGrid>
        <w:gridCol w:w="2033"/>
        <w:gridCol w:w="2033"/>
        <w:gridCol w:w="2033"/>
        <w:gridCol w:w="2033"/>
        <w:gridCol w:w="2033"/>
      </w:tblGrid>
      <w:tr>
        <w:tc>
          <w:tcPr>
            <w:tcW w:type="dxa" w:w="2033"/>
            <w:shd w:fill="EFF8F1"/>
          </w:tcPr>
          <w:p>
            <w:pPr>
              <w:jc w:val="center"/>
            </w:pPr>
            <w:r>
              <w:rPr>
                <w:rFonts w:ascii="Aptos" w:hAnsi="Aptos" w:eastAsia="Aptos"/>
                <w:b/>
                <w:color w:val="2B6C3D"/>
                <w:sz w:val="18"/>
              </w:rPr>
              <w:t>EXACT</w:t>
            </w:r>
          </w:p>
        </w:tc>
        <w:tc>
          <w:tcPr>
            <w:tcW w:type="dxa" w:w="2033"/>
            <w:shd w:fill="FFF7E8"/>
          </w:tcPr>
          <w:p>
            <w:pPr>
              <w:jc w:val="center"/>
            </w:pPr>
            <w:r>
              <w:rPr>
                <w:rFonts w:ascii="Aptos" w:hAnsi="Aptos" w:eastAsia="Aptos"/>
                <w:b/>
                <w:color w:val="9A6400"/>
                <w:sz w:val="18"/>
              </w:rPr>
              <w:t>CONDITIONAL</w:t>
            </w:r>
          </w:p>
        </w:tc>
        <w:tc>
          <w:tcPr>
            <w:tcW w:type="dxa" w:w="2033"/>
            <w:shd w:fill="FFF7E8"/>
          </w:tcPr>
          <w:p>
            <w:pPr>
              <w:jc w:val="center"/>
            </w:pPr>
            <w:r>
              <w:rPr>
                <w:rFonts w:ascii="Aptos" w:hAnsi="Aptos" w:eastAsia="Aptos"/>
                <w:b/>
                <w:color w:val="9A6400"/>
                <w:sz w:val="18"/>
              </w:rPr>
              <w:t>CANDIDATE</w:t>
            </w:r>
          </w:p>
        </w:tc>
        <w:tc>
          <w:tcPr>
            <w:tcW w:type="dxa" w:w="2033"/>
            <w:shd w:fill="FFF2F2"/>
          </w:tcPr>
          <w:p>
            <w:pPr>
              <w:jc w:val="center"/>
            </w:pPr>
            <w:r>
              <w:rPr>
                <w:rFonts w:ascii="Aptos" w:hAnsi="Aptos" w:eastAsia="Aptos"/>
                <w:b/>
                <w:color w:val="8A3434"/>
                <w:sz w:val="18"/>
              </w:rPr>
              <w:t>NO-GO</w:t>
            </w:r>
          </w:p>
        </w:tc>
        <w:tc>
          <w:tcPr>
            <w:tcW w:type="dxa" w:w="2033"/>
            <w:shd w:fill="F2F4F7"/>
          </w:tcPr>
          <w:p>
            <w:pPr>
              <w:jc w:val="center"/>
            </w:pPr>
            <w:r>
              <w:rPr>
                <w:rFonts w:ascii="Aptos" w:hAnsi="Aptos" w:eastAsia="Aptos"/>
                <w:b/>
                <w:color w:val="5F6B76"/>
                <w:sz w:val="18"/>
              </w:rPr>
              <w:t>OPEN</w:t>
            </w:r>
          </w:p>
        </w:tc>
      </w:tr>
    </w:tbl>
    <w:p>
      <w:pPr>
        <w:spacing w:before="560"/>
        <w:jc w:val="center"/>
      </w:pPr>
      <w:r>
        <w:rPr>
          <w:rFonts w:ascii="Aptos" w:hAnsi="Aptos" w:eastAsia="Aptos"/>
          <w:i/>
          <w:color w:val="5F6B76"/>
          <w:sz w:val="21"/>
        </w:rPr>
        <w:t>The purpose of this paper is not to restate the programme. It closes the equations that can be closed, registers the bridges that remain conditional, and refuses to count numerical proximity as proof.</w:t>
      </w:r>
    </w:p>
    <w:p>
      <w:r>
        <w:br w:type="page"/>
      </w:r>
    </w:p>
    <w:p>
      <w:pPr>
        <w:pStyle w:val="Heading1"/>
        <w:pBdr>
          <w:bottom w:val="single" w:sz="8" w:space="4" w:color="173A63"/>
        </w:pBdr>
      </w:pPr>
      <w:r>
        <w:t>Executive result</w:t>
      </w:r>
    </w:p>
    <w:p>
      <w:r>
        <w:rPr>
          <w:rFonts w:ascii="Aptos" w:hAnsi="Aptos" w:eastAsia="Aptos"/>
          <w:b/>
          <w:color w:val="173A63"/>
        </w:rPr>
        <w:t xml:space="preserve">This pass moves the Bubble Field from a visual ontology to an executable restricted gravitational model. </w:t>
      </w:r>
      <w:r>
        <w:rPr>
          <w:rFonts w:ascii="Aptos" w:hAnsi="Aptos" w:eastAsia="Aptos"/>
        </w:rPr>
        <w:t>The exact macroscopic source equations are now written, an interior relativistic star is reconstructed into the bubble variables, and a discrete candidate for the missing gravitational hierarchy is tested without inserting G into the vacuum input.</w:t>
      </w:r>
    </w:p>
    <w:tbl>
      <w:tblPr>
        <w:tblW w:type="auto" w:w="0"/>
        <w:jc w:val="center"/>
        <w:tblLook w:firstColumn="1" w:firstRow="1" w:lastColumn="0" w:lastRow="0" w:noHBand="0" w:noVBand="1" w:val="04A0"/>
      </w:tblPr>
      <w:tblGrid>
        <w:gridCol w:w="2541"/>
        <w:gridCol w:w="2541"/>
        <w:gridCol w:w="2541"/>
        <w:gridCol w:w="2541"/>
      </w:tblGrid>
      <w:tr>
        <w:tc>
          <w:tcPr>
            <w:tcW w:type="dxa" w:w="2541"/>
            <w:shd w:fill="EEF4FA"/>
            <w:tcMar>
              <w:top w:w="80" w:type="dxa"/>
              <w:start w:w="100" w:type="dxa"/>
              <w:bottom w:w="80" w:type="dxa"/>
              <w:end w:w="100" w:type="dxa"/>
            </w:tcMar>
          </w:tcPr>
          <w:p>
            <w:pPr>
              <w:jc w:val="center"/>
            </w:pPr>
            <w:r>
              <w:rPr>
                <w:rFonts w:ascii="Aptos" w:hAnsi="Aptos" w:eastAsia="Aptos"/>
                <w:b/>
                <w:color w:val="5F6B76"/>
                <w:sz w:val="17"/>
              </w:rPr>
              <w:t>Candidate G</w:t>
            </w:r>
          </w:p>
        </w:tc>
        <w:tc>
          <w:tcPr>
            <w:tcW w:type="dxa" w:w="2541"/>
            <w:shd w:fill="EEF4FA"/>
            <w:tcMar>
              <w:top w:w="80" w:type="dxa"/>
              <w:start w:w="100" w:type="dxa"/>
              <w:bottom w:w="80" w:type="dxa"/>
              <w:end w:w="100" w:type="dxa"/>
            </w:tcMar>
          </w:tcPr>
          <w:p>
            <w:pPr>
              <w:jc w:val="center"/>
            </w:pPr>
            <w:r>
              <w:rPr>
                <w:rFonts w:ascii="Aptos" w:hAnsi="Aptos" w:eastAsia="Aptos"/>
                <w:b/>
                <w:color w:val="5F6B76"/>
                <w:sz w:val="17"/>
              </w:rPr>
              <w:t>Whole cell</w:t>
            </w:r>
          </w:p>
        </w:tc>
        <w:tc>
          <w:tcPr>
            <w:tcW w:type="dxa" w:w="2541"/>
            <w:shd w:fill="EEF4FA"/>
            <w:tcMar>
              <w:top w:w="80" w:type="dxa"/>
              <w:start w:w="100" w:type="dxa"/>
              <w:bottom w:w="80" w:type="dxa"/>
              <w:end w:w="100" w:type="dxa"/>
            </w:tcMar>
          </w:tcPr>
          <w:p>
            <w:pPr>
              <w:jc w:val="center"/>
            </w:pPr>
            <w:r>
              <w:rPr>
                <w:rFonts w:ascii="Aptos" w:hAnsi="Aptos" w:eastAsia="Aptos"/>
                <w:b/>
                <w:color w:val="5F6B76"/>
                <w:sz w:val="17"/>
              </w:rPr>
              <w:t>Weak scale</w:t>
            </w:r>
          </w:p>
        </w:tc>
        <w:tc>
          <w:tcPr>
            <w:tcW w:type="dxa" w:w="2541"/>
            <w:shd w:fill="EEF4FA"/>
            <w:tcMar>
              <w:top w:w="80" w:type="dxa"/>
              <w:start w:w="100" w:type="dxa"/>
              <w:bottom w:w="80" w:type="dxa"/>
              <w:end w:w="100" w:type="dxa"/>
            </w:tcMar>
          </w:tcPr>
          <w:p>
            <w:pPr>
              <w:jc w:val="center"/>
            </w:pPr>
            <w:r>
              <w:rPr>
                <w:rFonts w:ascii="Aptos" w:hAnsi="Aptos" w:eastAsia="Aptos"/>
                <w:b/>
                <w:color w:val="5F6B76"/>
                <w:sz w:val="17"/>
              </w:rPr>
              <w:t>Central n/n₀</w:t>
            </w:r>
          </w:p>
        </w:tc>
      </w:tr>
      <w:tr>
        <w:tc>
          <w:tcPr>
            <w:tcW w:type="dxa" w:w="2541"/>
            <w:tcMar>
              <w:top w:w="80" w:type="dxa"/>
              <w:start w:w="100" w:type="dxa"/>
              <w:bottom w:w="100" w:type="dxa"/>
              <w:end w:w="100" w:type="dxa"/>
            </w:tcMar>
          </w:tcPr>
          <w:p>
            <w:pPr>
              <w:jc w:val="center"/>
            </w:pPr>
            <w:r>
              <w:rPr>
                <w:rFonts w:ascii="Aptos Display" w:hAnsi="Aptos Display" w:eastAsia="Aptos Display"/>
                <w:b/>
                <w:color w:val="173A63"/>
                <w:sz w:val="30"/>
              </w:rPr>
              <w:t>6.66438529e-11</w:t>
            </w:r>
          </w:p>
          <w:p>
            <w:pPr>
              <w:jc w:val="center"/>
            </w:pPr>
            <w:r>
              <w:rPr>
                <w:rFonts w:ascii="Aptos" w:hAnsi="Aptos" w:eastAsia="Aptos"/>
                <w:color w:val="5F6B76"/>
                <w:sz w:val="16"/>
              </w:rPr>
              <w:t>m³ kg⁻¹ s⁻²</w:t>
            </w:r>
          </w:p>
        </w:tc>
        <w:tc>
          <w:tcPr>
            <w:tcW w:type="dxa" w:w="2541"/>
            <w:tcMar>
              <w:top w:w="80" w:type="dxa"/>
              <w:start w:w="100" w:type="dxa"/>
              <w:bottom w:w="100" w:type="dxa"/>
              <w:end w:w="100" w:type="dxa"/>
            </w:tcMar>
          </w:tcPr>
          <w:p>
            <w:pPr>
              <w:jc w:val="center"/>
            </w:pPr>
            <w:r>
              <w:rPr>
                <w:rFonts w:ascii="Aptos Display" w:hAnsi="Aptos Display" w:eastAsia="Aptos Display"/>
                <w:b/>
                <w:color w:val="173A63"/>
                <w:sz w:val="30"/>
              </w:rPr>
              <w:t>87.751</w:t>
            </w:r>
          </w:p>
          <w:p>
            <w:pPr>
              <w:jc w:val="center"/>
            </w:pPr>
            <w:r>
              <w:rPr>
                <w:rFonts w:ascii="Aptos" w:hAnsi="Aptos" w:eastAsia="Aptos"/>
                <w:color w:val="5F6B76"/>
                <w:sz w:val="16"/>
              </w:rPr>
              <w:t>µm</w:t>
            </w:r>
          </w:p>
        </w:tc>
        <w:tc>
          <w:tcPr>
            <w:tcW w:type="dxa" w:w="2541"/>
            <w:tcMar>
              <w:top w:w="80" w:type="dxa"/>
              <w:start w:w="100" w:type="dxa"/>
              <w:bottom w:w="100" w:type="dxa"/>
              <w:end w:w="100" w:type="dxa"/>
            </w:tcMar>
          </w:tcPr>
          <w:p>
            <w:pPr>
              <w:jc w:val="center"/>
            </w:pPr>
            <w:r>
              <w:rPr>
                <w:rFonts w:ascii="Aptos Display" w:hAnsi="Aptos Display" w:eastAsia="Aptos Display"/>
                <w:b/>
                <w:color w:val="173A63"/>
                <w:sz w:val="30"/>
              </w:rPr>
              <w:t>246.545</w:t>
            </w:r>
          </w:p>
          <w:p>
            <w:pPr>
              <w:jc w:val="center"/>
            </w:pPr>
            <w:r>
              <w:rPr>
                <w:rFonts w:ascii="Aptos" w:hAnsi="Aptos" w:eastAsia="Aptos"/>
                <w:color w:val="5F6B76"/>
                <w:sz w:val="16"/>
              </w:rPr>
              <w:t>GeV</w:t>
            </w:r>
          </w:p>
        </w:tc>
        <w:tc>
          <w:tcPr>
            <w:tcW w:type="dxa" w:w="2541"/>
            <w:tcMar>
              <w:top w:w="80" w:type="dxa"/>
              <w:start w:w="100" w:type="dxa"/>
              <w:bottom w:w="100" w:type="dxa"/>
              <w:end w:w="100" w:type="dxa"/>
            </w:tcMar>
          </w:tcPr>
          <w:p>
            <w:pPr>
              <w:jc w:val="center"/>
            </w:pPr>
            <w:r>
              <w:rPr>
                <w:rFonts w:ascii="Aptos Display" w:hAnsi="Aptos Display" w:eastAsia="Aptos Display"/>
                <w:b/>
                <w:color w:val="173A63"/>
                <w:sz w:val="30"/>
              </w:rPr>
              <w:t>1.477</w:t>
            </w:r>
          </w:p>
          <w:p>
            <w:pPr>
              <w:jc w:val="center"/>
            </w:pPr>
            <w:r>
              <w:rPr>
                <w:rFonts w:ascii="Aptos" w:hAnsi="Aptos" w:eastAsia="Aptos"/>
                <w:color w:val="5F6B76"/>
                <w:sz w:val="16"/>
              </w:rPr>
              <w:t>C = 0.30 star</w:t>
            </w:r>
          </w:p>
        </w:tc>
      </w:tr>
    </w:tbl>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73A63"/>
            <w:tcMar>
              <w:top w:w="80" w:type="dxa"/>
              <w:start w:w="100" w:type="dxa"/>
              <w:bottom w:w="80" w:type="dxa"/>
              <w:end w:w="100" w:type="dxa"/>
            </w:tcMar>
          </w:tcPr>
          <w:p>
            <w:r>
              <w:rPr>
                <w:rFonts w:ascii="Aptos" w:hAnsi="Aptos" w:eastAsia="Aptos"/>
                <w:b/>
                <w:color w:val="FFFFFF"/>
                <w:sz w:val="18"/>
              </w:rPr>
              <w:t>Result</w:t>
            </w:r>
          </w:p>
        </w:tc>
        <w:tc>
          <w:tcPr>
            <w:tcW w:type="dxa" w:w="3389"/>
            <w:shd w:fill="173A63"/>
            <w:tcMar>
              <w:top w:w="80" w:type="dxa"/>
              <w:start w:w="100" w:type="dxa"/>
              <w:bottom w:w="80" w:type="dxa"/>
              <w:end w:w="100" w:type="dxa"/>
            </w:tcMar>
          </w:tcPr>
          <w:p>
            <w:r>
              <w:rPr>
                <w:rFonts w:ascii="Aptos" w:hAnsi="Aptos" w:eastAsia="Aptos"/>
                <w:b/>
                <w:color w:val="FFFFFF"/>
                <w:sz w:val="18"/>
              </w:rPr>
              <w:t>Status</w:t>
            </w:r>
          </w:p>
        </w:tc>
        <w:tc>
          <w:tcPr>
            <w:tcW w:type="dxa" w:w="3389"/>
            <w:shd w:fill="173A63"/>
            <w:tcMar>
              <w:top w:w="80" w:type="dxa"/>
              <w:start w:w="100" w:type="dxa"/>
              <w:bottom w:w="80" w:type="dxa"/>
              <w:end w:w="100" w:type="dxa"/>
            </w:tcMar>
          </w:tcPr>
          <w:p>
            <w:r>
              <w:rPr>
                <w:rFonts w:ascii="Aptos" w:hAnsi="Aptos" w:eastAsia="Aptos"/>
                <w:b/>
                <w:color w:val="FFFFFF"/>
                <w:sz w:val="18"/>
              </w:rPr>
              <w:t>What is now established</w:t>
            </w:r>
          </w:p>
        </w:tc>
      </w:tr>
      <w:tr>
        <w:tc>
          <w:tcPr>
            <w:tcW w:type="dxa" w:w="3389"/>
            <w:tcMar>
              <w:top w:w="35" w:type="dxa"/>
              <w:start w:w="70" w:type="dxa"/>
              <w:bottom w:w="35" w:type="dxa"/>
              <w:end w:w="70" w:type="dxa"/>
            </w:tcMar>
          </w:tcPr>
          <w:p>
            <w:r>
              <w:rPr>
                <w:rFonts w:ascii="Aptos" w:hAnsi="Aptos" w:eastAsia="Aptos"/>
                <w:sz w:val="15"/>
              </w:rPr>
              <w:t>Source sector</w:t>
            </w:r>
          </w:p>
        </w:tc>
        <w:tc>
          <w:tcPr>
            <w:tcW w:type="dxa" w:w="3389"/>
            <w:tcMar>
              <w:top w:w="35" w:type="dxa"/>
              <w:start w:w="70" w:type="dxa"/>
              <w:bottom w:w="35" w:type="dxa"/>
              <w:end w:w="70" w:type="dxa"/>
            </w:tcMar>
            <w:shd w:fill="EFF8F1"/>
          </w:tcPr>
          <w:p>
            <w:pPr>
              <w:jc w:val="center"/>
            </w:pPr>
            <w:r>
              <w:rPr>
                <w:rFonts w:ascii="Aptos" w:hAnsi="Aptos" w:eastAsia="Aptos"/>
                <w:b/>
                <w:color w:val="2B6C3D"/>
                <w:sz w:val="15"/>
              </w:rPr>
              <w:t>EXACT</w:t>
            </w:r>
          </w:p>
        </w:tc>
        <w:tc>
          <w:tcPr>
            <w:tcW w:type="dxa" w:w="3389"/>
            <w:tcMar>
              <w:top w:w="35" w:type="dxa"/>
              <w:start w:w="70" w:type="dxa"/>
              <w:bottom w:w="35" w:type="dxa"/>
              <w:end w:w="70" w:type="dxa"/>
            </w:tcMar>
          </w:tcPr>
          <w:p>
            <w:r>
              <w:rPr>
                <w:rFonts w:ascii="Aptos" w:hAnsi="Aptos" w:eastAsia="Aptos"/>
                <w:sz w:val="15"/>
              </w:rPr>
              <w:t>In isotropic scalar gauge, energy density and radial/tangential pressure are explicit differential functions of the clock field A and packing field B.</w:t>
            </w:r>
          </w:p>
        </w:tc>
      </w:tr>
      <w:tr>
        <w:tc>
          <w:tcPr>
            <w:tcW w:type="dxa" w:w="3389"/>
            <w:tcMar>
              <w:top w:w="35" w:type="dxa"/>
              <w:start w:w="70" w:type="dxa"/>
              <w:bottom w:w="35" w:type="dxa"/>
              <w:end w:w="70" w:type="dxa"/>
            </w:tcMar>
          </w:tcPr>
          <w:p>
            <w:r>
              <w:rPr>
                <w:rFonts w:ascii="Aptos" w:hAnsi="Aptos" w:eastAsia="Aptos"/>
                <w:sz w:val="15"/>
              </w:rPr>
              <w:t>Schwarzschild exterior</w:t>
            </w:r>
          </w:p>
        </w:tc>
        <w:tc>
          <w:tcPr>
            <w:tcW w:type="dxa" w:w="3389"/>
            <w:tcMar>
              <w:top w:w="35" w:type="dxa"/>
              <w:start w:w="70" w:type="dxa"/>
              <w:bottom w:w="35" w:type="dxa"/>
              <w:end w:w="70" w:type="dxa"/>
            </w:tcMar>
            <w:shd w:fill="EFF8F1"/>
          </w:tcPr>
          <w:p>
            <w:pPr>
              <w:jc w:val="center"/>
            </w:pPr>
            <w:r>
              <w:rPr>
                <w:rFonts w:ascii="Aptos" w:hAnsi="Aptos" w:eastAsia="Aptos"/>
                <w:b/>
                <w:color w:val="2B6C3D"/>
                <w:sz w:val="15"/>
              </w:rPr>
              <w:t>EXACT</w:t>
            </w:r>
          </w:p>
        </w:tc>
        <w:tc>
          <w:tcPr>
            <w:tcW w:type="dxa" w:w="3389"/>
            <w:tcMar>
              <w:top w:w="35" w:type="dxa"/>
              <w:start w:w="70" w:type="dxa"/>
              <w:bottom w:w="35" w:type="dxa"/>
              <w:end w:w="70" w:type="dxa"/>
            </w:tcMar>
          </w:tcPr>
          <w:p>
            <w:r>
              <w:rPr>
                <w:rFonts w:ascii="Aptos" w:hAnsi="Aptos" w:eastAsia="Aptos"/>
                <w:sz w:val="15"/>
              </w:rPr>
              <w:t>The bubble reconstruction A=-αM and B=αL+ν/3 represents the exact isotropic Schwarzschild vacuum, with symbolic Einstein residuals equal to zero.</w:t>
            </w:r>
          </w:p>
        </w:tc>
      </w:tr>
      <w:tr>
        <w:tc>
          <w:tcPr>
            <w:tcW w:type="dxa" w:w="3389"/>
            <w:tcMar>
              <w:top w:w="35" w:type="dxa"/>
              <w:start w:w="70" w:type="dxa"/>
              <w:bottom w:w="35" w:type="dxa"/>
              <w:end w:w="70" w:type="dxa"/>
            </w:tcMar>
          </w:tcPr>
          <w:p>
            <w:r>
              <w:rPr>
                <w:rFonts w:ascii="Aptos" w:hAnsi="Aptos" w:eastAsia="Aptos"/>
                <w:sz w:val="15"/>
              </w:rPr>
              <w:t>Interior star</w:t>
            </w:r>
          </w:p>
        </w:tc>
        <w:tc>
          <w:tcPr>
            <w:tcW w:type="dxa" w:w="3389"/>
            <w:tcMar>
              <w:top w:w="35" w:type="dxa"/>
              <w:start w:w="70" w:type="dxa"/>
              <w:bottom w:w="35" w:type="dxa"/>
              <w:end w:w="70" w:type="dxa"/>
            </w:tcMar>
            <w:shd w:fill="EFF8F1"/>
          </w:tcPr>
          <w:p>
            <w:pPr>
              <w:jc w:val="center"/>
            </w:pPr>
            <w:r>
              <w:rPr>
                <w:rFonts w:ascii="Aptos" w:hAnsi="Aptos" w:eastAsia="Aptos"/>
                <w:b/>
                <w:color w:val="2B6C3D"/>
                <w:sz w:val="15"/>
              </w:rPr>
              <w:t>EXACT / CONDITIONAL</w:t>
            </w:r>
          </w:p>
        </w:tc>
        <w:tc>
          <w:tcPr>
            <w:tcW w:type="dxa" w:w="3389"/>
            <w:tcMar>
              <w:top w:w="35" w:type="dxa"/>
              <w:start w:w="70" w:type="dxa"/>
              <w:bottom w:w="35" w:type="dxa"/>
              <w:end w:w="70" w:type="dxa"/>
            </w:tcMar>
          </w:tcPr>
          <w:p>
            <w:r>
              <w:rPr>
                <w:rFonts w:ascii="Aptos" w:hAnsi="Aptos" w:eastAsia="Aptos"/>
                <w:sz w:val="15"/>
              </w:rPr>
              <w:t>The metric and source are exact GR; the split αL=(r/u)αM is the registered microphysical constitutive candidate.</w:t>
            </w:r>
          </w:p>
        </w:tc>
      </w:tr>
      <w:tr>
        <w:tc>
          <w:tcPr>
            <w:tcW w:type="dxa" w:w="3389"/>
            <w:tcMar>
              <w:top w:w="35" w:type="dxa"/>
              <w:start w:w="70" w:type="dxa"/>
              <w:bottom w:w="35" w:type="dxa"/>
              <w:end w:w="70" w:type="dxa"/>
            </w:tcMar>
          </w:tcPr>
          <w:p>
            <w:r>
              <w:rPr>
                <w:rFonts w:ascii="Aptos" w:hAnsi="Aptos" w:eastAsia="Aptos"/>
                <w:sz w:val="15"/>
              </w:rPr>
              <w:t>Newton coupling G</w:t>
            </w:r>
          </w:p>
        </w:tc>
        <w:tc>
          <w:tcPr>
            <w:tcW w:type="dxa" w:w="3389"/>
            <w:tcMar>
              <w:top w:w="35" w:type="dxa"/>
              <w:start w:w="70" w:type="dxa"/>
              <w:bottom w:w="35" w:type="dxa"/>
              <w:end w:w="70" w:type="dxa"/>
            </w:tcMar>
            <w:shd w:fill="FFF7E8"/>
          </w:tcPr>
          <w:p>
            <w:pPr>
              <w:jc w:val="center"/>
            </w:pPr>
            <w:r>
              <w:rPr>
                <w:rFonts w:ascii="Aptos" w:hAnsi="Aptos" w:eastAsia="Aptos"/>
                <w:b/>
                <w:color w:val="9A6400"/>
                <w:sz w:val="15"/>
              </w:rPr>
              <w:t>CONDITIONAL</w:t>
            </w:r>
          </w:p>
        </w:tc>
        <w:tc>
          <w:tcPr>
            <w:tcW w:type="dxa" w:w="3389"/>
            <w:tcMar>
              <w:top w:w="35" w:type="dxa"/>
              <w:start w:w="70" w:type="dxa"/>
              <w:bottom w:w="35" w:type="dxa"/>
              <w:end w:w="70" w:type="dxa"/>
            </w:tcMar>
          </w:tcPr>
          <w:p>
            <w:r>
              <w:rPr>
                <w:rFonts w:ascii="Aptos" w:hAnsi="Aptos" w:eastAsia="Aptos"/>
                <w:sz w:val="15"/>
              </w:rPr>
              <w:t>The bridge q=r²⁴¹(1-r³)² gives G within the present cosmological-boundary uncertainty. The two-leg record identification remains a physical postulate.</w:t>
            </w:r>
          </w:p>
        </w:tc>
      </w:tr>
      <w:tr>
        <w:tc>
          <w:tcPr>
            <w:tcW w:type="dxa" w:w="3389"/>
            <w:tcMar>
              <w:top w:w="35" w:type="dxa"/>
              <w:start w:w="70" w:type="dxa"/>
              <w:bottom w:w="35" w:type="dxa"/>
              <w:end w:w="70" w:type="dxa"/>
            </w:tcMar>
          </w:tcPr>
          <w:p>
            <w:r>
              <w:rPr>
                <w:rFonts w:ascii="Aptos" w:hAnsi="Aptos" w:eastAsia="Aptos"/>
                <w:sz w:val="15"/>
              </w:rPr>
              <w:t>Weak VEV</w:t>
            </w:r>
          </w:p>
        </w:tc>
        <w:tc>
          <w:tcPr>
            <w:tcW w:type="dxa" w:w="3389"/>
            <w:tcMar>
              <w:top w:w="35" w:type="dxa"/>
              <w:start w:w="70" w:type="dxa"/>
              <w:bottom w:w="35" w:type="dxa"/>
              <w:end w:w="70" w:type="dxa"/>
            </w:tcMar>
            <w:shd w:fill="FFF7E8"/>
          </w:tcPr>
          <w:p>
            <w:pPr>
              <w:jc w:val="center"/>
            </w:pPr>
            <w:r>
              <w:rPr>
                <w:rFonts w:ascii="Aptos" w:hAnsi="Aptos" w:eastAsia="Aptos"/>
                <w:b/>
                <w:color w:val="9A6400"/>
                <w:sz w:val="15"/>
              </w:rPr>
              <w:t>CANDIDATE</w:t>
            </w:r>
          </w:p>
        </w:tc>
        <w:tc>
          <w:tcPr>
            <w:tcW w:type="dxa" w:w="3389"/>
            <w:tcMar>
              <w:top w:w="35" w:type="dxa"/>
              <w:start w:w="70" w:type="dxa"/>
              <w:bottom w:w="35" w:type="dxa"/>
              <w:end w:w="70" w:type="dxa"/>
            </w:tcMar>
          </w:tcPr>
          <w:p>
            <w:r>
              <w:rPr>
                <w:rFonts w:ascii="Aptos" w:hAnsi="Aptos" w:eastAsia="Aptos"/>
                <w:sz w:val="15"/>
              </w:rPr>
              <w:t>v=(r²/2)√(1-r³)√(EP E0)=246.545 GeV on the reproducibility branch.</w:t>
            </w:r>
          </w:p>
        </w:tc>
      </w:tr>
      <w:tr>
        <w:tc>
          <w:tcPr>
            <w:tcW w:type="dxa" w:w="3389"/>
            <w:tcMar>
              <w:top w:w="35" w:type="dxa"/>
              <w:start w:w="70" w:type="dxa"/>
              <w:bottom w:w="35" w:type="dxa"/>
              <w:end w:w="70" w:type="dxa"/>
            </w:tcMar>
          </w:tcPr>
          <w:p>
            <w:r>
              <w:rPr>
                <w:rFonts w:ascii="Aptos" w:hAnsi="Aptos" w:eastAsia="Aptos"/>
                <w:sz w:val="15"/>
              </w:rPr>
              <w:t>Charged leptons</w:t>
            </w:r>
          </w:p>
        </w:tc>
        <w:tc>
          <w:tcPr>
            <w:tcW w:type="dxa" w:w="3389"/>
            <w:tcMar>
              <w:top w:w="35" w:type="dxa"/>
              <w:start w:w="70" w:type="dxa"/>
              <w:bottom w:w="35" w:type="dxa"/>
              <w:end w:w="70" w:type="dxa"/>
            </w:tcMar>
            <w:shd w:fill="FFF7E8"/>
          </w:tcPr>
          <w:p>
            <w:pPr>
              <w:jc w:val="center"/>
            </w:pPr>
            <w:r>
              <w:rPr>
                <w:rFonts w:ascii="Aptos" w:hAnsi="Aptos" w:eastAsia="Aptos"/>
                <w:b/>
                <w:color w:val="9A6400"/>
                <w:sz w:val="15"/>
              </w:rPr>
              <w:t>CANDIDATE</w:t>
            </w:r>
          </w:p>
        </w:tc>
        <w:tc>
          <w:tcPr>
            <w:tcW w:type="dxa" w:w="3389"/>
            <w:tcMar>
              <w:top w:w="35" w:type="dxa"/>
              <w:start w:w="70" w:type="dxa"/>
              <w:bottom w:w="35" w:type="dxa"/>
              <w:end w:w="70" w:type="dxa"/>
            </w:tcMar>
          </w:tcPr>
          <w:p>
            <w:r>
              <w:rPr>
                <w:rFonts w:ascii="Aptos" w:hAnsi="Aptos" w:eastAsia="Aptos"/>
                <w:sz w:val="15"/>
              </w:rPr>
              <w:t>A registered discrete spectrum lands within 0.09%, 0.83%, and 0.24% for e, μ, and τ; its mass operator is still owed.</w:t>
            </w:r>
          </w:p>
        </w:tc>
      </w:tr>
      <w:tr>
        <w:tc>
          <w:tcPr>
            <w:tcW w:type="dxa" w:w="3389"/>
            <w:tcMar>
              <w:top w:w="35" w:type="dxa"/>
              <w:start w:w="70" w:type="dxa"/>
              <w:bottom w:w="35" w:type="dxa"/>
              <w:end w:w="70" w:type="dxa"/>
            </w:tcMar>
          </w:tcPr>
          <w:p>
            <w:r>
              <w:rPr>
                <w:rFonts w:ascii="Aptos" w:hAnsi="Aptos" w:eastAsia="Aptos"/>
                <w:sz w:val="15"/>
              </w:rPr>
              <w:t>Dark matter from vacuum crowding</w:t>
            </w:r>
          </w:p>
        </w:tc>
        <w:tc>
          <w:tcPr>
            <w:tcW w:type="dxa" w:w="3389"/>
            <w:tcMar>
              <w:top w:w="35" w:type="dxa"/>
              <w:start w:w="70" w:type="dxa"/>
              <w:bottom w:w="35" w:type="dxa"/>
              <w:end w:w="70" w:type="dxa"/>
            </w:tcMar>
            <w:shd w:fill="FFF2F2"/>
          </w:tcPr>
          <w:p>
            <w:pPr>
              <w:jc w:val="center"/>
            </w:pPr>
            <w:r>
              <w:rPr>
                <w:rFonts w:ascii="Aptos" w:hAnsi="Aptos" w:eastAsia="Aptos"/>
                <w:b/>
                <w:color w:val="8A3434"/>
                <w:sz w:val="15"/>
              </w:rPr>
              <w:t>NO-GO</w:t>
            </w:r>
          </w:p>
        </w:tc>
        <w:tc>
          <w:tcPr>
            <w:tcW w:type="dxa" w:w="3389"/>
            <w:tcMar>
              <w:top w:w="35" w:type="dxa"/>
              <w:start w:w="70" w:type="dxa"/>
              <w:bottom w:w="35" w:type="dxa"/>
              <w:end w:w="70" w:type="dxa"/>
            </w:tcMar>
          </w:tcPr>
          <w:p>
            <w:r>
              <w:rPr>
                <w:rFonts w:ascii="Aptos" w:hAnsi="Aptos" w:eastAsia="Aptos"/>
                <w:sz w:val="15"/>
              </w:rPr>
              <w:t>The earlier energy-density reading remains short by roughly eleven orders and is not revived.</w:t>
            </w:r>
          </w:p>
        </w:tc>
      </w:tr>
    </w:tbl>
    <w:p>
      <w:r>
        <w:br w:type="page"/>
      </w:r>
    </w:p>
    <w:p>
      <w:pPr>
        <w:pStyle w:val="Heading1"/>
        <w:pBdr>
          <w:bottom w:val="single" w:sz="8" w:space="4" w:color="173A63"/>
        </w:pBdr>
      </w:pPr>
      <w:r>
        <w:t>Starting architecture and exact cell algebra</w:t>
      </w:r>
    </w:p>
    <w:p>
      <w:r>
        <w:t>The model begins with a causal cell of one quantum of action and then resolves each cell internally into Light, Boundary, and Matter channels. The three weights are not fitted; they are the square of the retained/transmitted split.</w:t>
      </w:r>
    </w:p>
    <w:tbl>
      <w:tblPr>
        <w:tblW w:type="auto" w:w="0"/>
        <w:jc w:val="center"/>
        <w:tblLayout w:type="autofit"/>
        <w:tblLook w:firstColumn="1" w:firstRow="1" w:lastColumn="0" w:lastRow="0" w:noHBand="0" w:noVBand="1" w:val="04A0"/>
      </w:tblPr>
      <w:tblGrid>
        <w:gridCol w:w="10166"/>
      </w:tblGrid>
      <w:tr>
        <w:tc>
          <w:tcPr>
            <w:tcW w:type="dxa" w:w="10166"/>
            <w:shd w:fill="F7F9FC"/>
            <w:tcMar>
              <w:top w:w="110" w:type="dxa"/>
              <w:start w:w="150" w:type="dxa"/>
              <w:bottom w:w="110" w:type="dxa"/>
              <w:end w:w="150" w:type="dxa"/>
            </w:tcMar>
          </w:tcPr>
          <w:p>
            <w:pPr>
              <w:jc w:val="center"/>
            </w:pPr>
            <w:r>
              <w:rPr>
                <w:rFonts w:ascii="Cambria Math" w:hAnsi="Cambria Math" w:eastAsia="Cambria Math"/>
                <w:color w:val="173A63"/>
                <w:sz w:val="23"/>
              </w:rPr>
              <w:t>φ² = φ + 1,     r = 1/(2φ),     u = 1-r</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F7F9FC"/>
            <w:tcMar>
              <w:top w:w="110" w:type="dxa"/>
              <w:start w:w="150" w:type="dxa"/>
              <w:bottom w:w="110" w:type="dxa"/>
              <w:end w:w="150" w:type="dxa"/>
            </w:tcMar>
          </w:tcPr>
          <w:p>
            <w:pPr>
              <w:jc w:val="center"/>
            </w:pPr>
            <w:r>
              <w:rPr>
                <w:rFonts w:ascii="Cambria Math" w:hAnsi="Cambria Math" w:eastAsia="Cambria Math"/>
                <w:color w:val="173A63"/>
                <w:sz w:val="23"/>
              </w:rPr>
              <w:t>1 = (u+r)² = u² + 2ur + r² = W_L + W_B + W_M</w:t>
            </w:r>
          </w:p>
        </w:tc>
      </w:tr>
    </w:tbl>
    <w:p>
      <w:pPr>
        <w:spacing w:after="0"/>
      </w:pP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173A63"/>
          </w:tcPr>
          <w:p>
            <w:r>
              <w:rPr>
                <w:rFonts w:ascii="Aptos" w:hAnsi="Aptos" w:eastAsia="Aptos"/>
                <w:b/>
                <w:color w:val="FFFFFF"/>
                <w:sz w:val="18"/>
              </w:rPr>
              <w:t>Channel</w:t>
            </w:r>
          </w:p>
        </w:tc>
        <w:tc>
          <w:tcPr>
            <w:tcW w:type="dxa" w:w="2541"/>
            <w:shd w:fill="173A63"/>
          </w:tcPr>
          <w:p>
            <w:r>
              <w:rPr>
                <w:rFonts w:ascii="Aptos" w:hAnsi="Aptos" w:eastAsia="Aptos"/>
                <w:b/>
                <w:color w:val="FFFFFF"/>
                <w:sz w:val="18"/>
              </w:rPr>
              <w:t>Exact weight</w:t>
            </w:r>
          </w:p>
        </w:tc>
        <w:tc>
          <w:tcPr>
            <w:tcW w:type="dxa" w:w="2541"/>
            <w:shd w:fill="173A63"/>
          </w:tcPr>
          <w:p>
            <w:r>
              <w:rPr>
                <w:rFonts w:ascii="Aptos" w:hAnsi="Aptos" w:eastAsia="Aptos"/>
                <w:b/>
                <w:color w:val="FFFFFF"/>
                <w:sz w:val="18"/>
              </w:rPr>
              <w:t>Numerical value</w:t>
            </w:r>
          </w:p>
        </w:tc>
        <w:tc>
          <w:tcPr>
            <w:tcW w:type="dxa" w:w="2541"/>
            <w:shd w:fill="173A63"/>
          </w:tcPr>
          <w:p>
            <w:r>
              <w:rPr>
                <w:rFonts w:ascii="Aptos" w:hAnsi="Aptos" w:eastAsia="Aptos"/>
                <w:b/>
                <w:color w:val="FFFFFF"/>
                <w:sz w:val="18"/>
              </w:rPr>
              <w:t>Operational role</w:t>
            </w:r>
          </w:p>
        </w:tc>
      </w:tr>
      <w:tr>
        <w:tc>
          <w:tcPr>
            <w:tcW w:type="dxa" w:w="2541"/>
            <w:tcMar>
              <w:top w:w="80" w:type="dxa"/>
              <w:start w:w="100" w:type="dxa"/>
              <w:bottom w:w="80" w:type="dxa"/>
              <w:end w:w="100" w:type="dxa"/>
            </w:tcMar>
          </w:tcPr>
          <w:p>
            <w:r>
              <w:rPr>
                <w:rFonts w:ascii="Aptos" w:hAnsi="Aptos" w:eastAsia="Aptos"/>
                <w:sz w:val="18"/>
              </w:rPr>
              <w:t>Light</w:t>
            </w:r>
          </w:p>
        </w:tc>
        <w:tc>
          <w:tcPr>
            <w:tcW w:type="dxa" w:w="2541"/>
            <w:tcMar>
              <w:top w:w="80" w:type="dxa"/>
              <w:start w:w="100" w:type="dxa"/>
              <w:bottom w:w="80" w:type="dxa"/>
              <w:end w:w="100" w:type="dxa"/>
            </w:tcMar>
          </w:tcPr>
          <w:p>
            <w:r>
              <w:rPr>
                <w:rFonts w:ascii="Aptos" w:hAnsi="Aptos" w:eastAsia="Aptos"/>
                <w:sz w:val="18"/>
              </w:rPr>
              <w:t>(1-r)²</w:t>
            </w:r>
          </w:p>
        </w:tc>
        <w:tc>
          <w:tcPr>
            <w:tcW w:type="dxa" w:w="2541"/>
            <w:tcMar>
              <w:top w:w="80" w:type="dxa"/>
              <w:start w:w="100" w:type="dxa"/>
              <w:bottom w:w="80" w:type="dxa"/>
              <w:end w:w="100" w:type="dxa"/>
            </w:tcMar>
          </w:tcPr>
          <w:p>
            <w:r>
              <w:rPr>
                <w:rFonts w:ascii="Aptos" w:hAnsi="Aptos" w:eastAsia="Aptos"/>
                <w:sz w:val="18"/>
              </w:rPr>
              <w:t>0.4774575141</w:t>
            </w:r>
          </w:p>
        </w:tc>
        <w:tc>
          <w:tcPr>
            <w:tcW w:type="dxa" w:w="2541"/>
            <w:tcMar>
              <w:top w:w="80" w:type="dxa"/>
              <w:start w:w="100" w:type="dxa"/>
              <w:bottom w:w="80" w:type="dxa"/>
              <w:end w:w="100" w:type="dxa"/>
            </w:tcMar>
          </w:tcPr>
          <w:p>
            <w:r>
              <w:rPr>
                <w:rFonts w:ascii="Aptos" w:hAnsi="Aptos" w:eastAsia="Aptos"/>
                <w:sz w:val="18"/>
              </w:rPr>
              <w:t>propagation / causal barrier</w:t>
            </w:r>
          </w:p>
        </w:tc>
      </w:tr>
      <w:tr>
        <w:tc>
          <w:tcPr>
            <w:tcW w:type="dxa" w:w="2541"/>
            <w:tcMar>
              <w:top w:w="80" w:type="dxa"/>
              <w:start w:w="100" w:type="dxa"/>
              <w:bottom w:w="80" w:type="dxa"/>
              <w:end w:w="100" w:type="dxa"/>
            </w:tcMar>
          </w:tcPr>
          <w:p>
            <w:r>
              <w:rPr>
                <w:rFonts w:ascii="Aptos" w:hAnsi="Aptos" w:eastAsia="Aptos"/>
                <w:sz w:val="18"/>
              </w:rPr>
              <w:t>Boundary</w:t>
            </w:r>
          </w:p>
        </w:tc>
        <w:tc>
          <w:tcPr>
            <w:tcW w:type="dxa" w:w="2541"/>
            <w:tcMar>
              <w:top w:w="80" w:type="dxa"/>
              <w:start w:w="100" w:type="dxa"/>
              <w:bottom w:w="80" w:type="dxa"/>
              <w:end w:w="100" w:type="dxa"/>
            </w:tcMar>
          </w:tcPr>
          <w:p>
            <w:r>
              <w:rPr>
                <w:rFonts w:ascii="Aptos" w:hAnsi="Aptos" w:eastAsia="Aptos"/>
                <w:sz w:val="18"/>
              </w:rPr>
              <w:t>2r(1-r)</w:t>
            </w:r>
          </w:p>
        </w:tc>
        <w:tc>
          <w:tcPr>
            <w:tcW w:type="dxa" w:w="2541"/>
            <w:tcMar>
              <w:top w:w="80" w:type="dxa"/>
              <w:start w:w="100" w:type="dxa"/>
              <w:bottom w:w="80" w:type="dxa"/>
              <w:end w:w="100" w:type="dxa"/>
            </w:tcMar>
          </w:tcPr>
          <w:p>
            <w:r>
              <w:rPr>
                <w:rFonts w:ascii="Aptos" w:hAnsi="Aptos" w:eastAsia="Aptos"/>
                <w:sz w:val="18"/>
              </w:rPr>
              <w:t>0.4270509831</w:t>
            </w:r>
          </w:p>
        </w:tc>
        <w:tc>
          <w:tcPr>
            <w:tcW w:type="dxa" w:w="2541"/>
            <w:tcMar>
              <w:top w:w="80" w:type="dxa"/>
              <w:start w:w="100" w:type="dxa"/>
              <w:bottom w:w="80" w:type="dxa"/>
              <w:end w:w="100" w:type="dxa"/>
            </w:tcMar>
          </w:tcPr>
          <w:p>
            <w:r>
              <w:rPr>
                <w:rFonts w:ascii="Aptos" w:hAnsi="Aptos" w:eastAsia="Aptos"/>
                <w:sz w:val="18"/>
              </w:rPr>
              <w:t>relation / interface</w:t>
            </w:r>
          </w:p>
        </w:tc>
      </w:tr>
      <w:tr>
        <w:tc>
          <w:tcPr>
            <w:tcW w:type="dxa" w:w="2541"/>
            <w:tcMar>
              <w:top w:w="80" w:type="dxa"/>
              <w:start w:w="100" w:type="dxa"/>
              <w:bottom w:w="80" w:type="dxa"/>
              <w:end w:w="100" w:type="dxa"/>
            </w:tcMar>
          </w:tcPr>
          <w:p>
            <w:r>
              <w:rPr>
                <w:rFonts w:ascii="Aptos" w:hAnsi="Aptos" w:eastAsia="Aptos"/>
                <w:sz w:val="18"/>
              </w:rPr>
              <w:t>Matter</w:t>
            </w:r>
          </w:p>
        </w:tc>
        <w:tc>
          <w:tcPr>
            <w:tcW w:type="dxa" w:w="2541"/>
            <w:tcMar>
              <w:top w:w="80" w:type="dxa"/>
              <w:start w:w="100" w:type="dxa"/>
              <w:bottom w:w="80" w:type="dxa"/>
              <w:end w:w="100" w:type="dxa"/>
            </w:tcMar>
          </w:tcPr>
          <w:p>
            <w:r>
              <w:rPr>
                <w:rFonts w:ascii="Aptos" w:hAnsi="Aptos" w:eastAsia="Aptos"/>
                <w:sz w:val="18"/>
              </w:rPr>
              <w:t>r²</w:t>
            </w:r>
          </w:p>
        </w:tc>
        <w:tc>
          <w:tcPr>
            <w:tcW w:type="dxa" w:w="2541"/>
            <w:tcMar>
              <w:top w:w="80" w:type="dxa"/>
              <w:start w:w="100" w:type="dxa"/>
              <w:bottom w:w="80" w:type="dxa"/>
              <w:end w:w="100" w:type="dxa"/>
            </w:tcMar>
          </w:tcPr>
          <w:p>
            <w:r>
              <w:rPr>
                <w:rFonts w:ascii="Aptos" w:hAnsi="Aptos" w:eastAsia="Aptos"/>
                <w:sz w:val="18"/>
              </w:rPr>
              <w:t>0.0954915028</w:t>
            </w:r>
          </w:p>
        </w:tc>
        <w:tc>
          <w:tcPr>
            <w:tcW w:type="dxa" w:w="2541"/>
            <w:tcMar>
              <w:top w:w="80" w:type="dxa"/>
              <w:start w:w="100" w:type="dxa"/>
              <w:bottom w:w="80" w:type="dxa"/>
              <w:end w:w="100" w:type="dxa"/>
            </w:tcMar>
          </w:tcPr>
          <w:p>
            <w:r>
              <w:rPr>
                <w:rFonts w:ascii="Aptos" w:hAnsi="Aptos" w:eastAsia="Aptos"/>
                <w:sz w:val="18"/>
              </w:rPr>
              <w:t>retention / localized clock</w:t>
            </w:r>
          </w:p>
        </w:tc>
      </w:tr>
    </w:tbl>
    <w:p>
      <w:r>
        <w:rPr>
          <w:b/>
        </w:rPr>
        <w:t xml:space="preserve">Traversal floor. </w:t>
      </w:r>
      <w:r>
        <w:t>A complete Light–Boundary–Matter record cycle retains the residual ε=r³=0.0295084972. The surviving one-cycle fraction is s=1-r³. The sign-alternating recurrence remains future-directed because the retained error contracts in the ordered execution direction; decreasing radial coordinate is not decreasing proper time.</w:t>
      </w:r>
    </w:p>
    <w:tbl>
      <w:tblPr>
        <w:tblW w:type="auto" w:w="0"/>
        <w:jc w:val="center"/>
        <w:tblLayout w:type="autofit"/>
        <w:tblLook w:firstColumn="1" w:firstRow="1" w:lastColumn="0" w:lastRow="0" w:noHBand="0" w:noVBand="1" w:val="04A0"/>
      </w:tblPr>
      <w:tblGrid>
        <w:gridCol w:w="10166"/>
      </w:tblGrid>
      <w:tr>
        <w:tc>
          <w:tcPr>
            <w:tcW w:type="dxa" w:w="10166"/>
            <w:shd w:fill="F7F9FC"/>
            <w:tcMar>
              <w:top w:w="110" w:type="dxa"/>
              <w:start w:w="150" w:type="dxa"/>
              <w:bottom w:w="110" w:type="dxa"/>
              <w:end w:w="150" w:type="dxa"/>
            </w:tcMar>
          </w:tcPr>
          <w:p>
            <w:pPr>
              <w:jc w:val="center"/>
            </w:pPr>
            <w:r>
              <w:rPr>
                <w:rFonts w:ascii="Cambria Math" w:hAnsi="Cambria Math" w:eastAsia="Cambria Math"/>
                <w:color w:val="173A63"/>
                <w:sz w:val="23"/>
              </w:rPr>
              <w:t>r_{k+1}=1/(4r_k+2),     μ=-4r²=-1/φ²,     ε_floor=r³</w:t>
            </w:r>
          </w:p>
        </w:tc>
      </w:tr>
    </w:tbl>
    <w:p>
      <w:pPr>
        <w:spacing w:after="0"/>
      </w:pPr>
    </w:p>
    <w:p>
      <w:r>
        <w:rPr>
          <w:rFonts w:ascii="Aptos" w:hAnsi="Aptos" w:eastAsia="Aptos"/>
          <w:b/>
          <w:color w:val="173A63"/>
        </w:rPr>
        <w:t xml:space="preserve">New constitutive candidate: </w:t>
      </w:r>
      <w:r>
        <w:rPr>
          <w:rFonts w:ascii="Aptos" w:hAnsi="Aptos" w:eastAsia="Aptos"/>
        </w:rPr>
        <w:t>the light barrier responds to the matter clock through the amplitude ratio r/u=1/√5, not through the raw probability ratio W_M/W_L=1/5.</w:t>
      </w:r>
    </w:p>
    <w:tbl>
      <w:tblPr>
        <w:tblW w:type="auto" w:w="0"/>
        <w:jc w:val="center"/>
        <w:tblLayout w:type="autofit"/>
        <w:tblLook w:firstColumn="1" w:firstRow="1" w:lastColumn="0" w:lastRow="0" w:noHBand="0" w:noVBand="1" w:val="04A0"/>
      </w:tblPr>
      <w:tblGrid>
        <w:gridCol w:w="10166"/>
      </w:tblGrid>
      <w:tr>
        <w:tc>
          <w:tcPr>
            <w:tcW w:type="dxa" w:w="10166"/>
            <w:shd w:fill="F7F9FC"/>
            <w:tcMar>
              <w:top w:w="110" w:type="dxa"/>
              <w:start w:w="150" w:type="dxa"/>
              <w:bottom w:w="110" w:type="dxa"/>
              <w:end w:w="150" w:type="dxa"/>
            </w:tcMar>
          </w:tcPr>
          <w:p>
            <w:pPr>
              <w:jc w:val="center"/>
            </w:pPr>
            <w:r>
              <w:rPr>
                <w:rFonts w:ascii="Cambria Math" w:hAnsi="Cambria Math" w:eastAsia="Cambria Math"/>
                <w:color w:val="173A63"/>
                <w:sz w:val="23"/>
              </w:rPr>
              <w:t>α_L / α_M = r/u = 1/√5 = 0.4472135955</w:t>
            </w:r>
          </w:p>
          <w:p>
            <w:pPr>
              <w:jc w:val="right"/>
            </w:pPr>
            <w:r>
              <w:rPr>
                <w:rFonts w:ascii="Aptos" w:hAnsi="Aptos" w:eastAsia="Aptos"/>
                <w:i/>
                <w:color w:val="5F6B76"/>
                <w:sz w:val="17"/>
              </w:rPr>
              <w:t>registered constitutive bridge</w:t>
            </w:r>
          </w:p>
        </w:tc>
      </w:tr>
    </w:tbl>
    <w:p>
      <w:pPr>
        <w:spacing w:after="0"/>
      </w:pPr>
    </w:p>
    <w:p>
      <w:r>
        <w:br w:type="page"/>
      </w:r>
    </w:p>
    <w:p>
      <w:pPr>
        <w:pStyle w:val="Heading1"/>
        <w:pBdr>
          <w:bottom w:val="single" w:sz="8" w:space="4" w:color="173A63"/>
        </w:pBdr>
      </w:pPr>
      <w:r>
        <w:t>Closing the single missing gravitational hierarchy</w:t>
      </w:r>
    </w:p>
    <w:p>
      <w:r>
        <w:t>The earlier computation correctly reduced Newton’s constant and the cosmological-constant hierarchy to one dimensionless quantity. The correct geometric target is the vacuum energy in unreduced Planck units:</w:t>
      </w:r>
    </w:p>
    <w:tbl>
      <w:tblPr>
        <w:tblW w:type="auto" w:w="0"/>
        <w:jc w:val="center"/>
        <w:tblLayout w:type="autofit"/>
        <w:tblLook w:firstColumn="1" w:firstRow="1" w:lastColumn="0" w:lastRow="0" w:noHBand="0" w:noVBand="1" w:val="04A0"/>
      </w:tblPr>
      <w:tblGrid>
        <w:gridCol w:w="10166"/>
      </w:tblGrid>
      <w:tr>
        <w:tc>
          <w:tcPr>
            <w:tcW w:type="dxa" w:w="10166"/>
            <w:shd w:fill="F7F9FC"/>
            <w:tcMar>
              <w:top w:w="110" w:type="dxa"/>
              <w:start w:w="150" w:type="dxa"/>
              <w:bottom w:w="110" w:type="dxa"/>
              <w:end w:w="150" w:type="dxa"/>
            </w:tcMar>
          </w:tcPr>
          <w:p>
            <w:pPr>
              <w:jc w:val="center"/>
            </w:pPr>
            <w:r>
              <w:rPr>
                <w:rFonts w:ascii="Cambria Math" w:hAnsi="Cambria Math" w:eastAsia="Cambria Math"/>
                <w:color w:val="173A63"/>
                <w:sz w:val="23"/>
              </w:rPr>
              <w:t>q ≡ Λℓ_P²/(8π) = ΛℏG/(8πc³) = ρ_Λ/ρ_P</w:t>
            </w:r>
          </w:p>
        </w:tc>
      </w:tr>
    </w:tbl>
    <w:p>
      <w:pPr>
        <w:spacing w:after="0"/>
      </w:pPr>
    </w:p>
    <w:p>
      <w:r>
        <w:t>The corpus already supplies a conditional 240-mode vacuum residual and a 241st external readout. The interrogative field architecture adds an emit leg and a return leg. If each complete leg retains the amplitude s=1-r³, then the registered closed candidate is:</w:t>
      </w:r>
    </w:p>
    <w:tbl>
      <w:tblPr>
        <w:tblW w:type="auto" w:w="0"/>
        <w:jc w:val="center"/>
        <w:tblLayout w:type="autofit"/>
        <w:tblLook w:firstColumn="1" w:firstRow="1" w:lastColumn="0" w:lastRow="0" w:noHBand="0" w:noVBand="1" w:val="04A0"/>
      </w:tblPr>
      <w:tblGrid>
        <w:gridCol w:w="10166"/>
      </w:tblGrid>
      <w:tr>
        <w:tc>
          <w:tcPr>
            <w:tcW w:type="dxa" w:w="10166"/>
            <w:shd w:fill="F7F9FC"/>
            <w:tcMar>
              <w:top w:w="110" w:type="dxa"/>
              <w:start w:w="150" w:type="dxa"/>
              <w:bottom w:w="110" w:type="dxa"/>
              <w:end w:w="150" w:type="dxa"/>
            </w:tcMar>
          </w:tcPr>
          <w:p>
            <w:pPr>
              <w:jc w:val="center"/>
            </w:pPr>
            <w:r>
              <w:rPr>
                <w:rFonts w:ascii="Cambria Math" w:hAnsi="Cambria Math" w:eastAsia="Cambria Math"/>
                <w:color w:val="173A63"/>
                <w:sz w:val="23"/>
              </w:rPr>
              <w:t>q_UF = r²⁴¹(1-r³)²</w:t>
            </w:r>
          </w:p>
          <w:p>
            <w:pPr>
              <w:jc w:val="right"/>
            </w:pPr>
            <w:r>
              <w:rPr>
                <w:rFonts w:ascii="Aptos" w:hAnsi="Aptos" w:eastAsia="Aptos"/>
                <w:i/>
                <w:color w:val="5F6B76"/>
                <w:sz w:val="17"/>
              </w:rPr>
              <w:t>new two-leg vacuum-record bridge</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F7F9FC"/>
            <w:tcMar>
              <w:top w:w="110" w:type="dxa"/>
              <w:start w:w="150" w:type="dxa"/>
              <w:bottom w:w="110" w:type="dxa"/>
              <w:end w:w="150" w:type="dxa"/>
            </w:tcMar>
          </w:tcPr>
          <w:p>
            <w:pPr>
              <w:jc w:val="center"/>
            </w:pPr>
            <w:r>
              <w:rPr>
                <w:rFonts w:ascii="Cambria Math" w:hAnsi="Cambria Math" w:eastAsia="Cambria Math"/>
                <w:color w:val="173A63"/>
                <w:sz w:val="23"/>
              </w:rPr>
              <w:t>G_UF = [8πc³/(ℏΛ)] r²⁴¹(1-r³)²</w:t>
            </w:r>
          </w:p>
        </w:tc>
      </w:tr>
    </w:tbl>
    <w:p>
      <w:pPr>
        <w:spacing w:after="0"/>
      </w:pPr>
    </w:p>
    <w:p>
      <w:r>
        <w:drawing>
          <wp:inline xmlns:a="http://schemas.openxmlformats.org/drawingml/2006/main" xmlns:pic="http://schemas.openxmlformats.org/drawingml/2006/picture">
            <wp:extent cx="6217920" cy="751617"/>
            <wp:docPr id="1" name="Picture 1"/>
            <wp:cNvGraphicFramePr>
              <a:graphicFrameLocks noChangeAspect="1"/>
            </wp:cNvGraphicFramePr>
            <a:graphic>
              <a:graphicData uri="http://schemas.openxmlformats.org/drawingml/2006/picture">
                <pic:pic>
                  <pic:nvPicPr>
                    <pic:cNvPr id="0" name="bubble_closure_chain.png"/>
                    <pic:cNvPicPr/>
                  </pic:nvPicPr>
                  <pic:blipFill>
                    <a:blip r:embed="rId11"/>
                    <a:stretch>
                      <a:fillRect/>
                    </a:stretch>
                  </pic:blipFill>
                  <pic:spPr>
                    <a:xfrm>
                      <a:off x="0" y="0"/>
                      <a:ext cx="6217920" cy="751617"/>
                    </a:xfrm>
                    <a:prstGeom prst="rect"/>
                  </pic:spPr>
                </pic:pic>
              </a:graphicData>
            </a:graphic>
          </wp:inline>
        </w:drawing>
      </w:r>
    </w:p>
    <w:p>
      <w:pPr>
        <w:pStyle w:val="Caption"/>
        <w:jc w:val="center"/>
      </w:pPr>
      <w:r>
        <w:rPr>
          <w:rFonts w:ascii="Aptos" w:hAnsi="Aptos" w:eastAsia="Aptos"/>
          <w:i/>
          <w:color w:val="5F6B76"/>
          <w:sz w:val="18"/>
        </w:rPr>
        <w:t>Figure 1. Closure chain from the geometric cosmological boundary to the gravitational, weak, and lepton scales. Green is numerically closed; amber and red remain representation bridges.</w:t>
      </w:r>
    </w:p>
    <w:p>
      <w:r>
        <w:rPr>
          <w:rFonts w:ascii="Aptos" w:hAnsi="Aptos" w:eastAsia="Aptos"/>
          <w:b/>
          <w:color w:val="173A63"/>
        </w:rPr>
        <w:t xml:space="preserve">Numerical result. </w:t>
      </w:r>
      <w:r>
        <w:rPr>
          <w:rFonts w:ascii="Aptos" w:hAnsi="Aptos" w:eastAsia="Aptos"/>
        </w:rPr>
        <w:t>Using the same H₀=67.66 km s⁻¹ Mpc⁻¹ and ΩΛ=0.6889 boundary as the uploaded scripts gives G=6.6643853×10⁻¹¹ m³ kg⁻¹ s⁻², 0.149% below the 2022 CODATA value. Using the Planck TT,TE,EE+lowE+lensing best-estimate pair gives 6.7651243×10⁻¹¹, 1.36% above CODATA. Both are inside the indicative percent-level uncertainty propagated from the cosmological boundary; the bridge is therefore viable but not precision-confirmed.</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33"/>
            <w:shd w:fill="173A63"/>
          </w:tcPr>
          <w:p>
            <w:r>
              <w:rPr>
                <w:rFonts w:ascii="Aptos" w:hAnsi="Aptos" w:eastAsia="Aptos"/>
                <w:b/>
                <w:color w:val="FFFFFF"/>
                <w:sz w:val="17"/>
              </w:rPr>
              <w:t>Boundary</w:t>
            </w:r>
          </w:p>
        </w:tc>
        <w:tc>
          <w:tcPr>
            <w:tcW w:type="dxa" w:w="2033"/>
            <w:shd w:fill="173A63"/>
          </w:tcPr>
          <w:p>
            <w:r>
              <w:rPr>
                <w:rFonts w:ascii="Aptos" w:hAnsi="Aptos" w:eastAsia="Aptos"/>
                <w:b/>
                <w:color w:val="FFFFFF"/>
                <w:sz w:val="17"/>
              </w:rPr>
              <w:t>Λ (m⁻²)</w:t>
            </w:r>
          </w:p>
        </w:tc>
        <w:tc>
          <w:tcPr>
            <w:tcW w:type="dxa" w:w="2033"/>
            <w:shd w:fill="173A63"/>
          </w:tcPr>
          <w:p>
            <w:r>
              <w:rPr>
                <w:rFonts w:ascii="Aptos" w:hAnsi="Aptos" w:eastAsia="Aptos"/>
                <w:b/>
                <w:color w:val="FFFFFF"/>
                <w:sz w:val="17"/>
              </w:rPr>
              <w:t>G candidate</w:t>
            </w:r>
          </w:p>
        </w:tc>
        <w:tc>
          <w:tcPr>
            <w:tcW w:type="dxa" w:w="2033"/>
            <w:shd w:fill="173A63"/>
          </w:tcPr>
          <w:p>
            <w:r>
              <w:rPr>
                <w:rFonts w:ascii="Aptos" w:hAnsi="Aptos" w:eastAsia="Aptos"/>
                <w:b/>
                <w:color w:val="FFFFFF"/>
                <w:sz w:val="17"/>
              </w:rPr>
              <w:t>vs CODATA</w:t>
            </w:r>
          </w:p>
        </w:tc>
        <w:tc>
          <w:tcPr>
            <w:tcW w:type="dxa" w:w="2033"/>
            <w:shd w:fill="173A63"/>
          </w:tcPr>
          <w:p>
            <w:r>
              <w:rPr>
                <w:rFonts w:ascii="Aptos" w:hAnsi="Aptos" w:eastAsia="Aptos"/>
                <w:b/>
                <w:color w:val="FFFFFF"/>
                <w:sz w:val="17"/>
              </w:rPr>
              <w:t>Indicative σG</w:t>
            </w:r>
          </w:p>
        </w:tc>
      </w:tr>
      <w:tr>
        <w:tc>
          <w:tcPr>
            <w:tcW w:type="dxa" w:w="2033"/>
            <w:tcMar>
              <w:top w:w="80" w:type="dxa"/>
              <w:start w:w="100" w:type="dxa"/>
              <w:bottom w:w="80" w:type="dxa"/>
              <w:end w:w="100" w:type="dxa"/>
            </w:tcMar>
          </w:tcPr>
          <w:p>
            <w:r>
              <w:rPr>
                <w:rFonts w:ascii="Aptos" w:hAnsi="Aptos" w:eastAsia="Aptos"/>
                <w:sz w:val="17"/>
              </w:rPr>
              <w:t>Uploaded chain</w:t>
            </w:r>
          </w:p>
        </w:tc>
        <w:tc>
          <w:tcPr>
            <w:tcW w:type="dxa" w:w="2033"/>
            <w:tcMar>
              <w:top w:w="80" w:type="dxa"/>
              <w:start w:w="100" w:type="dxa"/>
              <w:bottom w:w="80" w:type="dxa"/>
              <w:end w:w="100" w:type="dxa"/>
            </w:tcMar>
          </w:tcPr>
          <w:p>
            <w:r>
              <w:rPr>
                <w:rFonts w:ascii="Aptos" w:hAnsi="Aptos" w:eastAsia="Aptos"/>
                <w:sz w:val="17"/>
              </w:rPr>
              <w:t>1.105602e-52</w:t>
            </w:r>
          </w:p>
        </w:tc>
        <w:tc>
          <w:tcPr>
            <w:tcW w:type="dxa" w:w="2033"/>
            <w:tcMar>
              <w:top w:w="80" w:type="dxa"/>
              <w:start w:w="100" w:type="dxa"/>
              <w:bottom w:w="80" w:type="dxa"/>
              <w:end w:w="100" w:type="dxa"/>
            </w:tcMar>
          </w:tcPr>
          <w:p>
            <w:r>
              <w:rPr>
                <w:rFonts w:ascii="Aptos" w:hAnsi="Aptos" w:eastAsia="Aptos"/>
                <w:sz w:val="17"/>
              </w:rPr>
              <w:t>6.66438529e-11</w:t>
            </w:r>
          </w:p>
        </w:tc>
        <w:tc>
          <w:tcPr>
            <w:tcW w:type="dxa" w:w="2033"/>
            <w:tcMar>
              <w:top w:w="80" w:type="dxa"/>
              <w:start w:w="100" w:type="dxa"/>
              <w:bottom w:w="80" w:type="dxa"/>
              <w:end w:w="100" w:type="dxa"/>
            </w:tcMar>
          </w:tcPr>
          <w:p>
            <w:r>
              <w:rPr>
                <w:rFonts w:ascii="Aptos" w:hAnsi="Aptos" w:eastAsia="Aptos"/>
                <w:sz w:val="17"/>
              </w:rPr>
              <w:t>-0.149%</w:t>
            </w:r>
          </w:p>
        </w:tc>
        <w:tc>
          <w:tcPr>
            <w:tcW w:type="dxa" w:w="2033"/>
            <w:tcMar>
              <w:top w:w="80" w:type="dxa"/>
              <w:start w:w="100" w:type="dxa"/>
              <w:bottom w:w="80" w:type="dxa"/>
              <w:end w:w="100" w:type="dxa"/>
            </w:tcMar>
          </w:tcPr>
          <w:p>
            <w:r>
              <w:rPr>
                <w:rFonts w:ascii="Aptos" w:hAnsi="Aptos" w:eastAsia="Aptos"/>
                <w:sz w:val="17"/>
              </w:rPr>
              <w:t>9.89e-13</w:t>
            </w:r>
          </w:p>
        </w:tc>
      </w:tr>
      <w:tr>
        <w:tc>
          <w:tcPr>
            <w:tcW w:type="dxa" w:w="2033"/>
            <w:tcMar>
              <w:top w:w="80" w:type="dxa"/>
              <w:start w:w="100" w:type="dxa"/>
              <w:bottom w:w="80" w:type="dxa"/>
              <w:end w:w="100" w:type="dxa"/>
            </w:tcMar>
          </w:tcPr>
          <w:p>
            <w:r>
              <w:rPr>
                <w:rFonts w:ascii="Aptos" w:hAnsi="Aptos" w:eastAsia="Aptos"/>
                <w:sz w:val="17"/>
              </w:rPr>
              <w:t>Planck best</w:t>
            </w:r>
          </w:p>
        </w:tc>
        <w:tc>
          <w:tcPr>
            <w:tcW w:type="dxa" w:w="2033"/>
            <w:tcMar>
              <w:top w:w="80" w:type="dxa"/>
              <w:start w:w="100" w:type="dxa"/>
              <w:bottom w:w="80" w:type="dxa"/>
              <w:end w:w="100" w:type="dxa"/>
            </w:tcMar>
          </w:tcPr>
          <w:p>
            <w:r>
              <w:rPr>
                <w:rFonts w:ascii="Aptos" w:hAnsi="Aptos" w:eastAsia="Aptos"/>
                <w:sz w:val="17"/>
              </w:rPr>
              <w:t>1.089139e-52</w:t>
            </w:r>
          </w:p>
        </w:tc>
        <w:tc>
          <w:tcPr>
            <w:tcW w:type="dxa" w:w="2033"/>
            <w:tcMar>
              <w:top w:w="80" w:type="dxa"/>
              <w:start w:w="100" w:type="dxa"/>
              <w:bottom w:w="80" w:type="dxa"/>
              <w:end w:w="100" w:type="dxa"/>
            </w:tcMar>
          </w:tcPr>
          <w:p>
            <w:r>
              <w:rPr>
                <w:rFonts w:ascii="Aptos" w:hAnsi="Aptos" w:eastAsia="Aptos"/>
                <w:sz w:val="17"/>
              </w:rPr>
              <w:t>6.76512435e-11</w:t>
            </w:r>
          </w:p>
        </w:tc>
        <w:tc>
          <w:tcPr>
            <w:tcW w:type="dxa" w:w="2033"/>
            <w:tcMar>
              <w:top w:w="80" w:type="dxa"/>
              <w:start w:w="100" w:type="dxa"/>
              <w:bottom w:w="80" w:type="dxa"/>
              <w:end w:w="100" w:type="dxa"/>
            </w:tcMar>
          </w:tcPr>
          <w:p>
            <w:r>
              <w:rPr>
                <w:rFonts w:ascii="Aptos" w:hAnsi="Aptos" w:eastAsia="Aptos"/>
                <w:sz w:val="17"/>
              </w:rPr>
              <w:t>+1.361%</w:t>
            </w:r>
          </w:p>
        </w:tc>
        <w:tc>
          <w:tcPr>
            <w:tcW w:type="dxa" w:w="2033"/>
            <w:tcMar>
              <w:top w:w="80" w:type="dxa"/>
              <w:start w:w="100" w:type="dxa"/>
              <w:bottom w:w="80" w:type="dxa"/>
              <w:end w:w="100" w:type="dxa"/>
            </w:tcMar>
          </w:tcPr>
          <w:p>
            <w:r>
              <w:rPr>
                <w:rFonts w:ascii="Aptos" w:hAnsi="Aptos" w:eastAsia="Aptos"/>
                <w:sz w:val="17"/>
              </w:rPr>
              <w:t>1.30e-12</w:t>
            </w:r>
          </w:p>
        </w:tc>
      </w:tr>
    </w:tbl>
    <w:p>
      <w:r>
        <w:drawing>
          <wp:inline xmlns:a="http://schemas.openxmlformats.org/drawingml/2006/main" xmlns:pic="http://schemas.openxmlformats.org/drawingml/2006/picture">
            <wp:extent cx="6126480" cy="3743960"/>
            <wp:docPr id="2" name="Picture 2"/>
            <wp:cNvGraphicFramePr>
              <a:graphicFrameLocks noChangeAspect="1"/>
            </wp:cNvGraphicFramePr>
            <a:graphic>
              <a:graphicData uri="http://schemas.openxmlformats.org/drawingml/2006/picture">
                <pic:pic>
                  <pic:nvPicPr>
                    <pic:cNvPr id="0" name="bubble_field_G_bridge.png"/>
                    <pic:cNvPicPr/>
                  </pic:nvPicPr>
                  <pic:blipFill>
                    <a:blip r:embed="rId12"/>
                    <a:stretch>
                      <a:fillRect/>
                    </a:stretch>
                  </pic:blipFill>
                  <pic:spPr>
                    <a:xfrm>
                      <a:off x="0" y="0"/>
                      <a:ext cx="6126480" cy="3743960"/>
                    </a:xfrm>
                    <a:prstGeom prst="rect"/>
                  </pic:spPr>
                </pic:pic>
              </a:graphicData>
            </a:graphic>
          </wp:inline>
        </w:drawing>
      </w:r>
    </w:p>
    <w:p>
      <w:pPr>
        <w:pStyle w:val="Caption"/>
        <w:jc w:val="center"/>
      </w:pPr>
      <w:r>
        <w:rPr>
          <w:rFonts w:ascii="Aptos" w:hAnsi="Aptos" w:eastAsia="Aptos"/>
          <w:i/>
          <w:color w:val="5F6B76"/>
          <w:sz w:val="18"/>
        </w:rPr>
        <w:t>Figure 2. The 240-mode term overshoots, the 241-readout term is close, and the two-leg retained-record bridge is the nearest discrete candidate on both cosmological boundaries.</w:t>
      </w:r>
    </w:p>
    <w:p>
      <w:r>
        <w:rPr>
          <w:rFonts w:ascii="Aptos" w:hAnsi="Aptos" w:eastAsia="Aptos"/>
          <w:b/>
          <w:color w:val="2B6C3D"/>
        </w:rPr>
        <w:t xml:space="preserve">What has actually been solved: </w:t>
      </w:r>
      <w:r>
        <w:rPr>
          <w:rFonts w:ascii="Aptos" w:hAnsi="Aptos" w:eastAsia="Aptos"/>
        </w:rPr>
        <w:t>the dimensional degeneracy is gone once Λ is supplied geometrically, and there is now one explicit zero-adjustable-parameter formula for G.</w:t>
      </w:r>
      <w:r>
        <w:rPr>
          <w:rFonts w:ascii="Aptos" w:hAnsi="Aptos" w:eastAsia="Aptos"/>
          <w:b/>
          <w:color w:val="9A6400"/>
        </w:rPr>
        <w:t xml:space="preserve"> What remains conditional: </w:t>
      </w:r>
      <w:r>
        <w:rPr>
          <w:rFonts w:ascii="Aptos" w:hAnsi="Aptos" w:eastAsia="Aptos"/>
        </w:rPr>
        <w:t>why the physical vacuum observable is exactly the 241-mode projector multiplied by two retained traversal amplitudes.</w:t>
      </w:r>
    </w:p>
    <w:p>
      <w:r>
        <w:br w:type="page"/>
      </w:r>
    </w:p>
    <w:p>
      <w:pPr>
        <w:pStyle w:val="Heading1"/>
        <w:pBdr>
          <w:bottom w:val="single" w:sz="8" w:space="4" w:color="173A63"/>
        </w:pBdr>
      </w:pPr>
      <w:r>
        <w:t>The source sector: exact equations rather than a metaphor</w:t>
      </w:r>
    </w:p>
    <w:p>
      <w:r>
        <w:t>The correct completion is emergent-metric in the represented scalar sector. The bubble variables are not additional matter fields placed on the right-hand side of Einstein’s equation; they reconstruct the metric that the ordinary source tensor solves for.</w:t>
      </w:r>
    </w:p>
    <w:tbl>
      <w:tblPr>
        <w:tblW w:type="auto" w:w="0"/>
        <w:jc w:val="center"/>
        <w:tblLayout w:type="autofit"/>
        <w:tblLook w:firstColumn="1" w:firstRow="1" w:lastColumn="0" w:lastRow="0" w:noHBand="0" w:noVBand="1" w:val="04A0"/>
      </w:tblPr>
      <w:tblGrid>
        <w:gridCol w:w="10166"/>
      </w:tblGrid>
      <w:tr>
        <w:tc>
          <w:tcPr>
            <w:tcW w:type="dxa" w:w="10166"/>
            <w:shd w:fill="F7F9FC"/>
            <w:tcMar>
              <w:top w:w="110" w:type="dxa"/>
              <w:start w:w="150" w:type="dxa"/>
              <w:bottom w:w="110" w:type="dxa"/>
              <w:end w:w="150" w:type="dxa"/>
            </w:tcMar>
          </w:tcPr>
          <w:p>
            <w:pPr>
              <w:jc w:val="center"/>
            </w:pPr>
            <w:r>
              <w:rPr>
                <w:rFonts w:ascii="Cambria Math" w:hAnsi="Cambria Math" w:eastAsia="Cambria Math"/>
                <w:color w:val="173A63"/>
                <w:sz w:val="23"/>
              </w:rPr>
              <w:t>ds² = -e^{2A(ρ)}c²dt² + e^{2B(ρ)}(dρ² + ρ²dΩ²)</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F7F9FC"/>
            <w:tcMar>
              <w:top w:w="110" w:type="dxa"/>
              <w:start w:w="150" w:type="dxa"/>
              <w:bottom w:w="110" w:type="dxa"/>
              <w:end w:w="150" w:type="dxa"/>
            </w:tcMar>
          </w:tcPr>
          <w:p>
            <w:pPr>
              <w:jc w:val="center"/>
            </w:pPr>
            <w:r>
              <w:rPr>
                <w:rFonts w:ascii="Cambria Math" w:hAnsi="Cambria Math" w:eastAsia="Cambria Math"/>
                <w:color w:val="173A63"/>
                <w:sz w:val="23"/>
              </w:rPr>
              <w:t>A = -α_M,     B = α_L + ν/3</w:t>
            </w:r>
          </w:p>
        </w:tc>
      </w:tr>
    </w:tbl>
    <w:p>
      <w:pPr>
        <w:spacing w:after="0"/>
      </w:pPr>
    </w:p>
    <w:p>
      <w:r>
        <w:t>For this isotropic spherical metric, the orthonormal Einstein components are:</w:t>
      </w:r>
    </w:p>
    <w:tbl>
      <w:tblPr>
        <w:tblW w:type="auto" w:w="0"/>
        <w:jc w:val="center"/>
        <w:tblLayout w:type="autofit"/>
        <w:tblLook w:firstColumn="1" w:firstRow="1" w:lastColumn="0" w:lastRow="0" w:noHBand="0" w:noVBand="1" w:val="04A0"/>
      </w:tblPr>
      <w:tblGrid>
        <w:gridCol w:w="10166"/>
      </w:tblGrid>
      <w:tr>
        <w:tc>
          <w:tcPr>
            <w:tcW w:type="dxa" w:w="10166"/>
            <w:shd w:fill="F7F9FC"/>
            <w:tcMar>
              <w:top w:w="110" w:type="dxa"/>
              <w:start w:w="150" w:type="dxa"/>
              <w:bottom w:w="110" w:type="dxa"/>
              <w:end w:w="150" w:type="dxa"/>
            </w:tcMar>
          </w:tcPr>
          <w:p>
            <w:pPr>
              <w:jc w:val="center"/>
            </w:pPr>
            <w:r>
              <w:rPr>
                <w:rFonts w:ascii="Cambria Math" w:hAnsi="Cambria Math" w:eastAsia="Cambria Math"/>
                <w:color w:val="173A63"/>
                <w:sz w:val="23"/>
              </w:rPr>
              <w:t>G_tt = -e^{-2B}[B′² + 2B″ + 4B′/ρ]</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F7F9FC"/>
            <w:tcMar>
              <w:top w:w="110" w:type="dxa"/>
              <w:start w:w="150" w:type="dxa"/>
              <w:bottom w:w="110" w:type="dxa"/>
              <w:end w:w="150" w:type="dxa"/>
            </w:tcMar>
          </w:tcPr>
          <w:p>
            <w:pPr>
              <w:jc w:val="center"/>
            </w:pPr>
            <w:r>
              <w:rPr>
                <w:rFonts w:ascii="Cambria Math" w:hAnsi="Cambria Math" w:eastAsia="Cambria Math"/>
                <w:color w:val="173A63"/>
                <w:sz w:val="23"/>
              </w:rPr>
              <w:t>G_rr = e^{-2B}[2A′B′ + B′² + 2(A′+B′)/ρ]</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F7F9FC"/>
            <w:tcMar>
              <w:top w:w="110" w:type="dxa"/>
              <w:start w:w="150" w:type="dxa"/>
              <w:bottom w:w="110" w:type="dxa"/>
              <w:end w:w="150" w:type="dxa"/>
            </w:tcMar>
          </w:tcPr>
          <w:p>
            <w:pPr>
              <w:jc w:val="center"/>
            </w:pPr>
            <w:r>
              <w:rPr>
                <w:rFonts w:ascii="Cambria Math" w:hAnsi="Cambria Math" w:eastAsia="Cambria Math"/>
                <w:color w:val="173A63"/>
                <w:sz w:val="23"/>
              </w:rPr>
              <w:t>G_θθ = e^{-2B}[A′² + A″ + B″ + (A′+B′)/ρ]</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F7F9FC"/>
            <w:tcMar>
              <w:top w:w="110" w:type="dxa"/>
              <w:start w:w="150" w:type="dxa"/>
              <w:bottom w:w="110" w:type="dxa"/>
              <w:end w:w="150" w:type="dxa"/>
            </w:tcMar>
          </w:tcPr>
          <w:p>
            <w:pPr>
              <w:jc w:val="center"/>
            </w:pPr>
            <w:r>
              <w:rPr>
                <w:rFonts w:ascii="Cambria Math" w:hAnsi="Cambria Math" w:eastAsia="Cambria Math"/>
                <w:color w:val="173A63"/>
                <w:sz w:val="23"/>
              </w:rPr>
              <w:t>ε = c⁴G_tt/(8πG),     p_r = c⁴G_rr/(8πG),     p_t = c⁴G_θθ/(8πG)</w:t>
            </w:r>
          </w:p>
        </w:tc>
      </w:tr>
    </w:tbl>
    <w:p>
      <w:pPr>
        <w:spacing w:after="0"/>
      </w:pPr>
    </w:p>
    <w:p>
      <w:r>
        <w:rPr>
          <w:rFonts w:ascii="Aptos" w:hAnsi="Aptos" w:eastAsia="Aptos"/>
          <w:b/>
          <w:color w:val="2B6C3D"/>
        </w:rPr>
        <w:t xml:space="preserve">This is the macroscopic source law. </w:t>
      </w:r>
      <w:r>
        <w:rPr>
          <w:rFonts w:ascii="Aptos" w:hAnsi="Aptos" w:eastAsia="Aptos"/>
        </w:rPr>
        <w:t>Given energy density and pressure, these equations solve A and B. They therefore determine the clock deformation and total spatial packing. General relativity is the toolkit, while the bubble field is the physical decoding of the metric.</w:t>
      </w:r>
    </w:p>
    <w:p>
      <w:r>
        <w:drawing>
          <wp:inline xmlns:a="http://schemas.openxmlformats.org/drawingml/2006/main" xmlns:pic="http://schemas.openxmlformats.org/drawingml/2006/picture">
            <wp:extent cx="6217920" cy="467074"/>
            <wp:docPr id="3" name="Picture 3"/>
            <wp:cNvGraphicFramePr>
              <a:graphicFrameLocks noChangeAspect="1"/>
            </wp:cNvGraphicFramePr>
            <a:graphic>
              <a:graphicData uri="http://schemas.openxmlformats.org/drawingml/2006/picture">
                <pic:pic>
                  <pic:nvPicPr>
                    <pic:cNvPr id="0" name="bubble_source_sector.png"/>
                    <pic:cNvPicPr/>
                  </pic:nvPicPr>
                  <pic:blipFill>
                    <a:blip r:embed="rId13"/>
                    <a:stretch>
                      <a:fillRect/>
                    </a:stretch>
                  </pic:blipFill>
                  <pic:spPr>
                    <a:xfrm>
                      <a:off x="0" y="0"/>
                      <a:ext cx="6217920" cy="467074"/>
                    </a:xfrm>
                    <a:prstGeom prst="rect"/>
                  </pic:spPr>
                </pic:pic>
              </a:graphicData>
            </a:graphic>
          </wp:inline>
        </w:drawing>
      </w:r>
    </w:p>
    <w:p>
      <w:pPr>
        <w:pStyle w:val="Caption"/>
        <w:jc w:val="center"/>
      </w:pPr>
      <w:r>
        <w:rPr>
          <w:rFonts w:ascii="Aptos" w:hAnsi="Aptos" w:eastAsia="Aptos"/>
          <w:i/>
          <w:color w:val="5F6B76"/>
          <w:sz w:val="18"/>
        </w:rPr>
        <w:t>Figure 3. Exact source pipeline. GR fixes A and B; one microphysical constitutive relation is required to split B into light-barrier response and number-density response.</w:t>
      </w:r>
    </w:p>
    <w:p>
      <w:pPr>
        <w:pStyle w:val="Heading2"/>
      </w:pPr>
      <w:r>
        <w:t>3.1 Exact exterior</w:t>
      </w:r>
    </w:p>
    <w:p>
      <w:r>
        <w:t>With x=GM/(2ρc²), the exact isotropic Schwarzschild fields are:</w:t>
      </w:r>
    </w:p>
    <w:tbl>
      <w:tblPr>
        <w:tblW w:type="auto" w:w="0"/>
        <w:jc w:val="center"/>
        <w:tblLayout w:type="autofit"/>
        <w:tblLook w:firstColumn="1" w:firstRow="1" w:lastColumn="0" w:lastRow="0" w:noHBand="0" w:noVBand="1" w:val="04A0"/>
      </w:tblPr>
      <w:tblGrid>
        <w:gridCol w:w="10166"/>
      </w:tblGrid>
      <w:tr>
        <w:tc>
          <w:tcPr>
            <w:tcW w:type="dxa" w:w="10166"/>
            <w:shd w:fill="F7F9FC"/>
            <w:tcMar>
              <w:top w:w="110" w:type="dxa"/>
              <w:start w:w="150" w:type="dxa"/>
              <w:bottom w:w="110" w:type="dxa"/>
              <w:end w:w="150" w:type="dxa"/>
            </w:tcMar>
          </w:tcPr>
          <w:p>
            <w:pPr>
              <w:jc w:val="center"/>
            </w:pPr>
            <w:r>
              <w:rPr>
                <w:rFonts w:ascii="Cambria Math" w:hAnsi="Cambria Math" w:eastAsia="Cambria Math"/>
                <w:color w:val="173A63"/>
                <w:sz w:val="23"/>
              </w:rPr>
              <w:t>A = ln[(1-x)/(1+x)],     B = 2ln(1+x)</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F7F9FC"/>
            <w:tcMar>
              <w:top w:w="110" w:type="dxa"/>
              <w:start w:w="150" w:type="dxa"/>
              <w:bottom w:w="110" w:type="dxa"/>
              <w:end w:w="150" w:type="dxa"/>
            </w:tcMar>
          </w:tcPr>
          <w:p>
            <w:pPr>
              <w:jc w:val="center"/>
            </w:pPr>
            <w:r>
              <w:rPr>
                <w:rFonts w:ascii="Cambria Math" w:hAnsi="Cambria Math" w:eastAsia="Cambria Math"/>
                <w:color w:val="173A63"/>
                <w:sz w:val="23"/>
              </w:rPr>
              <w:t>G_tt = G_rr = G_θθ = 0</w:t>
            </w:r>
          </w:p>
          <w:p>
            <w:pPr>
              <w:jc w:val="right"/>
            </w:pPr>
            <w:r>
              <w:rPr>
                <w:rFonts w:ascii="Aptos" w:hAnsi="Aptos" w:eastAsia="Aptos"/>
                <w:i/>
                <w:color w:val="5F6B76"/>
                <w:sz w:val="17"/>
              </w:rPr>
              <w:t>symbolically verified by the computation</w:t>
            </w:r>
          </w:p>
        </w:tc>
      </w:tr>
    </w:tbl>
    <w:p>
      <w:pPr>
        <w:spacing w:after="0"/>
      </w:pPr>
    </w:p>
    <w:p>
      <w:r>
        <w:t>Eliminating x gives the exact relation that replaces the earlier coordinate-dependent T·P=1 claim:</w:t>
      </w:r>
    </w:p>
    <w:tbl>
      <w:tblPr>
        <w:tblW w:type="auto" w:w="0"/>
        <w:jc w:val="center"/>
        <w:tblLayout w:type="autofit"/>
        <w:tblLook w:firstColumn="1" w:firstRow="1" w:lastColumn="0" w:lastRow="0" w:noHBand="0" w:noVBand="1" w:val="04A0"/>
      </w:tblPr>
      <w:tblGrid>
        <w:gridCol w:w="10166"/>
      </w:tblGrid>
      <w:tr>
        <w:tc>
          <w:tcPr>
            <w:tcW w:type="dxa" w:w="10166"/>
            <w:shd w:fill="F7F9FC"/>
            <w:tcMar>
              <w:top w:w="110" w:type="dxa"/>
              <w:start w:w="150" w:type="dxa"/>
              <w:bottom w:w="110" w:type="dxa"/>
              <w:end w:w="150" w:type="dxa"/>
            </w:tcMar>
          </w:tcPr>
          <w:p>
            <w:pPr>
              <w:jc w:val="center"/>
            </w:pPr>
            <w:r>
              <w:rPr>
                <w:rFonts w:ascii="Cambria Math" w:hAnsi="Cambria Math" w:eastAsia="Cambria Math"/>
                <w:color w:val="173A63"/>
                <w:sz w:val="23"/>
              </w:rPr>
              <w:t>B(α_M) = α_M - 2ln cosh(α_M/2)</w:t>
            </w:r>
          </w:p>
        </w:tc>
      </w:tr>
    </w:tbl>
    <w:p>
      <w:pPr>
        <w:spacing w:after="0"/>
      </w:pPr>
    </w:p>
    <w:p>
      <w:r>
        <w:t>To first weak-field order B≈α_M, but the logarithmic correction is required for exact Schwarzschild geometry in isotropic coordinates.</w:t>
      </w:r>
    </w:p>
    <w:p>
      <w:pPr>
        <w:pStyle w:val="Heading2"/>
      </w:pPr>
      <w:r>
        <w:t>3.2 Exact interior star</w:t>
      </w:r>
    </w:p>
    <w:p>
      <w:r>
        <w:t>The computation reconstructs a constant-density relativistic star with compactness C=2GM/(Rc²)=0.30. The standard interior solution supplies the exact source and metric; the registered amplitude response α_L=(r/u)α_M then uniquely recovers the bubble number-density mode:</w:t>
      </w:r>
    </w:p>
    <w:tbl>
      <w:tblPr>
        <w:tblW w:type="auto" w:w="0"/>
        <w:jc w:val="center"/>
        <w:tblLayout w:type="autofit"/>
        <w:tblLook w:firstColumn="1" w:firstRow="1" w:lastColumn="0" w:lastRow="0" w:noHBand="0" w:noVBand="1" w:val="04A0"/>
      </w:tblPr>
      <w:tblGrid>
        <w:gridCol w:w="10166"/>
      </w:tblGrid>
      <w:tr>
        <w:tc>
          <w:tcPr>
            <w:tcW w:type="dxa" w:w="10166"/>
            <w:shd w:fill="F7F9FC"/>
            <w:tcMar>
              <w:top w:w="110" w:type="dxa"/>
              <w:start w:w="150" w:type="dxa"/>
              <w:bottom w:w="110" w:type="dxa"/>
              <w:end w:w="150" w:type="dxa"/>
            </w:tcMar>
          </w:tcPr>
          <w:p>
            <w:pPr>
              <w:jc w:val="center"/>
            </w:pPr>
            <w:r>
              <w:rPr>
                <w:rFonts w:ascii="Cambria Math" w:hAnsi="Cambria Math" w:eastAsia="Cambria Math"/>
                <w:color w:val="173A63"/>
                <w:sz w:val="23"/>
              </w:rPr>
              <w:t>α_L=(r/u)α_M,     ν=3(B-α_L),     n/n₀=e^ν</w:t>
            </w:r>
          </w:p>
        </w:tc>
      </w:tr>
    </w:tbl>
    <w:p>
      <w:pPr>
        <w:spacing w:after="0"/>
      </w:pPr>
    </w:p>
    <w:p>
      <w:r>
        <w:drawing>
          <wp:inline xmlns:a="http://schemas.openxmlformats.org/drawingml/2006/main" xmlns:pic="http://schemas.openxmlformats.org/drawingml/2006/picture">
            <wp:extent cx="6126480" cy="3880104"/>
            <wp:docPr id="4" name="Picture 4"/>
            <wp:cNvGraphicFramePr>
              <a:graphicFrameLocks noChangeAspect="1"/>
            </wp:cNvGraphicFramePr>
            <a:graphic>
              <a:graphicData uri="http://schemas.openxmlformats.org/drawingml/2006/picture">
                <pic:pic>
                  <pic:nvPicPr>
                    <pic:cNvPr id="0" name="bubble_field_source_profiles.png"/>
                    <pic:cNvPicPr/>
                  </pic:nvPicPr>
                  <pic:blipFill>
                    <a:blip r:embed="rId14"/>
                    <a:stretch>
                      <a:fillRect/>
                    </a:stretch>
                  </pic:blipFill>
                  <pic:spPr>
                    <a:xfrm>
                      <a:off x="0" y="0"/>
                      <a:ext cx="6126480" cy="3880104"/>
                    </a:xfrm>
                    <a:prstGeom prst="rect"/>
                  </pic:spPr>
                </pic:pic>
              </a:graphicData>
            </a:graphic>
          </wp:inline>
        </w:drawing>
      </w:r>
    </w:p>
    <w:p>
      <w:pPr>
        <w:pStyle w:val="Caption"/>
        <w:jc w:val="center"/>
      </w:pPr>
      <w:r>
        <w:rPr>
          <w:rFonts w:ascii="Aptos" w:hAnsi="Aptos" w:eastAsia="Aptos"/>
          <w:i/>
          <w:color w:val="5F6B76"/>
          <w:sz w:val="18"/>
        </w:rPr>
        <w:t>Figure 4. Exact constant-density star decoded into clock, light-barrier, number-density, and total packing variables. The central number-density enhancement is 1.4766 on the registered constitutive branch.</w:t>
      </w:r>
    </w:p>
    <w:p>
      <w:r>
        <w:t>The numerical Einstein-equation residuals over the well-conditioned interior are below 3.2×10⁻⁴ in the dimensionless test, with median errors near 10⁻⁷ or smaller. This is a genuine source-sector solution in the spherical scalar class—not merely a plot of a supplied Newtonian potential.</w:t>
      </w:r>
    </w:p>
    <w:p>
      <w:pPr>
        <w:pStyle w:val="Heading2"/>
      </w:pPr>
      <w:r>
        <w:t>3.3 Exact identifiability boundary</w:t>
      </w:r>
    </w:p>
    <w:p>
      <w:r>
        <w:t>The metric sees B=α_L+ν/3. Therefore no gravitational measurement can separate α_L from ν by itself. This is a rank-one identifiability theorem: infinitely many pairs (α_L,ν) generate the same geometry. The response ratio r/u is the current constitutive closure, and it is the next microscopic theorem to prove or falsify.</w:t>
      </w:r>
    </w:p>
    <w:p>
      <w:pPr>
        <w:pStyle w:val="Heading1"/>
        <w:pBdr>
          <w:bottom w:val="single" w:sz="8" w:space="4" w:color="173A63"/>
        </w:pBdr>
      </w:pPr>
      <w:r>
        <w:t>The cell, the UV/IR bridge, and the weak scale</w:t>
      </w:r>
    </w:p>
    <w:p>
      <w:r>
        <w:t>On the reproducibility cosmological branch, the candidate G closes the Planck length without importing G as an input. The geometric-mean identities then generate a scale ladder:</w:t>
      </w:r>
    </w:p>
    <w:tbl>
      <w:tblPr>
        <w:tblW w:type="auto" w:w="0"/>
        <w:jc w:val="center"/>
        <w:tblLayout w:type="autofit"/>
        <w:tblLook w:firstColumn="1" w:firstRow="1" w:lastColumn="0" w:lastRow="0" w:noHBand="0" w:noVBand="1" w:val="04A0"/>
      </w:tblPr>
      <w:tblGrid>
        <w:gridCol w:w="10166"/>
      </w:tblGrid>
      <w:tr>
        <w:tc>
          <w:tcPr>
            <w:tcW w:type="dxa" w:w="10166"/>
            <w:shd w:fill="F7F9FC"/>
            <w:tcMar>
              <w:top w:w="110" w:type="dxa"/>
              <w:start w:w="150" w:type="dxa"/>
              <w:bottom w:w="110" w:type="dxa"/>
              <w:end w:w="150" w:type="dxa"/>
            </w:tcMar>
          </w:tcPr>
          <w:p>
            <w:pPr>
              <w:jc w:val="center"/>
            </w:pPr>
            <w:r>
              <w:rPr>
                <w:rFonts w:ascii="Cambria Math" w:hAnsi="Cambria Math" w:eastAsia="Cambria Math"/>
                <w:color w:val="173A63"/>
                <w:sz w:val="23"/>
              </w:rPr>
              <w:t>ℓ_P = √(ℏG/c³),     L_Λ = √(8π/Λ),     a₀ = √(ℓ_P L_Λ)</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F7F9FC"/>
            <w:tcMar>
              <w:top w:w="110" w:type="dxa"/>
              <w:start w:w="150" w:type="dxa"/>
              <w:bottom w:w="110" w:type="dxa"/>
              <w:end w:w="150" w:type="dxa"/>
            </w:tcMar>
          </w:tcPr>
          <w:p>
            <w:pPr>
              <w:jc w:val="center"/>
            </w:pPr>
            <w:r>
              <w:rPr>
                <w:rFonts w:ascii="Cambria Math" w:hAnsi="Cambria Math" w:eastAsia="Cambria Math"/>
                <w:color w:val="173A63"/>
                <w:sz w:val="23"/>
              </w:rPr>
              <w:t>E₀ = ℏc/a₀,     E_P = ℏc/ℓ_P,     E_× = √(E_P E₀)</w:t>
            </w:r>
          </w:p>
        </w:tc>
      </w:tr>
    </w:tbl>
    <w:p>
      <w:pPr>
        <w:spacing w:after="0"/>
      </w:pP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73A63"/>
          </w:tcPr>
          <w:p>
            <w:r>
              <w:rPr>
                <w:rFonts w:ascii="Aptos" w:hAnsi="Aptos" w:eastAsia="Aptos"/>
                <w:b/>
                <w:color w:val="FFFFFF"/>
                <w:sz w:val="18"/>
              </w:rPr>
              <w:t>Quantity</w:t>
            </w:r>
          </w:p>
        </w:tc>
        <w:tc>
          <w:tcPr>
            <w:tcW w:type="dxa" w:w="3389"/>
            <w:shd w:fill="173A63"/>
          </w:tcPr>
          <w:p>
            <w:r>
              <w:rPr>
                <w:rFonts w:ascii="Aptos" w:hAnsi="Aptos" w:eastAsia="Aptos"/>
                <w:b/>
                <w:color w:val="FFFFFF"/>
                <w:sz w:val="18"/>
              </w:rPr>
              <w:t>Expression / role</w:t>
            </w:r>
          </w:p>
        </w:tc>
        <w:tc>
          <w:tcPr>
            <w:tcW w:type="dxa" w:w="3389"/>
            <w:shd w:fill="173A63"/>
          </w:tcPr>
          <w:p>
            <w:r>
              <w:rPr>
                <w:rFonts w:ascii="Aptos" w:hAnsi="Aptos" w:eastAsia="Aptos"/>
                <w:b/>
                <w:color w:val="FFFFFF"/>
                <w:sz w:val="18"/>
              </w:rPr>
              <w:t>Value</w:t>
            </w:r>
          </w:p>
        </w:tc>
      </w:tr>
      <w:tr>
        <w:tc>
          <w:tcPr>
            <w:tcW w:type="dxa" w:w="3389"/>
            <w:tcMar>
              <w:top w:w="80" w:type="dxa"/>
              <w:start w:w="100" w:type="dxa"/>
              <w:bottom w:w="80" w:type="dxa"/>
              <w:end w:w="100" w:type="dxa"/>
            </w:tcMar>
          </w:tcPr>
          <w:p>
            <w:r>
              <w:rPr>
                <w:rFonts w:ascii="Aptos" w:hAnsi="Aptos" w:eastAsia="Aptos"/>
                <w:sz w:val="18"/>
              </w:rPr>
              <w:t>Whole vacuum cell</w:t>
            </w:r>
          </w:p>
        </w:tc>
        <w:tc>
          <w:tcPr>
            <w:tcW w:type="dxa" w:w="3389"/>
            <w:tcMar>
              <w:top w:w="80" w:type="dxa"/>
              <w:start w:w="100" w:type="dxa"/>
              <w:bottom w:w="80" w:type="dxa"/>
              <w:end w:w="100" w:type="dxa"/>
            </w:tcMar>
          </w:tcPr>
          <w:p>
            <w:r>
              <w:rPr>
                <w:rFonts w:ascii="Aptos" w:hAnsi="Aptos" w:eastAsia="Aptos"/>
                <w:sz w:val="18"/>
              </w:rPr>
              <w:t>√(ℓP LΛ)</w:t>
            </w:r>
          </w:p>
        </w:tc>
        <w:tc>
          <w:tcPr>
            <w:tcW w:type="dxa" w:w="3389"/>
            <w:tcMar>
              <w:top w:w="80" w:type="dxa"/>
              <w:start w:w="100" w:type="dxa"/>
              <w:bottom w:w="80" w:type="dxa"/>
              <w:end w:w="100" w:type="dxa"/>
            </w:tcMar>
          </w:tcPr>
          <w:p>
            <w:r>
              <w:rPr>
                <w:rFonts w:ascii="Aptos" w:hAnsi="Aptos" w:eastAsia="Aptos"/>
                <w:sz w:val="18"/>
              </w:rPr>
              <w:t>87.7513 µm</w:t>
            </w:r>
          </w:p>
        </w:tc>
      </w:tr>
      <w:tr>
        <w:tc>
          <w:tcPr>
            <w:tcW w:type="dxa" w:w="3389"/>
            <w:tcMar>
              <w:top w:w="80" w:type="dxa"/>
              <w:start w:w="100" w:type="dxa"/>
              <w:bottom w:w="80" w:type="dxa"/>
              <w:end w:w="100" w:type="dxa"/>
            </w:tcMar>
          </w:tcPr>
          <w:p>
            <w:r>
              <w:rPr>
                <w:rFonts w:ascii="Aptos" w:hAnsi="Aptos" w:eastAsia="Aptos"/>
                <w:sz w:val="18"/>
              </w:rPr>
              <w:t>Matter-fraction cell</w:t>
            </w:r>
          </w:p>
        </w:tc>
        <w:tc>
          <w:tcPr>
            <w:tcW w:type="dxa" w:w="3389"/>
            <w:tcMar>
              <w:top w:w="80" w:type="dxa"/>
              <w:start w:w="100" w:type="dxa"/>
              <w:bottom w:w="80" w:type="dxa"/>
              <w:end w:w="100" w:type="dxa"/>
            </w:tcMar>
          </w:tcPr>
          <w:p>
            <w:r>
              <w:rPr>
                <w:rFonts w:ascii="Aptos" w:hAnsi="Aptos" w:eastAsia="Aptos"/>
                <w:sz w:val="18"/>
              </w:rPr>
              <w:t>W_M^{1/4} a₀</w:t>
            </w:r>
          </w:p>
        </w:tc>
        <w:tc>
          <w:tcPr>
            <w:tcW w:type="dxa" w:w="3389"/>
            <w:tcMar>
              <w:top w:w="80" w:type="dxa"/>
              <w:start w:w="100" w:type="dxa"/>
              <w:bottom w:w="80" w:type="dxa"/>
              <w:end w:w="100" w:type="dxa"/>
            </w:tcMar>
          </w:tcPr>
          <w:p>
            <w:r>
              <w:rPr>
                <w:rFonts w:ascii="Aptos" w:hAnsi="Aptos" w:eastAsia="Aptos"/>
                <w:sz w:val="18"/>
              </w:rPr>
              <w:t>48.7804 µm</w:t>
            </w:r>
          </w:p>
        </w:tc>
      </w:tr>
      <w:tr>
        <w:tc>
          <w:tcPr>
            <w:tcW w:type="dxa" w:w="3389"/>
            <w:tcMar>
              <w:top w:w="80" w:type="dxa"/>
              <w:start w:w="100" w:type="dxa"/>
              <w:bottom w:w="80" w:type="dxa"/>
              <w:end w:w="100" w:type="dxa"/>
            </w:tcMar>
          </w:tcPr>
          <w:p>
            <w:r>
              <w:rPr>
                <w:rFonts w:ascii="Aptos" w:hAnsi="Aptos" w:eastAsia="Aptos"/>
                <w:sz w:val="18"/>
              </w:rPr>
              <w:t>Vacuum cell energy</w:t>
            </w:r>
          </w:p>
        </w:tc>
        <w:tc>
          <w:tcPr>
            <w:tcW w:type="dxa" w:w="3389"/>
            <w:tcMar>
              <w:top w:w="80" w:type="dxa"/>
              <w:start w:w="100" w:type="dxa"/>
              <w:bottom w:w="80" w:type="dxa"/>
              <w:end w:w="100" w:type="dxa"/>
            </w:tcMar>
          </w:tcPr>
          <w:p>
            <w:r>
              <w:rPr>
                <w:rFonts w:ascii="Aptos" w:hAnsi="Aptos" w:eastAsia="Aptos"/>
                <w:sz w:val="18"/>
              </w:rPr>
              <w:t>ℏc/a₀</w:t>
            </w:r>
          </w:p>
        </w:tc>
        <w:tc>
          <w:tcPr>
            <w:tcW w:type="dxa" w:w="3389"/>
            <w:tcMar>
              <w:top w:w="80" w:type="dxa"/>
              <w:start w:w="100" w:type="dxa"/>
              <w:bottom w:w="80" w:type="dxa"/>
              <w:end w:w="100" w:type="dxa"/>
            </w:tcMar>
          </w:tcPr>
          <w:p>
            <w:r>
              <w:rPr>
                <w:rFonts w:ascii="Aptos" w:hAnsi="Aptos" w:eastAsia="Aptos"/>
                <w:sz w:val="18"/>
              </w:rPr>
              <w:t>2.2487 meV</w:t>
            </w:r>
          </w:p>
        </w:tc>
      </w:tr>
      <w:tr>
        <w:tc>
          <w:tcPr>
            <w:tcW w:type="dxa" w:w="3389"/>
            <w:tcMar>
              <w:top w:w="80" w:type="dxa"/>
              <w:start w:w="100" w:type="dxa"/>
              <w:bottom w:w="80" w:type="dxa"/>
              <w:end w:w="100" w:type="dxa"/>
            </w:tcMar>
          </w:tcPr>
          <w:p>
            <w:r>
              <w:rPr>
                <w:rFonts w:ascii="Aptos" w:hAnsi="Aptos" w:eastAsia="Aptos"/>
                <w:sz w:val="18"/>
              </w:rPr>
              <w:t>UV/IR bridge</w:t>
            </w:r>
          </w:p>
        </w:tc>
        <w:tc>
          <w:tcPr>
            <w:tcW w:type="dxa" w:w="3389"/>
            <w:tcMar>
              <w:top w:w="80" w:type="dxa"/>
              <w:start w:w="100" w:type="dxa"/>
              <w:bottom w:w="80" w:type="dxa"/>
              <w:end w:w="100" w:type="dxa"/>
            </w:tcMar>
          </w:tcPr>
          <w:p>
            <w:r>
              <w:rPr>
                <w:rFonts w:ascii="Aptos" w:hAnsi="Aptos" w:eastAsia="Aptos"/>
                <w:sz w:val="18"/>
              </w:rPr>
              <w:t>√(EP E₀)</w:t>
            </w:r>
          </w:p>
        </w:tc>
        <w:tc>
          <w:tcPr>
            <w:tcW w:type="dxa" w:w="3389"/>
            <w:tcMar>
              <w:top w:w="80" w:type="dxa"/>
              <w:start w:w="100" w:type="dxa"/>
              <w:bottom w:w="80" w:type="dxa"/>
              <w:end w:w="100" w:type="dxa"/>
            </w:tcMar>
          </w:tcPr>
          <w:p>
            <w:r>
              <w:rPr>
                <w:rFonts w:ascii="Aptos" w:hAnsi="Aptos" w:eastAsia="Aptos"/>
                <w:sz w:val="18"/>
              </w:rPr>
              <w:t>5.2416 TeV</w:t>
            </w:r>
          </w:p>
        </w:tc>
      </w:tr>
    </w:tbl>
    <w:p>
      <w:r>
        <w:t>The simplest registered weak-scale projection treats r²/2 as the localized routed matter fraction and √(1-r³) as the retained amplitude of one complete record cycle:</w:t>
      </w:r>
    </w:p>
    <w:tbl>
      <w:tblPr>
        <w:tblW w:type="auto" w:w="0"/>
        <w:jc w:val="center"/>
        <w:tblLayout w:type="autofit"/>
        <w:tblLook w:firstColumn="1" w:firstRow="1" w:lastColumn="0" w:lastRow="0" w:noHBand="0" w:noVBand="1" w:val="04A0"/>
      </w:tblPr>
      <w:tblGrid>
        <w:gridCol w:w="10166"/>
      </w:tblGrid>
      <w:tr>
        <w:tc>
          <w:tcPr>
            <w:tcW w:type="dxa" w:w="10166"/>
            <w:shd w:fill="F7F9FC"/>
            <w:tcMar>
              <w:top w:w="110" w:type="dxa"/>
              <w:start w:w="150" w:type="dxa"/>
              <w:bottom w:w="110" w:type="dxa"/>
              <w:end w:w="150" w:type="dxa"/>
            </w:tcMar>
          </w:tcPr>
          <w:p>
            <w:pPr>
              <w:jc w:val="center"/>
            </w:pPr>
            <w:r>
              <w:rPr>
                <w:rFonts w:ascii="Cambria Math" w:hAnsi="Cambria Math" w:eastAsia="Cambria Math"/>
                <w:color w:val="173A63"/>
                <w:sz w:val="23"/>
              </w:rPr>
              <w:t>v_UF = (r²/2)√(1-r³) E_× = 246.545 GeV</w:t>
            </w:r>
          </w:p>
        </w:tc>
      </w:tr>
    </w:tbl>
    <w:p>
      <w:pPr>
        <w:spacing w:after="0"/>
      </w:pPr>
    </w:p>
    <w:p>
      <w:r>
        <w:t>This differs from the standard electroweak VEV reference by +0.132%. It closes a scale, not the gauge theory: W and Z masses still require the SU(2) and U(1) coupling normalizations and the weak mixing angle.</w:t>
      </w:r>
    </w:p>
    <w:p>
      <w:r>
        <w:drawing>
          <wp:inline xmlns:a="http://schemas.openxmlformats.org/drawingml/2006/main" xmlns:pic="http://schemas.openxmlformats.org/drawingml/2006/picture">
            <wp:extent cx="6080760" cy="3716020"/>
            <wp:docPr id="5" name="Picture 5"/>
            <wp:cNvGraphicFramePr>
              <a:graphicFrameLocks noChangeAspect="1"/>
            </wp:cNvGraphicFramePr>
            <a:graphic>
              <a:graphicData uri="http://schemas.openxmlformats.org/drawingml/2006/picture">
                <pic:pic>
                  <pic:nvPicPr>
                    <pic:cNvPr id="0" name="bubble_field_scale_ladder.png"/>
                    <pic:cNvPicPr/>
                  </pic:nvPicPr>
                  <pic:blipFill>
                    <a:blip r:embed="rId15"/>
                    <a:stretch>
                      <a:fillRect/>
                    </a:stretch>
                  </pic:blipFill>
                  <pic:spPr>
                    <a:xfrm>
                      <a:off x="0" y="0"/>
                      <a:ext cx="6080760" cy="3716020"/>
                    </a:xfrm>
                    <a:prstGeom prst="rect"/>
                  </pic:spPr>
                </pic:pic>
              </a:graphicData>
            </a:graphic>
          </wp:inline>
        </w:drawing>
      </w:r>
    </w:p>
    <w:p>
      <w:pPr>
        <w:pStyle w:val="Caption"/>
        <w:jc w:val="center"/>
      </w:pPr>
      <w:r>
        <w:rPr>
          <w:rFonts w:ascii="Aptos" w:hAnsi="Aptos" w:eastAsia="Aptos"/>
          <w:i/>
          <w:color w:val="5F6B76"/>
          <w:sz w:val="18"/>
        </w:rPr>
        <w:t>Figure 5. Candidate hierarchy from the vacuum cell through the localized masses and weak scale to the Planck scale.</w:t>
      </w:r>
    </w:p>
    <w:p>
      <w:r>
        <w:br w:type="page"/>
      </w:r>
    </w:p>
    <w:p>
      <w:pPr>
        <w:pStyle w:val="Heading1"/>
        <w:pBdr>
          <w:bottom w:val="single" w:sz="8" w:space="4" w:color="173A63"/>
        </w:pBdr>
      </w:pPr>
      <w:r>
        <w:t>Charged leptons: first absolute spectrum candidate</w:t>
      </w:r>
    </w:p>
    <w:p>
      <w:r>
        <w:t>The previous corpus contained dimensionless generation-depth ratios but lacked an absolute scale. The weak-scale bridge now supplies that dimensional anchor. The following spectrum is registered as a candidate—not yet promoted to a theorem:</w:t>
      </w:r>
    </w:p>
    <w:tbl>
      <w:tblPr>
        <w:tblW w:type="auto" w:w="0"/>
        <w:jc w:val="center"/>
        <w:tblLayout w:type="autofit"/>
        <w:tblLook w:firstColumn="1" w:firstRow="1" w:lastColumn="0" w:lastRow="0" w:noHBand="0" w:noVBand="1" w:val="04A0"/>
      </w:tblPr>
      <w:tblGrid>
        <w:gridCol w:w="10166"/>
      </w:tblGrid>
      <w:tr>
        <w:tc>
          <w:tcPr>
            <w:tcW w:type="dxa" w:w="10166"/>
            <w:shd w:fill="F7F9FC"/>
            <w:tcMar>
              <w:top w:w="110" w:type="dxa"/>
              <w:start w:w="150" w:type="dxa"/>
              <w:bottom w:w="110" w:type="dxa"/>
              <w:end w:w="150" w:type="dxa"/>
            </w:tcMar>
          </w:tcPr>
          <w:p>
            <w:pPr>
              <w:jc w:val="center"/>
            </w:pPr>
            <w:r>
              <w:rPr>
                <w:rFonts w:ascii="Cambria Math" w:hAnsi="Cambria Math" w:eastAsia="Cambria Math"/>
                <w:color w:val="173A63"/>
                <w:sz w:val="23"/>
              </w:rPr>
              <w:t>m_e = v r¹¹(1-r/2)</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F7F9FC"/>
            <w:tcMar>
              <w:top w:w="110" w:type="dxa"/>
              <w:start w:w="150" w:type="dxa"/>
              <w:bottom w:w="110" w:type="dxa"/>
              <w:end w:w="150" w:type="dxa"/>
            </w:tcMar>
          </w:tcPr>
          <w:p>
            <w:pPr>
              <w:jc w:val="center"/>
            </w:pPr>
            <w:r>
              <w:rPr>
                <w:rFonts w:ascii="Cambria Math" w:hAnsi="Cambria Math" w:eastAsia="Cambria Math"/>
                <w:color w:val="173A63"/>
                <w:sz w:val="23"/>
              </w:rPr>
              <w:t>m_μ = m_e φ¹¹(1+r³)</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F7F9FC"/>
            <w:tcMar>
              <w:top w:w="110" w:type="dxa"/>
              <w:start w:w="150" w:type="dxa"/>
              <w:bottom w:w="110" w:type="dxa"/>
              <w:end w:w="150" w:type="dxa"/>
            </w:tcMar>
          </w:tcPr>
          <w:p>
            <w:pPr>
              <w:jc w:val="center"/>
            </w:pPr>
            <w:r>
              <w:rPr>
                <w:rFonts w:ascii="Cambria Math" w:hAnsi="Cambria Math" w:eastAsia="Cambria Math"/>
                <w:color w:val="173A63"/>
                <w:sz w:val="23"/>
              </w:rPr>
              <w:t>m_τ = m_e φ¹⁷(1-r³)</w:t>
            </w:r>
          </w:p>
        </w:tc>
      </w:tr>
    </w:tbl>
    <w:p>
      <w:pPr>
        <w:spacing w:after="0"/>
      </w:pP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173A63"/>
          </w:tcPr>
          <w:p>
            <w:r>
              <w:rPr>
                <w:rFonts w:ascii="Aptos" w:hAnsi="Aptos" w:eastAsia="Aptos"/>
                <w:b/>
                <w:color w:val="FFFFFF"/>
                <w:sz w:val="18"/>
              </w:rPr>
              <w:t>Lepton</w:t>
            </w:r>
          </w:p>
        </w:tc>
        <w:tc>
          <w:tcPr>
            <w:tcW w:type="dxa" w:w="2541"/>
            <w:shd w:fill="173A63"/>
          </w:tcPr>
          <w:p>
            <w:r>
              <w:rPr>
                <w:rFonts w:ascii="Aptos" w:hAnsi="Aptos" w:eastAsia="Aptos"/>
                <w:b/>
                <w:color w:val="FFFFFF"/>
                <w:sz w:val="18"/>
              </w:rPr>
              <w:t>Candidate (MeV)</w:t>
            </w:r>
          </w:p>
        </w:tc>
        <w:tc>
          <w:tcPr>
            <w:tcW w:type="dxa" w:w="2541"/>
            <w:shd w:fill="173A63"/>
          </w:tcPr>
          <w:p>
            <w:r>
              <w:rPr>
                <w:rFonts w:ascii="Aptos" w:hAnsi="Aptos" w:eastAsia="Aptos"/>
                <w:b/>
                <w:color w:val="FFFFFF"/>
                <w:sz w:val="18"/>
              </w:rPr>
              <w:t>Reference (MeV)</w:t>
            </w:r>
          </w:p>
        </w:tc>
        <w:tc>
          <w:tcPr>
            <w:tcW w:type="dxa" w:w="2541"/>
            <w:shd w:fill="173A63"/>
          </w:tcPr>
          <w:p>
            <w:r>
              <w:rPr>
                <w:rFonts w:ascii="Aptos" w:hAnsi="Aptos" w:eastAsia="Aptos"/>
                <w:b/>
                <w:color w:val="FFFFFF"/>
                <w:sz w:val="18"/>
              </w:rPr>
              <w:t>Relative error</w:t>
            </w:r>
          </w:p>
        </w:tc>
      </w:tr>
      <w:tr>
        <w:tc>
          <w:tcPr>
            <w:tcW w:type="dxa" w:w="2541"/>
            <w:tcMar>
              <w:top w:w="80" w:type="dxa"/>
              <w:start w:w="100" w:type="dxa"/>
              <w:bottom w:w="80" w:type="dxa"/>
              <w:end w:w="100" w:type="dxa"/>
            </w:tcMar>
          </w:tcPr>
          <w:p>
            <w:r>
              <w:rPr>
                <w:rFonts w:ascii="Aptos" w:hAnsi="Aptos" w:eastAsia="Aptos"/>
                <w:sz w:val="18"/>
              </w:rPr>
              <w:t>Electron</w:t>
            </w:r>
          </w:p>
        </w:tc>
        <w:tc>
          <w:tcPr>
            <w:tcW w:type="dxa" w:w="2541"/>
            <w:tcMar>
              <w:top w:w="80" w:type="dxa"/>
              <w:start w:w="100" w:type="dxa"/>
              <w:bottom w:w="80" w:type="dxa"/>
              <w:end w:w="100" w:type="dxa"/>
            </w:tcMar>
          </w:tcPr>
          <w:p>
            <w:r>
              <w:rPr>
                <w:rFonts w:ascii="Aptos" w:hAnsi="Aptos" w:eastAsia="Aptos"/>
                <w:sz w:val="18"/>
              </w:rPr>
              <w:t>0.511460267</w:t>
            </w:r>
          </w:p>
        </w:tc>
        <w:tc>
          <w:tcPr>
            <w:tcW w:type="dxa" w:w="2541"/>
            <w:tcMar>
              <w:top w:w="80" w:type="dxa"/>
              <w:start w:w="100" w:type="dxa"/>
              <w:bottom w:w="80" w:type="dxa"/>
              <w:end w:w="100" w:type="dxa"/>
            </w:tcMar>
          </w:tcPr>
          <w:p>
            <w:r>
              <w:rPr>
                <w:rFonts w:ascii="Aptos" w:hAnsi="Aptos" w:eastAsia="Aptos"/>
                <w:sz w:val="18"/>
              </w:rPr>
              <w:t>0.510998951</w:t>
            </w:r>
          </w:p>
        </w:tc>
        <w:tc>
          <w:tcPr>
            <w:tcW w:type="dxa" w:w="2541"/>
            <w:tcMar>
              <w:top w:w="80" w:type="dxa"/>
              <w:start w:w="100" w:type="dxa"/>
              <w:bottom w:w="80" w:type="dxa"/>
              <w:end w:w="100" w:type="dxa"/>
            </w:tcMar>
          </w:tcPr>
          <w:p>
            <w:r>
              <w:rPr>
                <w:rFonts w:ascii="Aptos" w:hAnsi="Aptos" w:eastAsia="Aptos"/>
                <w:sz w:val="18"/>
              </w:rPr>
              <w:t>+0.090%</w:t>
            </w:r>
          </w:p>
        </w:tc>
      </w:tr>
      <w:tr>
        <w:tc>
          <w:tcPr>
            <w:tcW w:type="dxa" w:w="2541"/>
            <w:tcMar>
              <w:top w:w="80" w:type="dxa"/>
              <w:start w:w="100" w:type="dxa"/>
              <w:bottom w:w="80" w:type="dxa"/>
              <w:end w:w="100" w:type="dxa"/>
            </w:tcMar>
          </w:tcPr>
          <w:p>
            <w:r>
              <w:rPr>
                <w:rFonts w:ascii="Aptos" w:hAnsi="Aptos" w:eastAsia="Aptos"/>
                <w:sz w:val="18"/>
              </w:rPr>
              <w:t>Muon</w:t>
            </w:r>
          </w:p>
        </w:tc>
        <w:tc>
          <w:tcPr>
            <w:tcW w:type="dxa" w:w="2541"/>
            <w:tcMar>
              <w:top w:w="80" w:type="dxa"/>
              <w:start w:w="100" w:type="dxa"/>
              <w:bottom w:w="80" w:type="dxa"/>
              <w:end w:w="100" w:type="dxa"/>
            </w:tcMar>
          </w:tcPr>
          <w:p>
            <w:r>
              <w:rPr>
                <w:rFonts w:ascii="Aptos" w:hAnsi="Aptos" w:eastAsia="Aptos"/>
                <w:sz w:val="18"/>
              </w:rPr>
              <w:t>104.786631</w:t>
            </w:r>
          </w:p>
        </w:tc>
        <w:tc>
          <w:tcPr>
            <w:tcW w:type="dxa" w:w="2541"/>
            <w:tcMar>
              <w:top w:w="80" w:type="dxa"/>
              <w:start w:w="100" w:type="dxa"/>
              <w:bottom w:w="80" w:type="dxa"/>
              <w:end w:w="100" w:type="dxa"/>
            </w:tcMar>
          </w:tcPr>
          <w:p>
            <w:r>
              <w:rPr>
                <w:rFonts w:ascii="Aptos" w:hAnsi="Aptos" w:eastAsia="Aptos"/>
                <w:sz w:val="18"/>
              </w:rPr>
              <w:t>105.658376</w:t>
            </w:r>
          </w:p>
        </w:tc>
        <w:tc>
          <w:tcPr>
            <w:tcW w:type="dxa" w:w="2541"/>
            <w:tcMar>
              <w:top w:w="80" w:type="dxa"/>
              <w:start w:w="100" w:type="dxa"/>
              <w:bottom w:w="80" w:type="dxa"/>
              <w:end w:w="100" w:type="dxa"/>
            </w:tcMar>
          </w:tcPr>
          <w:p>
            <w:r>
              <w:rPr>
                <w:rFonts w:ascii="Aptos" w:hAnsi="Aptos" w:eastAsia="Aptos"/>
                <w:sz w:val="18"/>
              </w:rPr>
              <w:t>-0.825%</w:t>
            </w:r>
          </w:p>
        </w:tc>
      </w:tr>
      <w:tr>
        <w:tc>
          <w:tcPr>
            <w:tcW w:type="dxa" w:w="2541"/>
            <w:tcMar>
              <w:top w:w="80" w:type="dxa"/>
              <w:start w:w="100" w:type="dxa"/>
              <w:bottom w:w="80" w:type="dxa"/>
              <w:end w:w="100" w:type="dxa"/>
            </w:tcMar>
          </w:tcPr>
          <w:p>
            <w:r>
              <w:rPr>
                <w:rFonts w:ascii="Aptos" w:hAnsi="Aptos" w:eastAsia="Aptos"/>
                <w:sz w:val="18"/>
              </w:rPr>
              <w:t>Tau</w:t>
            </w:r>
          </w:p>
        </w:tc>
        <w:tc>
          <w:tcPr>
            <w:tcW w:type="dxa" w:w="2541"/>
            <w:tcMar>
              <w:top w:w="80" w:type="dxa"/>
              <w:start w:w="100" w:type="dxa"/>
              <w:bottom w:w="80" w:type="dxa"/>
              <w:end w:w="100" w:type="dxa"/>
            </w:tcMar>
          </w:tcPr>
          <w:p>
            <w:r>
              <w:rPr>
                <w:rFonts w:ascii="Aptos" w:hAnsi="Aptos" w:eastAsia="Aptos"/>
                <w:sz w:val="18"/>
              </w:rPr>
              <w:t>1772.52971</w:t>
            </w:r>
          </w:p>
        </w:tc>
        <w:tc>
          <w:tcPr>
            <w:tcW w:type="dxa" w:w="2541"/>
            <w:tcMar>
              <w:top w:w="80" w:type="dxa"/>
              <w:start w:w="100" w:type="dxa"/>
              <w:bottom w:w="80" w:type="dxa"/>
              <w:end w:w="100" w:type="dxa"/>
            </w:tcMar>
          </w:tcPr>
          <w:p>
            <w:r>
              <w:rPr>
                <w:rFonts w:ascii="Aptos" w:hAnsi="Aptos" w:eastAsia="Aptos"/>
                <w:sz w:val="18"/>
              </w:rPr>
              <w:t>1776.86</w:t>
            </w:r>
          </w:p>
        </w:tc>
        <w:tc>
          <w:tcPr>
            <w:tcW w:type="dxa" w:w="2541"/>
            <w:tcMar>
              <w:top w:w="80" w:type="dxa"/>
              <w:start w:w="100" w:type="dxa"/>
              <w:bottom w:w="80" w:type="dxa"/>
              <w:end w:w="100" w:type="dxa"/>
            </w:tcMar>
          </w:tcPr>
          <w:p>
            <w:r>
              <w:rPr>
                <w:rFonts w:ascii="Aptos" w:hAnsi="Aptos" w:eastAsia="Aptos"/>
                <w:sz w:val="18"/>
              </w:rPr>
              <w:t>-0.244%</w:t>
            </w:r>
          </w:p>
        </w:tc>
      </w:tr>
    </w:tbl>
    <w:p>
      <w:r>
        <w:drawing>
          <wp:inline xmlns:a="http://schemas.openxmlformats.org/drawingml/2006/main" xmlns:pic="http://schemas.openxmlformats.org/drawingml/2006/picture">
            <wp:extent cx="5257800" cy="3216536"/>
            <wp:docPr id="6" name="Picture 6"/>
            <wp:cNvGraphicFramePr>
              <a:graphicFrameLocks noChangeAspect="1"/>
            </wp:cNvGraphicFramePr>
            <a:graphic>
              <a:graphicData uri="http://schemas.openxmlformats.org/drawingml/2006/picture">
                <pic:pic>
                  <pic:nvPicPr>
                    <pic:cNvPr id="0" name="bubble_field_lepton_candidate.png"/>
                    <pic:cNvPicPr/>
                  </pic:nvPicPr>
                  <pic:blipFill>
                    <a:blip r:embed="rId16"/>
                    <a:stretch>
                      <a:fillRect/>
                    </a:stretch>
                  </pic:blipFill>
                  <pic:spPr>
                    <a:xfrm>
                      <a:off x="0" y="0"/>
                      <a:ext cx="5257800" cy="3216536"/>
                    </a:xfrm>
                    <a:prstGeom prst="rect"/>
                  </pic:spPr>
                </pic:pic>
              </a:graphicData>
            </a:graphic>
          </wp:inline>
        </w:drawing>
      </w:r>
    </w:p>
    <w:p>
      <w:pPr>
        <w:pStyle w:val="Caption"/>
        <w:jc w:val="center"/>
      </w:pPr>
      <w:r>
        <w:rPr>
          <w:rFonts w:ascii="Aptos" w:hAnsi="Aptos" w:eastAsia="Aptos"/>
          <w:i/>
          <w:color w:val="5F6B76"/>
          <w:sz w:val="18"/>
        </w:rPr>
        <w:t>Figure 6. Registered charged-lepton candidate compared with reference masses on a logarithmic scale.</w:t>
      </w:r>
    </w:p>
    <w:p>
      <w:r>
        <w:rPr>
          <w:rFonts w:ascii="Aptos" w:hAnsi="Aptos" w:eastAsia="Aptos"/>
          <w:b/>
          <w:color w:val="2B6C3D"/>
        </w:rPr>
        <w:t xml:space="preserve">What this achieves: </w:t>
      </w:r>
      <w:r>
        <w:rPr>
          <w:rFonts w:ascii="Aptos" w:hAnsi="Aptos" w:eastAsia="Aptos"/>
        </w:rPr>
        <w:t>the lepton problem is no longer dimensionally underdetermined; one absolute scale now produces all three candidates.</w:t>
      </w:r>
      <w:r>
        <w:rPr>
          <w:rFonts w:ascii="Aptos" w:hAnsi="Aptos" w:eastAsia="Aptos"/>
          <w:b/>
          <w:color w:val="9A6400"/>
        </w:rPr>
        <w:t xml:space="preserve"> What is still owed: </w:t>
      </w:r>
      <w:r>
        <w:rPr>
          <w:rFonts w:ascii="Aptos" w:hAnsi="Aptos" w:eastAsia="Aptos"/>
        </w:rPr>
        <w:t>a localized phase/winding mass operator whose eigenvalue multiplicities force the depths 11 and 17 and the two-sided electron factor. Until that operator exists, the table is a sharply registered spectrum hypothesis, not a derivation.</w:t>
      </w:r>
    </w:p>
    <w:p>
      <w:r>
        <w:br w:type="page"/>
      </w:r>
    </w:p>
    <w:p>
      <w:pPr>
        <w:pStyle w:val="Heading1"/>
        <w:pBdr>
          <w:bottom w:val="single" w:sz="8" w:space="4" w:color="173A63"/>
        </w:pBdr>
      </w:pPr>
      <w:r>
        <w:t>Range hierarchy and the confinement correction</w:t>
      </w:r>
    </w:p>
    <w:p>
      <w:r>
        <w:t>The qualitative range hierarchy becomes exact once the three channels are assigned quadratic response operators. The Green function, rather than a verbal label, determines the range.</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173A63"/>
          </w:tcPr>
          <w:p>
            <w:r>
              <w:rPr>
                <w:rFonts w:ascii="Aptos" w:hAnsi="Aptos" w:eastAsia="Aptos"/>
                <w:b/>
                <w:color w:val="FFFFFF"/>
                <w:sz w:val="17"/>
              </w:rPr>
              <w:t>Channel</w:t>
            </w:r>
          </w:p>
        </w:tc>
        <w:tc>
          <w:tcPr>
            <w:tcW w:type="dxa" w:w="2541"/>
            <w:shd w:fill="173A63"/>
          </w:tcPr>
          <w:p>
            <w:r>
              <w:rPr>
                <w:rFonts w:ascii="Aptos" w:hAnsi="Aptos" w:eastAsia="Aptos"/>
                <w:b/>
                <w:color w:val="FFFFFF"/>
                <w:sz w:val="17"/>
              </w:rPr>
              <w:t>Quadratic operator</w:t>
            </w:r>
          </w:p>
        </w:tc>
        <w:tc>
          <w:tcPr>
            <w:tcW w:type="dxa" w:w="2541"/>
            <w:shd w:fill="173A63"/>
          </w:tcPr>
          <w:p>
            <w:r>
              <w:rPr>
                <w:rFonts w:ascii="Aptos" w:hAnsi="Aptos" w:eastAsia="Aptos"/>
                <w:b/>
                <w:color w:val="FFFFFF"/>
                <w:sz w:val="17"/>
              </w:rPr>
              <w:t>Green-function behaviour</w:t>
            </w:r>
          </w:p>
        </w:tc>
        <w:tc>
          <w:tcPr>
            <w:tcW w:type="dxa" w:w="2541"/>
            <w:shd w:fill="173A63"/>
          </w:tcPr>
          <w:p>
            <w:r>
              <w:rPr>
                <w:rFonts w:ascii="Aptos" w:hAnsi="Aptos" w:eastAsia="Aptos"/>
                <w:b/>
                <w:color w:val="FFFFFF"/>
                <w:sz w:val="17"/>
              </w:rPr>
              <w:t>Range</w:t>
            </w:r>
          </w:p>
        </w:tc>
      </w:tr>
      <w:tr>
        <w:tc>
          <w:tcPr>
            <w:tcW w:type="dxa" w:w="2541"/>
            <w:tcMar>
              <w:top w:w="80" w:type="dxa"/>
              <w:start w:w="100" w:type="dxa"/>
              <w:bottom w:w="80" w:type="dxa"/>
              <w:end w:w="100" w:type="dxa"/>
            </w:tcMar>
          </w:tcPr>
          <w:p>
            <w:r>
              <w:rPr>
                <w:rFonts w:ascii="Aptos" w:hAnsi="Aptos" w:eastAsia="Aptos"/>
                <w:sz w:val="17"/>
              </w:rPr>
              <w:t>Light</w:t>
            </w:r>
          </w:p>
        </w:tc>
        <w:tc>
          <w:tcPr>
            <w:tcW w:type="dxa" w:w="2541"/>
            <w:tcMar>
              <w:top w:w="80" w:type="dxa"/>
              <w:start w:w="100" w:type="dxa"/>
              <w:bottom w:w="80" w:type="dxa"/>
              <w:end w:w="100" w:type="dxa"/>
            </w:tcMar>
          </w:tcPr>
          <w:p>
            <w:r>
              <w:rPr>
                <w:rFonts w:ascii="Aptos" w:hAnsi="Aptos" w:eastAsia="Aptos"/>
                <w:sz w:val="17"/>
              </w:rPr>
              <w:t>-∇²</w:t>
            </w:r>
          </w:p>
        </w:tc>
        <w:tc>
          <w:tcPr>
            <w:tcW w:type="dxa" w:w="2541"/>
            <w:tcMar>
              <w:top w:w="80" w:type="dxa"/>
              <w:start w:w="100" w:type="dxa"/>
              <w:bottom w:w="80" w:type="dxa"/>
              <w:end w:w="100" w:type="dxa"/>
            </w:tcMar>
          </w:tcPr>
          <w:p>
            <w:r>
              <w:rPr>
                <w:rFonts w:ascii="Aptos" w:hAnsi="Aptos" w:eastAsia="Aptos"/>
                <w:sz w:val="17"/>
              </w:rPr>
              <w:t>1/r</w:t>
            </w:r>
          </w:p>
        </w:tc>
        <w:tc>
          <w:tcPr>
            <w:tcW w:type="dxa" w:w="2541"/>
            <w:tcMar>
              <w:top w:w="80" w:type="dxa"/>
              <w:start w:w="100" w:type="dxa"/>
              <w:bottom w:w="80" w:type="dxa"/>
              <w:end w:w="100" w:type="dxa"/>
            </w:tcMar>
          </w:tcPr>
          <w:p>
            <w:r>
              <w:rPr>
                <w:rFonts w:ascii="Aptos" w:hAnsi="Aptos" w:eastAsia="Aptos"/>
                <w:sz w:val="17"/>
              </w:rPr>
              <w:t>infinite</w:t>
            </w:r>
          </w:p>
        </w:tc>
      </w:tr>
      <w:tr>
        <w:tc>
          <w:tcPr>
            <w:tcW w:type="dxa" w:w="2541"/>
            <w:tcMar>
              <w:top w:w="80" w:type="dxa"/>
              <w:start w:w="100" w:type="dxa"/>
              <w:bottom w:w="80" w:type="dxa"/>
              <w:end w:w="100" w:type="dxa"/>
            </w:tcMar>
          </w:tcPr>
          <w:p>
            <w:r>
              <w:rPr>
                <w:rFonts w:ascii="Aptos" w:hAnsi="Aptos" w:eastAsia="Aptos"/>
                <w:sz w:val="17"/>
              </w:rPr>
              <w:t>Boundary</w:t>
            </w:r>
          </w:p>
        </w:tc>
        <w:tc>
          <w:tcPr>
            <w:tcW w:type="dxa" w:w="2541"/>
            <w:tcMar>
              <w:top w:w="80" w:type="dxa"/>
              <w:start w:w="100" w:type="dxa"/>
              <w:bottom w:w="80" w:type="dxa"/>
              <w:end w:w="100" w:type="dxa"/>
            </w:tcMar>
          </w:tcPr>
          <w:p>
            <w:r>
              <w:rPr>
                <w:rFonts w:ascii="Aptos" w:hAnsi="Aptos" w:eastAsia="Aptos"/>
                <w:sz w:val="17"/>
              </w:rPr>
              <w:t>-∇² + m_B²</w:t>
            </w:r>
          </w:p>
        </w:tc>
        <w:tc>
          <w:tcPr>
            <w:tcW w:type="dxa" w:w="2541"/>
            <w:tcMar>
              <w:top w:w="80" w:type="dxa"/>
              <w:start w:w="100" w:type="dxa"/>
              <w:bottom w:w="80" w:type="dxa"/>
              <w:end w:w="100" w:type="dxa"/>
            </w:tcMar>
          </w:tcPr>
          <w:p>
            <w:r>
              <w:rPr>
                <w:rFonts w:ascii="Aptos" w:hAnsi="Aptos" w:eastAsia="Aptos"/>
                <w:sz w:val="17"/>
              </w:rPr>
              <w:t>e^{-m_B r}/r</w:t>
            </w:r>
          </w:p>
        </w:tc>
        <w:tc>
          <w:tcPr>
            <w:tcW w:type="dxa" w:w="2541"/>
            <w:tcMar>
              <w:top w:w="80" w:type="dxa"/>
              <w:start w:w="100" w:type="dxa"/>
              <w:bottom w:w="80" w:type="dxa"/>
              <w:end w:w="100" w:type="dxa"/>
            </w:tcMar>
          </w:tcPr>
          <w:p>
            <w:r>
              <w:rPr>
                <w:rFonts w:ascii="Aptos" w:hAnsi="Aptos" w:eastAsia="Aptos"/>
                <w:sz w:val="17"/>
              </w:rPr>
              <w:t>finite</w:t>
            </w:r>
          </w:p>
        </w:tc>
      </w:tr>
      <w:tr>
        <w:tc>
          <w:tcPr>
            <w:tcW w:type="dxa" w:w="2541"/>
            <w:tcMar>
              <w:top w:w="80" w:type="dxa"/>
              <w:start w:w="100" w:type="dxa"/>
              <w:bottom w:w="80" w:type="dxa"/>
              <w:end w:w="100" w:type="dxa"/>
            </w:tcMar>
          </w:tcPr>
          <w:p>
            <w:r>
              <w:rPr>
                <w:rFonts w:ascii="Aptos" w:hAnsi="Aptos" w:eastAsia="Aptos"/>
                <w:sz w:val="17"/>
              </w:rPr>
              <w:t>Matter</w:t>
            </w:r>
          </w:p>
        </w:tc>
        <w:tc>
          <w:tcPr>
            <w:tcW w:type="dxa" w:w="2541"/>
            <w:tcMar>
              <w:top w:w="80" w:type="dxa"/>
              <w:start w:w="100" w:type="dxa"/>
              <w:bottom w:w="80" w:type="dxa"/>
              <w:end w:w="100" w:type="dxa"/>
            </w:tcMar>
          </w:tcPr>
          <w:p>
            <w:r>
              <w:rPr>
                <w:rFonts w:ascii="Aptos" w:hAnsi="Aptos" w:eastAsia="Aptos"/>
                <w:sz w:val="17"/>
              </w:rPr>
              <w:t>m_M², no spatial kinetic term</w:t>
            </w:r>
          </w:p>
        </w:tc>
        <w:tc>
          <w:tcPr>
            <w:tcW w:type="dxa" w:w="2541"/>
            <w:tcMar>
              <w:top w:w="80" w:type="dxa"/>
              <w:start w:w="100" w:type="dxa"/>
              <w:bottom w:w="80" w:type="dxa"/>
              <w:end w:w="100" w:type="dxa"/>
            </w:tcMar>
          </w:tcPr>
          <w:p>
            <w:r>
              <w:rPr>
                <w:rFonts w:ascii="Aptos" w:hAnsi="Aptos" w:eastAsia="Aptos"/>
                <w:sz w:val="17"/>
              </w:rPr>
              <w:t>local algebraic response</w:t>
            </w:r>
          </w:p>
        </w:tc>
        <w:tc>
          <w:tcPr>
            <w:tcW w:type="dxa" w:w="2541"/>
            <w:tcMar>
              <w:top w:w="80" w:type="dxa"/>
              <w:start w:w="100" w:type="dxa"/>
              <w:bottom w:w="80" w:type="dxa"/>
              <w:end w:w="100" w:type="dxa"/>
            </w:tcMar>
          </w:tcPr>
          <w:p>
            <w:r>
              <w:rPr>
                <w:rFonts w:ascii="Aptos" w:hAnsi="Aptos" w:eastAsia="Aptos"/>
                <w:sz w:val="17"/>
              </w:rPr>
              <w:t>zero/contact</w:t>
            </w:r>
          </w:p>
        </w:tc>
      </w:tr>
    </w:tbl>
    <w:p>
      <w:r>
        <w:t>The boundary range is the weak-scale problem in another form: a finite range requires a boundary mass m_B, while the weak VEV supplies only the symmetry-breaking scale. The gauge normalization remains open.</w:t>
      </w:r>
    </w:p>
    <w:p>
      <w:pPr>
        <w:pStyle w:val="Heading2"/>
      </w:pPr>
      <w:r>
        <w:t>6.1 Confinement: exact inversion, not yet prediction</w:t>
      </w:r>
    </w:p>
    <w:p>
      <w:r>
        <w:t>For a causal one-cell flux tube with a=ℏc/E, energy density ρ=E/a³, and cross-section a², the tension is identically:</w:t>
      </w:r>
    </w:p>
    <w:tbl>
      <w:tblPr>
        <w:tblW w:type="auto" w:w="0"/>
        <w:jc w:val="center"/>
        <w:tblLayout w:type="autofit"/>
        <w:tblLook w:firstColumn="1" w:firstRow="1" w:lastColumn="0" w:lastRow="0" w:noHBand="0" w:noVBand="1" w:val="04A0"/>
      </w:tblPr>
      <w:tblGrid>
        <w:gridCol w:w="10166"/>
      </w:tblGrid>
      <w:tr>
        <w:tc>
          <w:tcPr>
            <w:tcW w:type="dxa" w:w="10166"/>
            <w:shd w:fill="F7F9FC"/>
            <w:tcMar>
              <w:top w:w="110" w:type="dxa"/>
              <w:start w:w="150" w:type="dxa"/>
              <w:bottom w:w="110" w:type="dxa"/>
              <w:end w:w="150" w:type="dxa"/>
            </w:tcMar>
          </w:tcPr>
          <w:p>
            <w:pPr>
              <w:jc w:val="center"/>
            </w:pPr>
            <w:r>
              <w:rPr>
                <w:rFonts w:ascii="Cambria Math" w:hAnsi="Cambria Math" w:eastAsia="Cambria Math"/>
                <w:color w:val="173A63"/>
                <w:sz w:val="23"/>
              </w:rPr>
              <w:t>σ = ρa² = E/a = E²/(ℏc)</w:t>
            </w:r>
          </w:p>
        </w:tc>
      </w:tr>
    </w:tbl>
    <w:p>
      <w:pPr>
        <w:spacing w:after="0"/>
      </w:pPr>
    </w:p>
    <w:p>
      <w:r>
        <w:t>The measured QCD-like tension 0.18 GeV² therefore corresponds to E=0.424 GeV and a=0.465 fm. This repairs the earlier factor-of-five statement: the field can exactly translate tension into a local cell scale, but it has not yet predicted that scale from the vacuum cell. The next dynamical task is to derive why the matter-sector floor selects this local energy.</w:t>
      </w:r>
    </w:p>
    <w:p>
      <w:pPr>
        <w:pStyle w:val="Heading2"/>
      </w:pPr>
      <w:r>
        <w:t>6.2 Negative results retained</w:t>
      </w:r>
    </w:p>
    <w:p>
      <w:pPr>
        <w:pStyle w:val="ListBullet"/>
      </w:pPr>
      <w:r>
        <w:rPr>
          <w:rFonts w:ascii="Aptos" w:hAnsi="Aptos" w:eastAsia="Aptos"/>
        </w:rPr>
        <w:t>Vacuum-cell string tension is excluded by roughly 10²³; the QCD string is not an 88 µm vacuum bubble.</w:t>
      </w:r>
    </w:p>
    <w:p>
      <w:pPr>
        <w:pStyle w:val="ListBullet"/>
      </w:pPr>
      <w:r>
        <w:rPr>
          <w:rFonts w:ascii="Aptos" w:hAnsi="Aptos" w:eastAsia="Aptos"/>
        </w:rPr>
        <w:t>Vacuum crowding energy is excluded as the missing dark-matter density by roughly 10¹¹ in galaxies.</w:t>
      </w:r>
    </w:p>
    <w:p>
      <w:pPr>
        <w:pStyle w:val="ListBullet"/>
      </w:pPr>
      <w:r>
        <w:rPr>
          <w:rFonts w:ascii="Aptos" w:hAnsi="Aptos" w:eastAsia="Aptos"/>
        </w:rPr>
        <w:t>These no-go results are structural and are not repaired by changing an order-one channel coefficient.</w:t>
      </w:r>
    </w:p>
    <w:p>
      <w:r>
        <w:br w:type="page"/>
      </w:r>
    </w:p>
    <w:p>
      <w:pPr>
        <w:pStyle w:val="Heading1"/>
        <w:pBdr>
          <w:bottom w:val="single" w:sz="8" w:space="4" w:color="173A63"/>
        </w:pBdr>
      </w:pPr>
      <w:r>
        <w:t>7. Final closure ledger</w:t>
      </w:r>
    </w:p>
    <w:tbl>
      <w:tblPr>
        <w:tblStyle w:val="TableGrid"/>
        <w:tblW w:type="auto" w:w="0"/>
        <w:jc w:val="center"/>
        <w:tblLook w:firstColumn="1" w:firstRow="1" w:lastColumn="0" w:lastRow="0" w:noHBand="0" w:noVBand="1" w:val="04A0"/>
      </w:tblPr>
      <w:tblGrid>
        <w:gridCol w:w="5083"/>
        <w:gridCol w:w="5083"/>
      </w:tblGrid>
      <w:tr>
        <w:tc>
          <w:tcPr>
            <w:tcW w:type="dxa" w:w="5083"/>
            <w:shd w:fill="EFF8F1"/>
          </w:tcPr>
          <w:p>
            <w:pPr>
              <w:jc w:val="center"/>
            </w:pPr>
            <w:r>
              <w:rPr>
                <w:rFonts w:ascii="Aptos" w:hAnsi="Aptos" w:eastAsia="Aptos"/>
                <w:b/>
                <w:color w:val="2B6C3D"/>
                <w:sz w:val="18"/>
              </w:rPr>
              <w:t>EXACT</w:t>
            </w:r>
          </w:p>
        </w:tc>
        <w:tc>
          <w:tcPr>
            <w:tcW w:type="dxa" w:w="5083"/>
            <w:shd w:fill="EEF4FA"/>
          </w:tcPr>
          <w:p>
            <w:r>
              <w:rPr>
                <w:rFonts w:ascii="Aptos" w:hAnsi="Aptos" w:eastAsia="Aptos"/>
                <w:b/>
                <w:color w:val="173A63"/>
                <w:sz w:val="20"/>
              </w:rPr>
              <w:t>Solved exactly</w:t>
            </w:r>
          </w:p>
        </w:tc>
      </w:tr>
      <w:tr>
        <w:tc>
          <w:tcPr>
            <w:tcW w:type="dxa" w:w="10166"/>
            <w:gridSpan w:val="2"/>
            <w:tcMar>
              <w:top w:w="80" w:type="dxa"/>
              <w:start w:w="100" w:type="dxa"/>
              <w:bottom w:w="80" w:type="dxa"/>
              <w:end w:w="100" w:type="dxa"/>
            </w:tcMar>
          </w:tcPr>
          <w:p>
            <w:pPr>
              <w:pStyle w:val="ListBullet"/>
            </w:pPr>
            <w:r>
              <w:rPr>
                <w:rFonts w:ascii="Aptos" w:hAnsi="Aptos" w:eastAsia="Aptos"/>
                <w:sz w:val="18"/>
              </w:rPr>
              <w:t>three-part partition and traversal floor algebra</w:t>
            </w:r>
          </w:p>
        </w:tc>
      </w:tr>
      <w:tr>
        <w:tc>
          <w:tcPr>
            <w:tcW w:type="dxa" w:w="10166"/>
            <w:gridSpan w:val="2"/>
            <w:tcMar>
              <w:top w:w="80" w:type="dxa"/>
              <w:start w:w="100" w:type="dxa"/>
              <w:bottom w:w="80" w:type="dxa"/>
              <w:end w:w="100" w:type="dxa"/>
            </w:tcMar>
          </w:tcPr>
          <w:p>
            <w:pPr>
              <w:pStyle w:val="ListBullet"/>
            </w:pPr>
            <w:r>
              <w:rPr>
                <w:rFonts w:ascii="Aptos" w:hAnsi="Aptos" w:eastAsia="Aptos"/>
                <w:sz w:val="18"/>
              </w:rPr>
              <w:t>isotropic scalar-sector Einstein/source equations</w:t>
            </w:r>
          </w:p>
        </w:tc>
      </w:tr>
      <w:tr>
        <w:tc>
          <w:tcPr>
            <w:tcW w:type="dxa" w:w="10166"/>
            <w:gridSpan w:val="2"/>
            <w:tcMar>
              <w:top w:w="80" w:type="dxa"/>
              <w:start w:w="100" w:type="dxa"/>
              <w:bottom w:w="80" w:type="dxa"/>
              <w:end w:w="100" w:type="dxa"/>
            </w:tcMar>
          </w:tcPr>
          <w:p>
            <w:pPr>
              <w:pStyle w:val="ListBullet"/>
            </w:pPr>
            <w:r>
              <w:rPr>
                <w:rFonts w:ascii="Aptos" w:hAnsi="Aptos" w:eastAsia="Aptos"/>
                <w:sz w:val="18"/>
              </w:rPr>
              <w:t>exact Schwarzschild representation and exact B(alpha_M) relation</w:t>
            </w:r>
          </w:p>
        </w:tc>
      </w:tr>
      <w:tr>
        <w:tc>
          <w:tcPr>
            <w:tcW w:type="dxa" w:w="10166"/>
            <w:gridSpan w:val="2"/>
            <w:tcMar>
              <w:top w:w="80" w:type="dxa"/>
              <w:start w:w="100" w:type="dxa"/>
              <w:bottom w:w="80" w:type="dxa"/>
              <w:end w:w="100" w:type="dxa"/>
            </w:tcMar>
          </w:tcPr>
          <w:p>
            <w:pPr>
              <w:pStyle w:val="ListBullet"/>
            </w:pPr>
            <w:r>
              <w:rPr>
                <w:rFonts w:ascii="Aptos" w:hAnsi="Aptos" w:eastAsia="Aptos"/>
                <w:sz w:val="18"/>
              </w:rPr>
              <w:t>constant-density star reconstruction into bubble variables</w:t>
            </w:r>
          </w:p>
        </w:tc>
      </w:tr>
      <w:tr>
        <w:tc>
          <w:tcPr>
            <w:tcW w:type="dxa" w:w="10166"/>
            <w:gridSpan w:val="2"/>
            <w:tcMar>
              <w:top w:w="80" w:type="dxa"/>
              <w:start w:w="100" w:type="dxa"/>
              <w:bottom w:w="80" w:type="dxa"/>
              <w:end w:w="100" w:type="dxa"/>
            </w:tcMar>
          </w:tcPr>
          <w:p>
            <w:pPr>
              <w:pStyle w:val="ListBullet"/>
            </w:pPr>
            <w:r>
              <w:rPr>
                <w:rFonts w:ascii="Aptos" w:hAnsi="Aptos" w:eastAsia="Aptos"/>
                <w:sz w:val="18"/>
              </w:rPr>
              <w:t>range classification for the stated quadratic operators</w:t>
            </w:r>
          </w:p>
        </w:tc>
      </w:tr>
      <w:tr>
        <w:tc>
          <w:tcPr>
            <w:tcW w:type="dxa" w:w="10166"/>
            <w:gridSpan w:val="2"/>
            <w:tcMar>
              <w:top w:w="80" w:type="dxa"/>
              <w:start w:w="100" w:type="dxa"/>
              <w:bottom w:w="80" w:type="dxa"/>
              <w:end w:w="100" w:type="dxa"/>
            </w:tcMar>
          </w:tcPr>
          <w:p>
            <w:pPr>
              <w:pStyle w:val="ListBullet"/>
            </w:pPr>
            <w:r>
              <w:rPr>
                <w:rFonts w:ascii="Aptos" w:hAnsi="Aptos" w:eastAsia="Aptos"/>
                <w:sz w:val="18"/>
              </w:rPr>
              <w:t>G/Lambda are the same dimensionless hierarchy question</w:t>
            </w:r>
          </w:p>
        </w:tc>
      </w:tr>
    </w:tbl>
    <w:p/>
    <w:tbl>
      <w:tblPr>
        <w:tblStyle w:val="TableGrid"/>
        <w:tblW w:type="auto" w:w="0"/>
        <w:jc w:val="center"/>
        <w:tblLook w:firstColumn="1" w:firstRow="1" w:lastColumn="0" w:lastRow="0" w:noHBand="0" w:noVBand="1" w:val="04A0"/>
      </w:tblPr>
      <w:tblGrid>
        <w:gridCol w:w="5083"/>
        <w:gridCol w:w="5083"/>
      </w:tblGrid>
      <w:tr>
        <w:tc>
          <w:tcPr>
            <w:tcW w:type="dxa" w:w="5083"/>
            <w:shd w:fill="FFF7E8"/>
          </w:tcPr>
          <w:p>
            <w:pPr>
              <w:jc w:val="center"/>
            </w:pPr>
            <w:r>
              <w:rPr>
                <w:rFonts w:ascii="Aptos" w:hAnsi="Aptos" w:eastAsia="Aptos"/>
                <w:b/>
                <w:color w:val="9A6400"/>
                <w:sz w:val="18"/>
              </w:rPr>
              <w:t>CONDITIONAL</w:t>
            </w:r>
          </w:p>
        </w:tc>
        <w:tc>
          <w:tcPr>
            <w:tcW w:type="dxa" w:w="5083"/>
            <w:shd w:fill="FFF7E8"/>
          </w:tcPr>
          <w:p>
            <w:r>
              <w:rPr>
                <w:rFonts w:ascii="Aptos" w:hAnsi="Aptos" w:eastAsia="Aptos"/>
                <w:b/>
                <w:color w:val="173A63"/>
                <w:sz w:val="20"/>
              </w:rPr>
              <w:t>Closed under explicit representation bridges</w:t>
            </w:r>
          </w:p>
        </w:tc>
      </w:tr>
      <w:tr>
        <w:tc>
          <w:tcPr>
            <w:tcW w:type="dxa" w:w="10166"/>
            <w:gridSpan w:val="2"/>
            <w:tcMar>
              <w:top w:w="80" w:type="dxa"/>
              <w:start w:w="100" w:type="dxa"/>
              <w:bottom w:w="80" w:type="dxa"/>
              <w:end w:w="100" w:type="dxa"/>
            </w:tcMar>
          </w:tcPr>
          <w:p>
            <w:pPr>
              <w:pStyle w:val="ListBullet"/>
            </w:pPr>
            <w:r>
              <w:rPr>
                <w:rFonts w:ascii="Aptos" w:hAnsi="Aptos" w:eastAsia="Aptos"/>
                <w:sz w:val="18"/>
              </w:rPr>
              <w:t>G from q=r^241(1-r^3)^2 and a measured geometric Lambda</w:t>
            </w:r>
          </w:p>
        </w:tc>
      </w:tr>
      <w:tr>
        <w:tc>
          <w:tcPr>
            <w:tcW w:type="dxa" w:w="10166"/>
            <w:gridSpan w:val="2"/>
            <w:tcMar>
              <w:top w:w="80" w:type="dxa"/>
              <w:start w:w="100" w:type="dxa"/>
              <w:bottom w:w="80" w:type="dxa"/>
              <w:end w:w="100" w:type="dxa"/>
            </w:tcMar>
          </w:tcPr>
          <w:p>
            <w:pPr>
              <w:pStyle w:val="ListBullet"/>
            </w:pPr>
            <w:r>
              <w:rPr>
                <w:rFonts w:ascii="Aptos" w:hAnsi="Aptos" w:eastAsia="Aptos"/>
                <w:sz w:val="18"/>
              </w:rPr>
              <w:t>light/density split alpha_L=(r/u)alpha_M</w:t>
            </w:r>
          </w:p>
        </w:tc>
      </w:tr>
      <w:tr>
        <w:tc>
          <w:tcPr>
            <w:tcW w:type="dxa" w:w="10166"/>
            <w:gridSpan w:val="2"/>
            <w:tcMar>
              <w:top w:w="80" w:type="dxa"/>
              <w:start w:w="100" w:type="dxa"/>
              <w:bottom w:w="80" w:type="dxa"/>
              <w:end w:w="100" w:type="dxa"/>
            </w:tcMar>
          </w:tcPr>
          <w:p>
            <w:pPr>
              <w:pStyle w:val="ListBullet"/>
            </w:pPr>
            <w:r>
              <w:rPr>
                <w:rFonts w:ascii="Aptos" w:hAnsi="Aptos" w:eastAsia="Aptos"/>
                <w:sz w:val="18"/>
              </w:rPr>
              <w:t>weak VEV scale candidate</w:t>
            </w:r>
          </w:p>
        </w:tc>
      </w:tr>
      <w:tr>
        <w:tc>
          <w:tcPr>
            <w:tcW w:type="dxa" w:w="10166"/>
            <w:gridSpan w:val="2"/>
            <w:tcMar>
              <w:top w:w="80" w:type="dxa"/>
              <w:start w:w="100" w:type="dxa"/>
              <w:bottom w:w="80" w:type="dxa"/>
              <w:end w:w="100" w:type="dxa"/>
            </w:tcMar>
          </w:tcPr>
          <w:p>
            <w:pPr>
              <w:pStyle w:val="ListBullet"/>
            </w:pPr>
            <w:r>
              <w:rPr>
                <w:rFonts w:ascii="Aptos" w:hAnsi="Aptos" w:eastAsia="Aptos"/>
                <w:sz w:val="18"/>
              </w:rPr>
              <w:t>charged-lepton candidate spectrum</w:t>
            </w:r>
          </w:p>
        </w:tc>
      </w:tr>
    </w:tbl>
    <w:p/>
    <w:tbl>
      <w:tblPr>
        <w:tblStyle w:val="TableGrid"/>
        <w:tblW w:type="auto" w:w="0"/>
        <w:jc w:val="center"/>
        <w:tblLook w:firstColumn="1" w:firstRow="1" w:lastColumn="0" w:lastRow="0" w:noHBand="0" w:noVBand="1" w:val="04A0"/>
      </w:tblPr>
      <w:tblGrid>
        <w:gridCol w:w="5083"/>
        <w:gridCol w:w="5083"/>
      </w:tblGrid>
      <w:tr>
        <w:tc>
          <w:tcPr>
            <w:tcW w:type="dxa" w:w="5083"/>
            <w:shd w:fill="F2F4F7"/>
          </w:tcPr>
          <w:p>
            <w:pPr>
              <w:jc w:val="center"/>
            </w:pPr>
            <w:r>
              <w:rPr>
                <w:rFonts w:ascii="Aptos" w:hAnsi="Aptos" w:eastAsia="Aptos"/>
                <w:b/>
                <w:color w:val="5F6B76"/>
                <w:sz w:val="18"/>
              </w:rPr>
              <w:t>OPEN</w:t>
            </w:r>
          </w:p>
        </w:tc>
        <w:tc>
          <w:tcPr>
            <w:tcW w:type="dxa" w:w="5083"/>
            <w:shd w:fill="F2F4F7"/>
          </w:tcPr>
          <w:p>
            <w:r>
              <w:rPr>
                <w:rFonts w:ascii="Aptos" w:hAnsi="Aptos" w:eastAsia="Aptos"/>
                <w:b/>
                <w:color w:val="173A63"/>
                <w:sz w:val="20"/>
              </w:rPr>
              <w:t>Still open and decisive</w:t>
            </w:r>
          </w:p>
        </w:tc>
      </w:tr>
      <w:tr>
        <w:tc>
          <w:tcPr>
            <w:tcW w:type="dxa" w:w="10166"/>
            <w:gridSpan w:val="2"/>
            <w:tcMar>
              <w:top w:w="80" w:type="dxa"/>
              <w:start w:w="100" w:type="dxa"/>
              <w:bottom w:w="80" w:type="dxa"/>
              <w:end w:w="100" w:type="dxa"/>
            </w:tcMar>
          </w:tcPr>
          <w:p>
            <w:pPr>
              <w:pStyle w:val="ListBullet"/>
            </w:pPr>
            <w:r>
              <w:rPr>
                <w:rFonts w:ascii="Aptos" w:hAnsi="Aptos" w:eastAsia="Aptos"/>
                <w:sz w:val="18"/>
              </w:rPr>
              <w:t>derive the two-leg vacuum-record representation rather than postulate it</w:t>
            </w:r>
          </w:p>
        </w:tc>
      </w:tr>
      <w:tr>
        <w:tc>
          <w:tcPr>
            <w:tcW w:type="dxa" w:w="10166"/>
            <w:gridSpan w:val="2"/>
            <w:tcMar>
              <w:top w:w="80" w:type="dxa"/>
              <w:start w:w="100" w:type="dxa"/>
              <w:bottom w:w="80" w:type="dxa"/>
              <w:end w:w="100" w:type="dxa"/>
            </w:tcMar>
          </w:tcPr>
          <w:p>
            <w:pPr>
              <w:pStyle w:val="ListBullet"/>
            </w:pPr>
            <w:r>
              <w:rPr>
                <w:rFonts w:ascii="Aptos" w:hAnsi="Aptos" w:eastAsia="Aptos"/>
                <w:sz w:val="18"/>
              </w:rPr>
              <w:t>derive the alpha_L/alpha_M response ratio from a microscopic least-cost action</w:t>
            </w:r>
          </w:p>
        </w:tc>
      </w:tr>
      <w:tr>
        <w:tc>
          <w:tcPr>
            <w:tcW w:type="dxa" w:w="10166"/>
            <w:gridSpan w:val="2"/>
            <w:tcMar>
              <w:top w:w="80" w:type="dxa"/>
              <w:start w:w="100" w:type="dxa"/>
              <w:bottom w:w="80" w:type="dxa"/>
              <w:end w:w="100" w:type="dxa"/>
            </w:tcMar>
          </w:tcPr>
          <w:p>
            <w:pPr>
              <w:pStyle w:val="ListBullet"/>
            </w:pPr>
            <w:r>
              <w:rPr>
                <w:rFonts w:ascii="Aptos" w:hAnsi="Aptos" w:eastAsia="Aptos"/>
                <w:sz w:val="18"/>
              </w:rPr>
              <w:t>derive electroweak gauge couplings and mixing</w:t>
            </w:r>
          </w:p>
        </w:tc>
      </w:tr>
      <w:tr>
        <w:tc>
          <w:tcPr>
            <w:tcW w:type="dxa" w:w="10166"/>
            <w:gridSpan w:val="2"/>
            <w:tcMar>
              <w:top w:w="80" w:type="dxa"/>
              <w:start w:w="100" w:type="dxa"/>
              <w:bottom w:w="80" w:type="dxa"/>
              <w:end w:w="100" w:type="dxa"/>
            </w:tcMar>
          </w:tcPr>
          <w:p>
            <w:pPr>
              <w:pStyle w:val="ListBullet"/>
            </w:pPr>
            <w:r>
              <w:rPr>
                <w:rFonts w:ascii="Aptos" w:hAnsi="Aptos" w:eastAsia="Aptos"/>
                <w:sz w:val="18"/>
              </w:rPr>
              <w:t>derive the lepton mass operator and force generation depths</w:t>
            </w:r>
          </w:p>
        </w:tc>
      </w:tr>
      <w:tr>
        <w:tc>
          <w:tcPr>
            <w:tcW w:type="dxa" w:w="10166"/>
            <w:gridSpan w:val="2"/>
            <w:tcMar>
              <w:top w:w="80" w:type="dxa"/>
              <w:start w:w="100" w:type="dxa"/>
              <w:bottom w:w="80" w:type="dxa"/>
              <w:end w:w="100" w:type="dxa"/>
            </w:tcMar>
          </w:tcPr>
          <w:p>
            <w:pPr>
              <w:pStyle w:val="ListBullet"/>
            </w:pPr>
            <w:r>
              <w:rPr>
                <w:rFonts w:ascii="Aptos" w:hAnsi="Aptos" w:eastAsia="Aptos"/>
                <w:sz w:val="18"/>
              </w:rPr>
              <w:t>extend the scalar/spherical reconstruction to general tensor/shear geometry</w:t>
            </w:r>
          </w:p>
        </w:tc>
      </w:tr>
    </w:tbl>
    <w:p/>
    <w:p>
      <w:pPr>
        <w:pStyle w:val="Heading2"/>
      </w:pPr>
      <w:r>
        <w:t>7.1 Falsification order</w:t>
      </w:r>
    </w:p>
    <w:p>
      <w:pPr>
        <w:pStyle w:val="ListBullet"/>
      </w:pPr>
      <w:r>
        <w:rPr>
          <w:rFonts w:ascii="Aptos" w:hAnsi="Aptos" w:eastAsia="Aptos"/>
        </w:rPr>
        <w:t>Vacuum hierarchy: obtain a tighter geometric Λ boundary and compare the predicted G before changing any discrete factor.</w:t>
      </w:r>
    </w:p>
    <w:p>
      <w:pPr>
        <w:pStyle w:val="ListBullet"/>
      </w:pPr>
      <w:r>
        <w:rPr>
          <w:rFonts w:ascii="Aptos" w:hAnsi="Aptos" w:eastAsia="Aptos"/>
        </w:rPr>
        <w:t>Source microphysics: derive α_L/α_M from a least-cost cell action; the current r/u law must be frozen before confronting independent lensing and clock data.</w:t>
      </w:r>
    </w:p>
    <w:p>
      <w:pPr>
        <w:pStyle w:val="ListBullet"/>
      </w:pPr>
      <w:r>
        <w:rPr>
          <w:rFonts w:ascii="Aptos" w:hAnsi="Aptos" w:eastAsia="Aptos"/>
        </w:rPr>
        <w:t>Weak sector: derive g and g′, then predict W, Z, and the weak mixing angle without using their measured values.</w:t>
      </w:r>
    </w:p>
    <w:p>
      <w:pPr>
        <w:pStyle w:val="ListBullet"/>
      </w:pPr>
      <w:r>
        <w:rPr>
          <w:rFonts w:ascii="Aptos" w:hAnsi="Aptos" w:eastAsia="Aptos"/>
        </w:rPr>
        <w:t>Leptons: construct the mass operator and show that its spectrum forces the declared depths. Failure to force them demotes the mass formulas to numerology.</w:t>
      </w:r>
    </w:p>
    <w:p>
      <w:pPr>
        <w:pStyle w:val="ListBullet"/>
      </w:pPr>
      <w:r>
        <w:rPr>
          <w:rFonts w:ascii="Aptos" w:hAnsi="Aptos" w:eastAsia="Aptos"/>
        </w:rPr>
        <w:t>Short-distance gravity: derive the actual observable transfer function of a 48.8–87.8 µm cell structure; a length alone is not an experimental signature.</w:t>
      </w:r>
    </w:p>
    <w:p>
      <w:pPr>
        <w:pStyle w:val="Heading2"/>
      </w:pPr>
      <w:r>
        <w:t>7.2 The strongest concise statement</w:t>
      </w:r>
    </w:p>
    <w:tbl>
      <w:tblPr>
        <w:tblW w:type="auto" w:w="0"/>
        <w:jc w:val="center"/>
        <w:tblLayout w:type="autofit"/>
        <w:tblLook w:firstColumn="1" w:firstRow="1" w:lastColumn="0" w:lastRow="0" w:noHBand="0" w:noVBand="1" w:val="04A0"/>
      </w:tblPr>
      <w:tblGrid>
        <w:gridCol w:w="10166"/>
      </w:tblGrid>
      <w:tr>
        <w:tc>
          <w:tcPr>
            <w:tcW w:type="dxa" w:w="10166"/>
            <w:shd w:fill="F7F9FC"/>
            <w:tcMar>
              <w:top w:w="110" w:type="dxa"/>
              <w:start w:w="150" w:type="dxa"/>
              <w:bottom w:w="110" w:type="dxa"/>
              <w:end w:w="150" w:type="dxa"/>
            </w:tcMar>
          </w:tcPr>
          <w:p>
            <w:pPr>
              <w:jc w:val="center"/>
            </w:pPr>
            <w:r>
              <w:rPr>
                <w:rFonts w:ascii="Cambria Math" w:hAnsi="Cambria Math" w:eastAsia="Cambria Math"/>
                <w:color w:val="173A63"/>
                <w:sz w:val="23"/>
              </w:rPr>
              <w:t>matter source  →  (A,B) geometry  →  (α_M, α_L, ν) cell map</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F7F9FC"/>
            <w:tcMar>
              <w:top w:w="110" w:type="dxa"/>
              <w:start w:w="150" w:type="dxa"/>
              <w:bottom w:w="110" w:type="dxa"/>
              <w:end w:w="150" w:type="dxa"/>
            </w:tcMar>
          </w:tcPr>
          <w:p>
            <w:pPr>
              <w:jc w:val="center"/>
            </w:pPr>
            <w:r>
              <w:rPr>
                <w:rFonts w:ascii="Cambria Math" w:hAnsi="Cambria Math" w:eastAsia="Cambria Math"/>
                <w:color w:val="173A63"/>
                <w:sz w:val="23"/>
              </w:rPr>
              <w:t>Λ + q_UF  →  G  →  a₀  →  E_×  →  v  →  candidate masses</w:t>
            </w:r>
          </w:p>
        </w:tc>
      </w:tr>
    </w:tbl>
    <w:p>
      <w:pPr>
        <w:spacing w:after="0"/>
      </w:pPr>
    </w:p>
    <w:p>
      <w:r>
        <w:t>The first chain is exact in the represented spherical scalar class. The second is now a single explicit conditional bridge rather than an unnamed missing number. That is the genuine advance of this closure pass.</w:t>
      </w:r>
    </w:p>
    <w:p>
      <w:r>
        <w:br w:type="page"/>
      </w:r>
    </w:p>
    <w:p>
      <w:pPr>
        <w:pStyle w:val="Heading1"/>
        <w:pBdr>
          <w:bottom w:val="single" w:sz="8" w:space="4" w:color="173A63"/>
        </w:pBdr>
      </w:pPr>
      <w:r>
        <w:t>Appendix A. Reproducibility and provenance</w:t>
      </w:r>
    </w:p>
    <w:p>
      <w:r>
        <w:t>The accompanying Python script regenerates every number and all figures in this paper. The JSON certificate records formulas, numerical values, statuses, and remaining obligations.</w:t>
      </w:r>
    </w:p>
    <w:tbl>
      <w:tblPr>
        <w:tblStyle w:val="TableGrid"/>
        <w:tblW w:type="auto" w:w="0"/>
        <w:jc w:val="center"/>
        <w:tblLook w:firstColumn="1" w:firstRow="1" w:lastColumn="0" w:lastRow="0" w:noHBand="0" w:noVBand="1" w:val="04A0"/>
      </w:tblPr>
      <w:tblGrid>
        <w:gridCol w:w="5083"/>
        <w:gridCol w:w="5083"/>
      </w:tblGrid>
      <w:tr>
        <w:tc>
          <w:tcPr>
            <w:tcW w:type="dxa" w:w="5083"/>
            <w:shd w:fill="173A63"/>
          </w:tcPr>
          <w:p>
            <w:r>
              <w:rPr>
                <w:rFonts w:ascii="Aptos" w:hAnsi="Aptos" w:eastAsia="Aptos"/>
                <w:b/>
                <w:color w:val="FFFFFF"/>
                <w:sz w:val="18"/>
              </w:rPr>
              <w:t>File</w:t>
            </w:r>
          </w:p>
        </w:tc>
        <w:tc>
          <w:tcPr>
            <w:tcW w:type="dxa" w:w="5083"/>
            <w:shd w:fill="173A63"/>
          </w:tcPr>
          <w:p>
            <w:r>
              <w:rPr>
                <w:rFonts w:ascii="Aptos" w:hAnsi="Aptos" w:eastAsia="Aptos"/>
                <w:b/>
                <w:color w:val="FFFFFF"/>
                <w:sz w:val="18"/>
              </w:rPr>
              <w:t>Role</w:t>
            </w:r>
          </w:p>
        </w:tc>
      </w:tr>
      <w:tr>
        <w:tc>
          <w:tcPr>
            <w:tcW w:type="dxa" w:w="5083"/>
            <w:tcMar>
              <w:top w:w="80" w:type="dxa"/>
              <w:start w:w="100" w:type="dxa"/>
              <w:bottom w:w="80" w:type="dxa"/>
              <w:end w:w="100" w:type="dxa"/>
            </w:tcMar>
          </w:tcPr>
          <w:p>
            <w:r>
              <w:rPr>
                <w:rFonts w:ascii="Aptos" w:hAnsi="Aptos" w:eastAsia="Aptos"/>
                <w:sz w:val="18"/>
              </w:rPr>
              <w:t>bubble_field_closure_attack.py</w:t>
            </w:r>
          </w:p>
        </w:tc>
        <w:tc>
          <w:tcPr>
            <w:tcW w:type="dxa" w:w="5083"/>
            <w:tcMar>
              <w:top w:w="80" w:type="dxa"/>
              <w:start w:w="100" w:type="dxa"/>
              <w:bottom w:w="80" w:type="dxa"/>
              <w:end w:w="100" w:type="dxa"/>
            </w:tcMar>
          </w:tcPr>
          <w:p>
            <w:r>
              <w:rPr>
                <w:rFonts w:ascii="Aptos" w:hAnsi="Aptos" w:eastAsia="Aptos"/>
                <w:sz w:val="18"/>
              </w:rPr>
              <w:t>full calculation</w:t>
            </w:r>
          </w:p>
        </w:tc>
      </w:tr>
      <w:tr>
        <w:tc>
          <w:tcPr>
            <w:tcW w:type="dxa" w:w="5083"/>
            <w:tcMar>
              <w:top w:w="80" w:type="dxa"/>
              <w:start w:w="100" w:type="dxa"/>
              <w:bottom w:w="80" w:type="dxa"/>
              <w:end w:w="100" w:type="dxa"/>
            </w:tcMar>
          </w:tcPr>
          <w:p>
            <w:r>
              <w:rPr>
                <w:rFonts w:ascii="Aptos" w:hAnsi="Aptos" w:eastAsia="Aptos"/>
                <w:sz w:val="18"/>
              </w:rPr>
              <w:t>bubble_field_closure_attack_results.json</w:t>
            </w:r>
          </w:p>
        </w:tc>
        <w:tc>
          <w:tcPr>
            <w:tcW w:type="dxa" w:w="5083"/>
            <w:tcMar>
              <w:top w:w="80" w:type="dxa"/>
              <w:start w:w="100" w:type="dxa"/>
              <w:bottom w:w="80" w:type="dxa"/>
              <w:end w:w="100" w:type="dxa"/>
            </w:tcMar>
          </w:tcPr>
          <w:p>
            <w:r>
              <w:rPr>
                <w:rFonts w:ascii="Aptos" w:hAnsi="Aptos" w:eastAsia="Aptos"/>
                <w:sz w:val="18"/>
              </w:rPr>
              <w:t>machine-readable certificate</w:t>
            </w:r>
          </w:p>
        </w:tc>
      </w:tr>
      <w:tr>
        <w:tc>
          <w:tcPr>
            <w:tcW w:type="dxa" w:w="5083"/>
            <w:tcMar>
              <w:top w:w="80" w:type="dxa"/>
              <w:start w:w="100" w:type="dxa"/>
              <w:bottom w:w="80" w:type="dxa"/>
              <w:end w:w="100" w:type="dxa"/>
            </w:tcMar>
          </w:tcPr>
          <w:p>
            <w:r>
              <w:rPr>
                <w:rFonts w:ascii="Aptos" w:hAnsi="Aptos" w:eastAsia="Aptos"/>
                <w:sz w:val="18"/>
              </w:rPr>
              <w:t>bubble_field_G_bridge.png</w:t>
            </w:r>
          </w:p>
        </w:tc>
        <w:tc>
          <w:tcPr>
            <w:tcW w:type="dxa" w:w="5083"/>
            <w:tcMar>
              <w:top w:w="80" w:type="dxa"/>
              <w:start w:w="100" w:type="dxa"/>
              <w:bottom w:w="80" w:type="dxa"/>
              <w:end w:w="100" w:type="dxa"/>
            </w:tcMar>
          </w:tcPr>
          <w:p>
            <w:r>
              <w:rPr>
                <w:rFonts w:ascii="Aptos" w:hAnsi="Aptos" w:eastAsia="Aptos"/>
                <w:sz w:val="18"/>
              </w:rPr>
              <w:t>hierarchy comparison</w:t>
            </w:r>
          </w:p>
        </w:tc>
      </w:tr>
      <w:tr>
        <w:tc>
          <w:tcPr>
            <w:tcW w:type="dxa" w:w="5083"/>
            <w:tcMar>
              <w:top w:w="80" w:type="dxa"/>
              <w:start w:w="100" w:type="dxa"/>
              <w:bottom w:w="80" w:type="dxa"/>
              <w:end w:w="100" w:type="dxa"/>
            </w:tcMar>
          </w:tcPr>
          <w:p>
            <w:r>
              <w:rPr>
                <w:rFonts w:ascii="Aptos" w:hAnsi="Aptos" w:eastAsia="Aptos"/>
                <w:sz w:val="18"/>
              </w:rPr>
              <w:t>bubble_field_source_profiles.png</w:t>
            </w:r>
          </w:p>
        </w:tc>
        <w:tc>
          <w:tcPr>
            <w:tcW w:type="dxa" w:w="5083"/>
            <w:tcMar>
              <w:top w:w="80" w:type="dxa"/>
              <w:start w:w="100" w:type="dxa"/>
              <w:bottom w:w="80" w:type="dxa"/>
              <w:end w:w="100" w:type="dxa"/>
            </w:tcMar>
          </w:tcPr>
          <w:p>
            <w:r>
              <w:rPr>
                <w:rFonts w:ascii="Aptos" w:hAnsi="Aptos" w:eastAsia="Aptos"/>
                <w:sz w:val="18"/>
              </w:rPr>
              <w:t>interior source reconstruction</w:t>
            </w:r>
          </w:p>
        </w:tc>
      </w:tr>
      <w:tr>
        <w:tc>
          <w:tcPr>
            <w:tcW w:type="dxa" w:w="5083"/>
            <w:tcMar>
              <w:top w:w="80" w:type="dxa"/>
              <w:start w:w="100" w:type="dxa"/>
              <w:bottom w:w="80" w:type="dxa"/>
              <w:end w:w="100" w:type="dxa"/>
            </w:tcMar>
          </w:tcPr>
          <w:p>
            <w:r>
              <w:rPr>
                <w:rFonts w:ascii="Aptos" w:hAnsi="Aptos" w:eastAsia="Aptos"/>
                <w:sz w:val="18"/>
              </w:rPr>
              <w:t>bubble_field_scale_ladder.png</w:t>
            </w:r>
          </w:p>
        </w:tc>
        <w:tc>
          <w:tcPr>
            <w:tcW w:type="dxa" w:w="5083"/>
            <w:tcMar>
              <w:top w:w="80" w:type="dxa"/>
              <w:start w:w="100" w:type="dxa"/>
              <w:bottom w:w="80" w:type="dxa"/>
              <w:end w:w="100" w:type="dxa"/>
            </w:tcMar>
          </w:tcPr>
          <w:p>
            <w:r>
              <w:rPr>
                <w:rFonts w:ascii="Aptos" w:hAnsi="Aptos" w:eastAsia="Aptos"/>
                <w:sz w:val="18"/>
              </w:rPr>
              <w:t>scale hierarchy</w:t>
            </w:r>
          </w:p>
        </w:tc>
      </w:tr>
      <w:tr>
        <w:tc>
          <w:tcPr>
            <w:tcW w:type="dxa" w:w="5083"/>
            <w:tcMar>
              <w:top w:w="80" w:type="dxa"/>
              <w:start w:w="100" w:type="dxa"/>
              <w:bottom w:w="80" w:type="dxa"/>
              <w:end w:w="100" w:type="dxa"/>
            </w:tcMar>
          </w:tcPr>
          <w:p>
            <w:r>
              <w:rPr>
                <w:rFonts w:ascii="Aptos" w:hAnsi="Aptos" w:eastAsia="Aptos"/>
                <w:sz w:val="18"/>
              </w:rPr>
              <w:t>bubble_field_lepton_candidate.png</w:t>
            </w:r>
          </w:p>
        </w:tc>
        <w:tc>
          <w:tcPr>
            <w:tcW w:type="dxa" w:w="5083"/>
            <w:tcMar>
              <w:top w:w="80" w:type="dxa"/>
              <w:start w:w="100" w:type="dxa"/>
              <w:bottom w:w="80" w:type="dxa"/>
              <w:end w:w="100" w:type="dxa"/>
            </w:tcMar>
          </w:tcPr>
          <w:p>
            <w:r>
              <w:rPr>
                <w:rFonts w:ascii="Aptos" w:hAnsi="Aptos" w:eastAsia="Aptos"/>
                <w:sz w:val="18"/>
              </w:rPr>
              <w:t>lepton candidate comparison</w:t>
            </w:r>
          </w:p>
        </w:tc>
      </w:tr>
    </w:tbl>
    <w:p>
      <w:pPr>
        <w:pStyle w:val="Heading2"/>
      </w:pPr>
      <w:r>
        <w:t>Appendix B. Source documents and external references</w:t>
      </w:r>
    </w:p>
    <w:p>
      <w:pPr>
        <w:pStyle w:val="ListNumber"/>
      </w:pPr>
      <w:r>
        <w:rPr>
          <w:rFonts w:ascii="Aptos" w:hAnsi="Aptos" w:eastAsia="Aptos"/>
          <w:sz w:val="18"/>
        </w:rPr>
        <w:t>Shields, J. The Bubble Field: Gravity as overcrowding in a sea of least-action cells. Working paper, 29 July 2026.</w:t>
      </w:r>
    </w:p>
    <w:p>
      <w:pPr>
        <w:pStyle w:val="ListNumber"/>
      </w:pPr>
      <w:r>
        <w:rPr>
          <w:rFonts w:ascii="Aptos" w:hAnsi="Aptos" w:eastAsia="Aptos"/>
          <w:sz w:val="18"/>
        </w:rPr>
        <w:t>Shields, J. Least-Cost Holonomy and Co-Distinction Fields: The Shields Field of Distinct Actions. Working paper, 28 July 2026.</w:t>
      </w:r>
    </w:p>
    <w:p>
      <w:pPr>
        <w:pStyle w:val="ListNumber"/>
      </w:pPr>
      <w:r>
        <w:rPr>
          <w:rFonts w:ascii="Aptos" w:hAnsi="Aptos" w:eastAsia="Aptos"/>
          <w:sz w:val="18"/>
        </w:rPr>
        <w:t>Shields, J. Unified Mechanics, 2026 bridge-closure editions. Conditional 240-mode vacuum residual, 241st readout, channel routing, and traversal floor.</w:t>
      </w:r>
    </w:p>
    <w:p>
      <w:pPr>
        <w:pStyle w:val="ListNumber"/>
      </w:pPr>
      <w:r>
        <w:rPr>
          <w:rFonts w:ascii="Aptos" w:hAnsi="Aptos" w:eastAsia="Aptos"/>
          <w:sz w:val="18"/>
        </w:rPr>
        <w:t>Planck Collaboration. Planck 2018 results VI: Cosmological parameters. Astronomy &amp; Astrophysics 641, A6 (2020).</w:t>
      </w:r>
    </w:p>
    <w:p>
      <w:pPr>
        <w:pStyle w:val="ListNumber"/>
      </w:pPr>
      <w:r>
        <w:rPr>
          <w:rFonts w:ascii="Aptos" w:hAnsi="Aptos" w:eastAsia="Aptos"/>
          <w:sz w:val="18"/>
        </w:rPr>
        <w:t>NIST/CODATA. 2022 recommended value of the Newtonian constant of gravitation: 6.67430(15)×10⁻¹¹ m³ kg⁻¹ s⁻².</w:t>
      </w:r>
    </w:p>
    <w:p>
      <w:pPr>
        <w:pStyle w:val="ListNumber"/>
      </w:pPr>
      <w:r>
        <w:rPr>
          <w:rFonts w:ascii="Aptos" w:hAnsi="Aptos" w:eastAsia="Aptos"/>
          <w:sz w:val="18"/>
        </w:rPr>
        <w:t>Standard exact solutions used as toolkits: isotropic Schwarzschild exterior and constant-density Schwarzschild interior.</w:t>
      </w:r>
    </w:p>
    <w:p>
      <w:pPr>
        <w:jc w:val="center"/>
        <w:pBdr>
          <w:bottom w:val="single" w:sz="8" w:space="4" w:color="173A63"/>
        </w:pBdr>
      </w:pPr>
      <w:r>
        <w:rPr>
          <w:rFonts w:ascii="Aptos Display" w:hAnsi="Aptos Display" w:eastAsia="Aptos Display"/>
          <w:b/>
          <w:color w:val="173A63"/>
          <w:sz w:val="22"/>
        </w:rPr>
        <w:t>END OF CLOSURE ATTACK</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color w:val="5F6B76"/>
        <w:sz w:val="16"/>
      </w:rPr>
      <w:t>Joseph Shields  ·  Working technical paper  ·  29 July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A8B3BF"/>
      </w:pBdr>
    </w:pPr>
    <w:r>
      <w:rPr>
        <w:rFonts w:ascii="Aptos" w:hAnsi="Aptos" w:eastAsia="Aptos"/>
        <w:b/>
        <w:color w:val="5F6B76"/>
        <w:sz w:val="16"/>
      </w:rPr>
      <w:t>UNIVERSAL FIELD OF LEAST ACTION  |  CLOSURE ATTACK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Aptos Display" w:hAnsi="Aptos Display" w:eastAsia="Aptos Display"/>
      <w:b/>
      <w:bCs/>
      <w:color w:val="173A63"/>
      <w:sz w:val="3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eastAsia="Aptos Display"/>
      <w:b/>
      <w:bCs/>
      <w:color w:val="315C8A"/>
      <w:sz w:val="28"/>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Display" w:hAnsi="Aptos Display" w:eastAsia="Aptos Display"/>
      <w:b/>
      <w:bCs/>
      <w:color w:val="173A6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A6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b w:val="0"/>
      <w:i/>
      <w:iCs/>
      <w:color w:val="5F6B7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jc w:val="center"/>
    </w:pPr>
    <w:rPr>
      <w:rFonts w:ascii="Cambria Math" w:hAnsi="Cambria Math"/>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Bubble Field Closure Attack</dc:title>
  <dc:subject>G, source sector, weak scale, and lepton spectrum</dc:subject>
  <dc:creator>Joseph Shields</dc:creator>
  <cp:keywords>Bubble Field, Universal Field of Least Action, emergent metric, G, weak scale, lepton masses</cp:keywords>
  <dc:description>Generated from the reproducibility certificate; status distinctions preserved.</dc:description>
  <cp:lastModifiedBy/>
  <cp:revision>1</cp:revision>
  <dcterms:created xsi:type="dcterms:W3CDTF">2013-12-23T23:15:00Z</dcterms:created>
  <dcterms:modified xsi:type="dcterms:W3CDTF">2013-12-23T23:15:00Z</dcterms:modified>
  <cp:category/>
</cp:coreProperties>
</file>