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eastAsia="Aptos Display"/>
          <w:b/>
          <w:color w:val="173A63"/>
          <w:sz w:val="58"/>
        </w:rPr>
        <w:t>THE BUBBLE FIELD</w:t>
        <w:br/>
        <w:t>COMPRESSION BOUNDARY CLOSURE</w:t>
      </w:r>
    </w:p>
    <w:p>
      <w:pPr>
        <w:jc w:val="center"/>
      </w:pPr>
      <w:r>
        <w:rPr>
          <w:rFonts w:ascii="Aptos" w:hAnsi="Aptos" w:eastAsia="Aptos"/>
          <w:color w:val="5F6B76"/>
          <w:sz w:val="27"/>
        </w:rPr>
        <w:t>What the field can recover, what needs a constitutive key, and where the compression must stop</w:t>
      </w:r>
    </w:p>
    <w:p>
      <w:pPr>
        <w:spacing w:before="360"/>
        <w:jc w:val="center"/>
      </w:pPr>
      <w:r>
        <w:rPr>
          <w:rFonts w:ascii="Aptos" w:hAnsi="Aptos" w:eastAsia="Aptos"/>
          <w:b/>
          <w:color w:val="173A63"/>
          <w:sz w:val="30"/>
        </w:rPr>
        <w:t>Joseph Shields</w:t>
      </w:r>
    </w:p>
    <w:p>
      <w:pPr>
        <w:jc w:val="center"/>
      </w:pPr>
      <w:r>
        <w:rPr>
          <w:rFonts w:ascii="Aptos" w:hAnsi="Aptos" w:eastAsia="Aptos"/>
          <w:color w:val="5F6B76"/>
          <w:sz w:val="20"/>
        </w:rPr>
        <w:t>Formal reconstruction and reproducibility with ChatGPT</w:t>
      </w:r>
    </w:p>
    <w:p>
      <w:pPr>
        <w:spacing w:before="480"/>
        <w:jc w:val="center"/>
      </w:pPr>
      <w:r>
        <w:rPr>
          <w:rFonts w:ascii="Aptos" w:hAnsi="Aptos" w:eastAsia="Aptos"/>
          <w:b/>
          <w:color w:val="315C8A"/>
          <w:sz w:val="20"/>
        </w:rPr>
        <w:t>Core rule</w:t>
      </w: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Compression Sufficiency Rule  </w:t>
            </w:r>
            <w:r>
              <w:rPr>
                <w:rFonts w:ascii="Aptos" w:hAnsi="Aptos" w:eastAsia="Aptos"/>
                <w:color w:val="27313A"/>
                <w:sz w:val="19"/>
              </w:rPr>
              <w:t>The field is required to recover every quantity that is invariant under its compression map. It is not required - and is mathematically unable - to recover distinctions erased by that map unless an additional constitutive or measurement key is supplied.</w:t>
            </w:r>
          </w:p>
        </w:tc>
      </w:tr>
    </w:tbl>
    <w:p>
      <w:pPr>
        <w:spacing w:after="0"/>
      </w:pPr>
    </w:p>
    <w:p>
      <w:pPr>
        <w:spacing w:before="360"/>
        <w:jc w:val="center"/>
      </w:pPr>
      <w:r>
        <w:rPr>
          <w:rFonts w:ascii="Aptos" w:hAnsi="Aptos" w:eastAsia="Aptos"/>
          <w:i/>
          <w:color w:val="5F6B76"/>
          <w:sz w:val="19"/>
        </w:rPr>
        <w:t>This edition supersedes the optimistic weak-scale and lepton grading in the previous Closure Attack. The lepton ansatz is withdrawn; the electroweak coefficient is reclassified as matching; the exact source dictionary and compression theorem are retained.</w:t>
      </w:r>
    </w:p>
    <w:p>
      <w:r>
        <w:br w:type="page"/>
      </w:r>
    </w:p>
    <w:p>
      <w:pPr>
        <w:pStyle w:val="Heading1"/>
        <w:pBdr>
          <w:bottom w:val="single" w:sz="8" w:space="4" w:color="173A63"/>
        </w:pBdr>
      </w:pPr>
      <w:r>
        <w:t>Executive closure</w:t>
      </w:r>
    </w:p>
    <w:p>
      <w:r>
        <w:t>The exact stopping point is now known. In the local scalar-phase sector, four cell variables are compressed into three field variables. The map has rank three and a one-dimensional kernel. Therefore the Universal Field of Least Action reconstructs the complete metric/source/phase description, while metric observations cannot split light-barrier deformation from number-density deformation. The field is not expected to invent the object being described or the measured boundary that gives the calculation physical scale; those are the declared question, not missing outputs.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C(α_M, α_L, ν, θ) = (A, B, Θ) = (-α_M, α_L + ν/3, θ)</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rank(DC)=3,     ker(DC)=span{(0,1,-3,0)}</w:t>
            </w:r>
          </w:p>
          <w:p>
            <w:pPr>
              <w:jc w:val="right"/>
            </w:pPr>
            <w:r>
              <w:rPr>
                <w:rFonts w:ascii="Aptos" w:hAnsi="Aptos" w:eastAsia="Aptos"/>
                <w:i/>
                <w:color w:val="5F6B76"/>
                <w:sz w:val="16"/>
              </w:rPr>
              <w:t>one exact hidden local degree</w:t>
            </w:r>
          </w:p>
        </w:tc>
      </w:tr>
    </w:tbl>
    <w:p>
      <w:pPr>
        <w:spacing w:after="0" w:before="0"/>
      </w:pPr>
    </w:p>
    <w:tbl>
      <w:tblPr>
        <w:tblW w:type="auto" w:w="0"/>
        <w:jc w:val="center"/>
        <w:tblLook w:firstColumn="1" w:firstRow="1" w:lastColumn="0" w:lastRow="0" w:noHBand="0" w:noVBand="1" w:val="04A0"/>
      </w:tblPr>
      <w:tblGrid>
        <w:gridCol w:w="2541"/>
        <w:gridCol w:w="2541"/>
        <w:gridCol w:w="2541"/>
        <w:gridCol w:w="2541"/>
      </w:tblGrid>
      <w:tr>
        <w:tc>
          <w:tcPr>
            <w:tcW w:type="dxa" w:w="2541"/>
            <w:shd w:fill="EEF4FA"/>
            <w:tcMar>
              <w:top w:w="75" w:type="dxa"/>
              <w:start w:w="95" w:type="dxa"/>
              <w:bottom w:w="75" w:type="dxa"/>
              <w:end w:w="95" w:type="dxa"/>
            </w:tcMar>
          </w:tcPr>
          <w:p>
            <w:pPr>
              <w:jc w:val="center"/>
            </w:pPr>
            <w:r>
              <w:rPr>
                <w:rFonts w:ascii="Aptos" w:hAnsi="Aptos" w:eastAsia="Aptos"/>
                <w:b/>
                <w:color w:val="5F6B76"/>
                <w:sz w:val="16"/>
              </w:rPr>
              <w:t>Compression rank</w:t>
            </w:r>
          </w:p>
        </w:tc>
        <w:tc>
          <w:tcPr>
            <w:tcW w:type="dxa" w:w="2541"/>
            <w:shd w:fill="EEF4FA"/>
            <w:tcMar>
              <w:top w:w="75" w:type="dxa"/>
              <w:start w:w="95" w:type="dxa"/>
              <w:bottom w:w="75" w:type="dxa"/>
              <w:end w:w="95" w:type="dxa"/>
            </w:tcMar>
          </w:tcPr>
          <w:p>
            <w:pPr>
              <w:jc w:val="center"/>
            </w:pPr>
            <w:r>
              <w:rPr>
                <w:rFonts w:ascii="Aptos" w:hAnsi="Aptos" w:eastAsia="Aptos"/>
                <w:b/>
                <w:color w:val="5F6B76"/>
                <w:sz w:val="16"/>
              </w:rPr>
              <w:t>Hidden split</w:t>
            </w:r>
          </w:p>
        </w:tc>
        <w:tc>
          <w:tcPr>
            <w:tcW w:type="dxa" w:w="2541"/>
            <w:shd w:fill="EEF4FA"/>
            <w:tcMar>
              <w:top w:w="75" w:type="dxa"/>
              <w:start w:w="95" w:type="dxa"/>
              <w:bottom w:w="75" w:type="dxa"/>
              <w:end w:w="95" w:type="dxa"/>
            </w:tcMar>
          </w:tcPr>
          <w:p>
            <w:pPr>
              <w:jc w:val="center"/>
            </w:pPr>
            <w:r>
              <w:rPr>
                <w:rFonts w:ascii="Aptos" w:hAnsi="Aptos" w:eastAsia="Aptos"/>
                <w:b/>
                <w:color w:val="5F6B76"/>
                <w:sz w:val="16"/>
              </w:rPr>
              <w:t>G candidate</w:t>
            </w:r>
          </w:p>
        </w:tc>
        <w:tc>
          <w:tcPr>
            <w:tcW w:type="dxa" w:w="2541"/>
            <w:shd w:fill="EEF4FA"/>
            <w:tcMar>
              <w:top w:w="75" w:type="dxa"/>
              <w:start w:w="95" w:type="dxa"/>
              <w:bottom w:w="75" w:type="dxa"/>
              <w:end w:w="95" w:type="dxa"/>
            </w:tcMar>
          </w:tcPr>
          <w:p>
            <w:pPr>
              <w:jc w:val="center"/>
            </w:pPr>
            <w:r>
              <w:rPr>
                <w:rFonts w:ascii="Aptos" w:hAnsi="Aptos" w:eastAsia="Aptos"/>
                <w:b/>
                <w:color w:val="5F6B76"/>
                <w:sz w:val="16"/>
              </w:rPr>
              <w:t>UV/IR bridge</w:t>
            </w:r>
          </w:p>
        </w:tc>
      </w:tr>
      <w:tr>
        <w:tc>
          <w:tcPr>
            <w:tcW w:type="dxa" w:w="2541"/>
            <w:tcMar>
              <w:top w:w="75" w:type="dxa"/>
              <w:start w:w="95" w:type="dxa"/>
              <w:bottom w:w="75" w:type="dxa"/>
              <w:end w:w="95" w:type="dxa"/>
            </w:tcMar>
          </w:tcPr>
          <w:p>
            <w:pPr>
              <w:jc w:val="center"/>
            </w:pPr>
            <w:r>
              <w:rPr>
                <w:rFonts w:ascii="Aptos Display" w:hAnsi="Aptos Display" w:eastAsia="Aptos Display"/>
                <w:b/>
                <w:color w:val="173A63"/>
                <w:sz w:val="29"/>
              </w:rPr>
              <w:t>3</w:t>
            </w:r>
          </w:p>
          <w:p>
            <w:pPr>
              <w:jc w:val="center"/>
            </w:pPr>
            <w:r>
              <w:rPr>
                <w:rFonts w:ascii="Aptos" w:hAnsi="Aptos" w:eastAsia="Aptos"/>
                <w:color w:val="5F6B76"/>
                <w:sz w:val="15"/>
              </w:rPr>
              <w:t>of 4 local variables</w:t>
            </w:r>
          </w:p>
        </w:tc>
        <w:tc>
          <w:tcPr>
            <w:tcW w:type="dxa" w:w="2541"/>
            <w:tcMar>
              <w:top w:w="75" w:type="dxa"/>
              <w:start w:w="95" w:type="dxa"/>
              <w:bottom w:w="75" w:type="dxa"/>
              <w:end w:w="95" w:type="dxa"/>
            </w:tcMar>
          </w:tcPr>
          <w:p>
            <w:pPr>
              <w:jc w:val="center"/>
            </w:pPr>
            <w:r>
              <w:rPr>
                <w:rFonts w:ascii="Aptos Display" w:hAnsi="Aptos Display" w:eastAsia="Aptos Display"/>
                <w:b/>
                <w:color w:val="173A63"/>
                <w:sz w:val="29"/>
              </w:rPr>
              <w:t>1</w:t>
            </w:r>
          </w:p>
          <w:p>
            <w:pPr>
              <w:jc w:val="center"/>
            </w:pPr>
            <w:r>
              <w:rPr>
                <w:rFonts w:ascii="Aptos" w:hAnsi="Aptos" w:eastAsia="Aptos"/>
                <w:color w:val="5F6B76"/>
                <w:sz w:val="15"/>
              </w:rPr>
              <w:t>α_L versus ν</w:t>
            </w:r>
          </w:p>
        </w:tc>
        <w:tc>
          <w:tcPr>
            <w:tcW w:type="dxa" w:w="2541"/>
            <w:tcMar>
              <w:top w:w="75" w:type="dxa"/>
              <w:start w:w="95" w:type="dxa"/>
              <w:bottom w:w="75" w:type="dxa"/>
              <w:end w:w="95" w:type="dxa"/>
            </w:tcMar>
          </w:tcPr>
          <w:p>
            <w:pPr>
              <w:jc w:val="center"/>
            </w:pPr>
            <w:r>
              <w:rPr>
                <w:rFonts w:ascii="Aptos Display" w:hAnsi="Aptos Display" w:eastAsia="Aptos Display"/>
                <w:b/>
                <w:color w:val="173A63"/>
                <w:sz w:val="29"/>
              </w:rPr>
              <w:t>6.6643853e-11</w:t>
            </w:r>
          </w:p>
          <w:p>
            <w:pPr>
              <w:jc w:val="center"/>
            </w:pPr>
            <w:r>
              <w:rPr>
                <w:rFonts w:ascii="Aptos" w:hAnsi="Aptos" w:eastAsia="Aptos"/>
                <w:color w:val="5F6B76"/>
                <w:sz w:val="15"/>
              </w:rPr>
              <w:t>m³ kg⁻¹ s⁻²</w:t>
            </w:r>
          </w:p>
        </w:tc>
        <w:tc>
          <w:tcPr>
            <w:tcW w:type="dxa" w:w="2541"/>
            <w:tcMar>
              <w:top w:w="75" w:type="dxa"/>
              <w:start w:w="95" w:type="dxa"/>
              <w:bottom w:w="75" w:type="dxa"/>
              <w:end w:w="95" w:type="dxa"/>
            </w:tcMar>
          </w:tcPr>
          <w:p>
            <w:pPr>
              <w:jc w:val="center"/>
            </w:pPr>
            <w:r>
              <w:rPr>
                <w:rFonts w:ascii="Aptos Display" w:hAnsi="Aptos Display" w:eastAsia="Aptos Display"/>
                <w:b/>
                <w:color w:val="173A63"/>
                <w:sz w:val="29"/>
              </w:rPr>
              <w:t>5.242</w:t>
            </w:r>
          </w:p>
          <w:p>
            <w:pPr>
              <w:jc w:val="center"/>
            </w:pPr>
            <w:r>
              <w:rPr>
                <w:rFonts w:ascii="Aptos" w:hAnsi="Aptos" w:eastAsia="Aptos"/>
                <w:color w:val="5F6B76"/>
                <w:sz w:val="15"/>
              </w:rPr>
              <w:t>TeV</w:t>
            </w:r>
          </w:p>
        </w:tc>
      </w:tr>
    </w:tbl>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What “closed out” means here  </w:t>
            </w:r>
            <w:r>
              <w:rPr>
                <w:rFonts w:ascii="Aptos" w:hAnsi="Aptos" w:eastAsia="Aptos"/>
                <w:color w:val="27313A"/>
                <w:sz w:val="19"/>
              </w:rPr>
              <w:t>Every claim is assigned to its mathematically correct class: direct compressed result, conditional constitutive result, calibrated matching, algebraic translator, outside-resolution target, or rejected claim. An outside-resolution quantity is not counted as a failure of the compression; a missed quantity inside the declared output space is.</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A63"/>
            <w:tcMar>
              <w:top w:w="75" w:type="dxa"/>
              <w:start w:w="95" w:type="dxa"/>
              <w:bottom w:w="75" w:type="dxa"/>
              <w:end w:w="95" w:type="dxa"/>
            </w:tcMar>
          </w:tcPr>
          <w:p>
            <w:r>
              <w:rPr>
                <w:rFonts w:ascii="Aptos" w:hAnsi="Aptos" w:eastAsia="Aptos"/>
                <w:b/>
                <w:color w:val="FFFFFF"/>
                <w:sz w:val="16"/>
              </w:rPr>
              <w:t>Claim</w:t>
            </w:r>
          </w:p>
        </w:tc>
        <w:tc>
          <w:tcPr>
            <w:tcW w:type="dxa" w:w="2541"/>
            <w:shd w:fill="173A63"/>
            <w:tcMar>
              <w:top w:w="75" w:type="dxa"/>
              <w:start w:w="95" w:type="dxa"/>
              <w:bottom w:w="75" w:type="dxa"/>
              <w:end w:w="95" w:type="dxa"/>
            </w:tcMar>
          </w:tcPr>
          <w:p>
            <w:r>
              <w:rPr>
                <w:rFonts w:ascii="Aptos" w:hAnsi="Aptos" w:eastAsia="Aptos"/>
                <w:b/>
                <w:color w:val="FFFFFF"/>
                <w:sz w:val="16"/>
              </w:rPr>
              <w:t>Field location</w:t>
            </w:r>
          </w:p>
        </w:tc>
        <w:tc>
          <w:tcPr>
            <w:tcW w:type="dxa" w:w="2541"/>
            <w:shd w:fill="173A63"/>
            <w:tcMar>
              <w:top w:w="75" w:type="dxa"/>
              <w:start w:w="95" w:type="dxa"/>
              <w:bottom w:w="75" w:type="dxa"/>
              <w:end w:w="95" w:type="dxa"/>
            </w:tcMar>
          </w:tcPr>
          <w:p>
            <w:r>
              <w:rPr>
                <w:rFonts w:ascii="Aptos" w:hAnsi="Aptos" w:eastAsia="Aptos"/>
                <w:b/>
                <w:color w:val="FFFFFF"/>
                <w:sz w:val="16"/>
              </w:rPr>
              <w:t>Final status</w:t>
            </w:r>
          </w:p>
        </w:tc>
        <w:tc>
          <w:tcPr>
            <w:tcW w:type="dxa" w:w="2541"/>
            <w:shd w:fill="173A63"/>
            <w:tcMar>
              <w:top w:w="75" w:type="dxa"/>
              <w:start w:w="95" w:type="dxa"/>
              <w:bottom w:w="75" w:type="dxa"/>
              <w:end w:w="95" w:type="dxa"/>
            </w:tcMar>
          </w:tcPr>
          <w:p>
            <w:r>
              <w:rPr>
                <w:rFonts w:ascii="Aptos" w:hAnsi="Aptos" w:eastAsia="Aptos"/>
                <w:b/>
                <w:color w:val="FFFFFF"/>
                <w:sz w:val="16"/>
              </w:rPr>
              <w:t>Closure statement</w:t>
            </w:r>
          </w:p>
        </w:tc>
      </w:tr>
      <w:tr>
        <w:tc>
          <w:tcPr>
            <w:tcW w:type="dxa" w:w="2541"/>
            <w:tcMar>
              <w:top w:w="45" w:type="dxa"/>
              <w:start w:w="65" w:type="dxa"/>
              <w:bottom w:w="45" w:type="dxa"/>
              <w:end w:w="65" w:type="dxa"/>
            </w:tcMar>
          </w:tcPr>
          <w:p>
            <w:r>
              <w:rPr>
                <w:rFonts w:ascii="Aptos" w:hAnsi="Aptos" w:eastAsia="Aptos"/>
                <w:sz w:val="14"/>
              </w:rPr>
              <w:t>Golden fixed point, channel weights, traversal floor</w:t>
            </w:r>
          </w:p>
        </w:tc>
        <w:tc>
          <w:tcPr>
            <w:tcW w:type="dxa" w:w="2541"/>
            <w:tcMar>
              <w:top w:w="45" w:type="dxa"/>
              <w:start w:w="65" w:type="dxa"/>
              <w:bottom w:w="45" w:type="dxa"/>
              <w:end w:w="65" w:type="dxa"/>
            </w:tcMar>
          </w:tcPr>
          <w:p>
            <w:r>
              <w:rPr>
                <w:rFonts w:ascii="Aptos" w:hAnsi="Aptos" w:eastAsia="Aptos"/>
                <w:sz w:val="14"/>
              </w:rPr>
              <w:t>INTERNAL INVARIANT</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RESULT</w:t>
            </w:r>
          </w:p>
        </w:tc>
        <w:tc>
          <w:tcPr>
            <w:tcW w:type="dxa" w:w="2541"/>
            <w:tcMar>
              <w:top w:w="45" w:type="dxa"/>
              <w:start w:w="65" w:type="dxa"/>
              <w:bottom w:w="45" w:type="dxa"/>
              <w:end w:w="65" w:type="dxa"/>
            </w:tcMar>
          </w:tcPr>
          <w:p>
            <w:r>
              <w:rPr>
                <w:rFonts w:ascii="Aptos" w:hAnsi="Aptos" w:eastAsia="Aptos"/>
                <w:sz w:val="14"/>
              </w:rPr>
              <w:t>Exact algebra once the physical golden realization is admitted.</w:t>
            </w:r>
          </w:p>
        </w:tc>
      </w:tr>
      <w:tr>
        <w:tc>
          <w:tcPr>
            <w:tcW w:type="dxa" w:w="2541"/>
            <w:tcMar>
              <w:top w:w="45" w:type="dxa"/>
              <w:start w:w="65" w:type="dxa"/>
              <w:bottom w:w="45" w:type="dxa"/>
              <w:end w:w="65" w:type="dxa"/>
            </w:tcMar>
          </w:tcPr>
          <w:p>
            <w:r>
              <w:rPr>
                <w:rFonts w:ascii="Aptos" w:hAnsi="Aptos" w:eastAsia="Aptos"/>
                <w:sz w:val="14"/>
              </w:rPr>
              <w:t>Cell scale a0(W)=(W hbar c/rho_Lambda)^(1/4)</w:t>
            </w:r>
          </w:p>
        </w:tc>
        <w:tc>
          <w:tcPr>
            <w:tcW w:type="dxa" w:w="2541"/>
            <w:tcMar>
              <w:top w:w="45" w:type="dxa"/>
              <w:start w:w="65" w:type="dxa"/>
              <w:bottom w:w="45" w:type="dxa"/>
              <w:end w:w="65" w:type="dxa"/>
            </w:tcMar>
          </w:tcPr>
          <w:p>
            <w:r>
              <w:rPr>
                <w:rFonts w:ascii="Aptos" w:hAnsi="Aptos" w:eastAsia="Aptos"/>
                <w:sz w:val="14"/>
              </w:rPr>
              <w:t>DIMENSIONAL OUTPUT</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tcPr>
          <w:p>
            <w:r>
              <w:rPr>
                <w:rFonts w:ascii="Aptos" w:hAnsi="Aptos" w:eastAsia="Aptos"/>
                <w:sz w:val="14"/>
              </w:rPr>
              <w:t>Exact family; the branch W=1 or W=W_M is a declared vacuum-channel assignment.</w:t>
            </w:r>
          </w:p>
        </w:tc>
      </w:tr>
      <w:tr>
        <w:tc>
          <w:tcPr>
            <w:tcW w:type="dxa" w:w="2541"/>
            <w:tcMar>
              <w:top w:w="45" w:type="dxa"/>
              <w:start w:w="65" w:type="dxa"/>
              <w:bottom w:w="45" w:type="dxa"/>
              <w:end w:w="65" w:type="dxa"/>
            </w:tcMar>
          </w:tcPr>
          <w:p>
            <w:r>
              <w:rPr>
                <w:rFonts w:ascii="Aptos" w:hAnsi="Aptos" w:eastAsia="Aptos"/>
                <w:sz w:val="14"/>
              </w:rPr>
              <w:t>w=-1</w:t>
            </w:r>
          </w:p>
        </w:tc>
        <w:tc>
          <w:tcPr>
            <w:tcW w:type="dxa" w:w="2541"/>
            <w:tcMar>
              <w:top w:w="45" w:type="dxa"/>
              <w:start w:w="65" w:type="dxa"/>
              <w:bottom w:w="45" w:type="dxa"/>
              <w:end w:w="65" w:type="dxa"/>
            </w:tcMar>
          </w:tcPr>
          <w:p>
            <w:r>
              <w:rPr>
                <w:rFonts w:ascii="Aptos" w:hAnsi="Aptos" w:eastAsia="Aptos"/>
                <w:sz w:val="14"/>
              </w:rPr>
              <w:t>MACRO INVARIANT</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tcPr>
          <w:p>
            <w:r>
              <w:rPr>
                <w:rFonts w:ascii="Aptos" w:hAnsi="Aptos" w:eastAsia="Aptos"/>
                <w:sz w:val="14"/>
              </w:rPr>
              <w:t>Follows exactly from the continuity equation if cell renewal keeps rho_Lambda constant during expansion.</w:t>
            </w:r>
          </w:p>
        </w:tc>
      </w:tr>
      <w:tr>
        <w:tc>
          <w:tcPr>
            <w:tcW w:type="dxa" w:w="2541"/>
            <w:tcMar>
              <w:top w:w="45" w:type="dxa"/>
              <w:start w:w="65" w:type="dxa"/>
              <w:bottom w:w="45" w:type="dxa"/>
              <w:end w:w="65" w:type="dxa"/>
            </w:tcMar>
          </w:tcPr>
          <w:p>
            <w:r>
              <w:rPr>
                <w:rFonts w:ascii="Aptos" w:hAnsi="Aptos" w:eastAsia="Aptos"/>
                <w:sz w:val="14"/>
              </w:rPr>
              <w:t>Metric/source sector in A and B</w:t>
            </w:r>
          </w:p>
        </w:tc>
        <w:tc>
          <w:tcPr>
            <w:tcW w:type="dxa" w:w="2541"/>
            <w:tcMar>
              <w:top w:w="45" w:type="dxa"/>
              <w:start w:w="65" w:type="dxa"/>
              <w:bottom w:w="45" w:type="dxa"/>
              <w:end w:w="65" w:type="dxa"/>
            </w:tcMar>
          </w:tcPr>
          <w:p>
            <w:r>
              <w:rPr>
                <w:rFonts w:ascii="Aptos" w:hAnsi="Aptos" w:eastAsia="Aptos"/>
                <w:sz w:val="14"/>
              </w:rPr>
              <w:t>COMPRESSED FIELD</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EXACT REPRESENTATION</w:t>
            </w:r>
          </w:p>
        </w:tc>
        <w:tc>
          <w:tcPr>
            <w:tcW w:type="dxa" w:w="2541"/>
            <w:tcMar>
              <w:top w:w="45" w:type="dxa"/>
              <w:start w:w="65" w:type="dxa"/>
              <w:bottom w:w="45" w:type="dxa"/>
              <w:end w:w="65" w:type="dxa"/>
            </w:tcMar>
          </w:tcPr>
          <w:p>
            <w:r>
              <w:rPr>
                <w:rFonts w:ascii="Aptos" w:hAnsi="Aptos" w:eastAsia="Aptos"/>
                <w:sz w:val="14"/>
              </w:rPr>
              <w:t>GR determines A and B; all metric observables factor through them.</w:t>
            </w:r>
          </w:p>
        </w:tc>
      </w:tr>
      <w:tr>
        <w:tc>
          <w:tcPr>
            <w:tcW w:type="dxa" w:w="2541"/>
            <w:tcMar>
              <w:top w:w="45" w:type="dxa"/>
              <w:start w:w="65" w:type="dxa"/>
              <w:bottom w:w="45" w:type="dxa"/>
              <w:end w:w="65" w:type="dxa"/>
            </w:tcMar>
          </w:tcPr>
          <w:p>
            <w:r>
              <w:rPr>
                <w:rFonts w:ascii="Aptos" w:hAnsi="Aptos" w:eastAsia="Aptos"/>
                <w:sz w:val="14"/>
              </w:rPr>
              <w:t>Separate alpha_L and nu</w:t>
            </w:r>
          </w:p>
        </w:tc>
        <w:tc>
          <w:tcPr>
            <w:tcW w:type="dxa" w:w="2541"/>
            <w:tcMar>
              <w:top w:w="45" w:type="dxa"/>
              <w:start w:w="65" w:type="dxa"/>
              <w:bottom w:w="45" w:type="dxa"/>
              <w:end w:w="65" w:type="dxa"/>
            </w:tcMar>
          </w:tcPr>
          <w:p>
            <w:r>
              <w:rPr>
                <w:rFonts w:ascii="Aptos" w:hAnsi="Aptos" w:eastAsia="Aptos"/>
                <w:sz w:val="14"/>
              </w:rPr>
              <w:t>KERNEL DEGREE</w:t>
            </w:r>
          </w:p>
        </w:tc>
        <w:tc>
          <w:tcPr>
            <w:tcW w:type="dxa" w:w="2541"/>
            <w:tcMar>
              <w:top w:w="45" w:type="dxa"/>
              <w:start w:w="65" w:type="dxa"/>
              <w:bottom w:w="45" w:type="dxa"/>
              <w:end w:w="65" w:type="dxa"/>
            </w:tcMar>
            <w:shd w:fill="F2F4F7"/>
          </w:tcPr>
          <w:p>
            <w:pPr>
              <w:jc w:val="center"/>
            </w:pPr>
            <w:r>
              <w:rPr>
                <w:rFonts w:ascii="Aptos" w:hAnsi="Aptos" w:eastAsia="Aptos"/>
                <w:b/>
                <w:color w:val="5F6B76"/>
                <w:sz w:val="15"/>
              </w:rPr>
              <w:t>NOT IDENTIFIABLE FROM METRIC</w:t>
            </w:r>
          </w:p>
        </w:tc>
        <w:tc>
          <w:tcPr>
            <w:tcW w:type="dxa" w:w="2541"/>
            <w:tcMar>
              <w:top w:w="45" w:type="dxa"/>
              <w:start w:w="65" w:type="dxa"/>
              <w:bottom w:w="45" w:type="dxa"/>
              <w:end w:w="65" w:type="dxa"/>
            </w:tcMar>
          </w:tcPr>
          <w:p>
            <w:r>
              <w:rPr>
                <w:rFonts w:ascii="Aptos" w:hAnsi="Aptos" w:eastAsia="Aptos"/>
                <w:sz w:val="14"/>
              </w:rPr>
              <w:t>Requires a nonmetric observation or a constitutive section.</w:t>
            </w:r>
          </w:p>
        </w:tc>
      </w:tr>
      <w:tr>
        <w:tc>
          <w:tcPr>
            <w:tcW w:type="dxa" w:w="2541"/>
            <w:tcMar>
              <w:top w:w="45" w:type="dxa"/>
              <w:start w:w="65" w:type="dxa"/>
              <w:bottom w:w="45" w:type="dxa"/>
              <w:end w:w="65" w:type="dxa"/>
            </w:tcMar>
          </w:tcPr>
          <w:p>
            <w:r>
              <w:rPr>
                <w:rFonts w:ascii="Aptos" w:hAnsi="Aptos" w:eastAsia="Aptos"/>
                <w:sz w:val="14"/>
              </w:rPr>
              <w:t>alpha_L/alpha_M = r/u = 1/sqrt(5)</w:t>
            </w:r>
          </w:p>
        </w:tc>
        <w:tc>
          <w:tcPr>
            <w:tcW w:type="dxa" w:w="2541"/>
            <w:tcMar>
              <w:top w:w="45" w:type="dxa"/>
              <w:start w:w="65" w:type="dxa"/>
              <w:bottom w:w="45" w:type="dxa"/>
              <w:end w:w="65" w:type="dxa"/>
            </w:tcMar>
          </w:tcPr>
          <w:p>
            <w:r>
              <w:rPr>
                <w:rFonts w:ascii="Aptos" w:hAnsi="Aptos" w:eastAsia="Aptos"/>
                <w:sz w:val="14"/>
              </w:rPr>
              <w:t>CONSTITUTIVE SECTION</w:t>
            </w:r>
          </w:p>
        </w:tc>
        <w:tc>
          <w:tcPr>
            <w:tcW w:type="dxa" w:w="2541"/>
            <w:tcMar>
              <w:top w:w="45" w:type="dxa"/>
              <w:start w:w="65" w:type="dxa"/>
              <w:bottom w:w="45" w:type="dxa"/>
              <w:end w:w="65" w:type="dxa"/>
            </w:tcMar>
            <w:shd w:fill="FFF7E8"/>
          </w:tcPr>
          <w:p>
            <w:pPr>
              <w:jc w:val="center"/>
            </w:pPr>
            <w:r>
              <w:rPr>
                <w:rFonts w:ascii="Aptos" w:hAnsi="Aptos" w:eastAsia="Aptos"/>
                <w:b/>
                <w:color w:val="9A6400"/>
                <w:sz w:val="15"/>
              </w:rPr>
              <w:t>CONDITIONAL THEOREM</w:t>
            </w:r>
          </w:p>
        </w:tc>
        <w:tc>
          <w:tcPr>
            <w:tcW w:type="dxa" w:w="2541"/>
            <w:tcMar>
              <w:top w:w="45" w:type="dxa"/>
              <w:start w:w="65" w:type="dxa"/>
              <w:bottom w:w="45" w:type="dxa"/>
              <w:end w:w="65" w:type="dxa"/>
            </w:tcMar>
          </w:tcPr>
          <w:p>
            <w:r>
              <w:rPr>
                <w:rFonts w:ascii="Aptos" w:hAnsi="Aptos" w:eastAsia="Aptos"/>
                <w:sz w:val="14"/>
              </w:rPr>
              <w:t>Forced by least Euclidean response cost under the mixed-boundary constraint r alpha_L + u alpha_M = chi.</w:t>
            </w:r>
          </w:p>
        </w:tc>
      </w:tr>
      <w:tr>
        <w:tc>
          <w:tcPr>
            <w:tcW w:type="dxa" w:w="2541"/>
            <w:tcMar>
              <w:top w:w="45" w:type="dxa"/>
              <w:start w:w="65" w:type="dxa"/>
              <w:bottom w:w="45" w:type="dxa"/>
              <w:end w:w="65" w:type="dxa"/>
            </w:tcMar>
          </w:tcPr>
          <w:p>
            <w:r>
              <w:rPr>
                <w:rFonts w:ascii="Aptos" w:hAnsi="Aptos" w:eastAsia="Aptos"/>
                <w:sz w:val="14"/>
              </w:rPr>
              <w:t>Schwarzschild, interior star, factor-two lensing</w:t>
            </w:r>
          </w:p>
        </w:tc>
        <w:tc>
          <w:tcPr>
            <w:tcW w:type="dxa" w:w="2541"/>
            <w:tcMar>
              <w:top w:w="45" w:type="dxa"/>
              <w:start w:w="65" w:type="dxa"/>
              <w:bottom w:w="45" w:type="dxa"/>
              <w:end w:w="65" w:type="dxa"/>
            </w:tcMar>
          </w:tcPr>
          <w:p>
            <w:r>
              <w:rPr>
                <w:rFonts w:ascii="Aptos" w:hAnsi="Aptos" w:eastAsia="Aptos"/>
                <w:sz w:val="14"/>
              </w:rPr>
              <w:t>COMPRESSED FIELD</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EXACT GR RECONSTRUCTION</w:t>
            </w:r>
          </w:p>
        </w:tc>
        <w:tc>
          <w:tcPr>
            <w:tcW w:type="dxa" w:w="2541"/>
            <w:tcMar>
              <w:top w:w="45" w:type="dxa"/>
              <w:start w:w="65" w:type="dxa"/>
              <w:bottom w:w="45" w:type="dxa"/>
              <w:end w:w="65" w:type="dxa"/>
            </w:tcMar>
          </w:tcPr>
          <w:p>
            <w:r>
              <w:rPr>
                <w:rFonts w:ascii="Aptos" w:hAnsi="Aptos" w:eastAsia="Aptos"/>
                <w:sz w:val="14"/>
              </w:rPr>
              <w:t>Exact in the spherical scalar sector; not an independent derivation of GR from cell microdynamics.</w:t>
            </w:r>
          </w:p>
        </w:tc>
      </w:tr>
      <w:tr>
        <w:tc>
          <w:tcPr>
            <w:tcW w:type="dxa" w:w="2541"/>
            <w:tcMar>
              <w:top w:w="45" w:type="dxa"/>
              <w:start w:w="65" w:type="dxa"/>
              <w:bottom w:w="45" w:type="dxa"/>
              <w:end w:w="65" w:type="dxa"/>
            </w:tcMar>
          </w:tcPr>
          <w:p>
            <w:r>
              <w:rPr>
                <w:rFonts w:ascii="Aptos" w:hAnsi="Aptos" w:eastAsia="Aptos"/>
                <w:sz w:val="14"/>
              </w:rPr>
              <w:t>G from q=r^241(1-r^3)^2</w:t>
            </w:r>
          </w:p>
        </w:tc>
        <w:tc>
          <w:tcPr>
            <w:tcW w:type="dxa" w:w="2541"/>
            <w:tcMar>
              <w:top w:w="45" w:type="dxa"/>
              <w:start w:w="65" w:type="dxa"/>
              <w:bottom w:w="45" w:type="dxa"/>
              <w:end w:w="65" w:type="dxa"/>
            </w:tcMar>
          </w:tcPr>
          <w:p>
            <w:r>
              <w:rPr>
                <w:rFonts w:ascii="Aptos" w:hAnsi="Aptos" w:eastAsia="Aptos"/>
                <w:sz w:val="14"/>
              </w:rPr>
              <w:t>DISCRETE BRIDGE</w:t>
            </w:r>
          </w:p>
        </w:tc>
        <w:tc>
          <w:tcPr>
            <w:tcW w:type="dxa" w:w="2541"/>
            <w:tcMar>
              <w:top w:w="45" w:type="dxa"/>
              <w:start w:w="65" w:type="dxa"/>
              <w:bottom w:w="45" w:type="dxa"/>
              <w:end w:w="65" w:type="dxa"/>
            </w:tcMar>
            <w:shd w:fill="FFF7E8"/>
          </w:tcPr>
          <w:p>
            <w:pPr>
              <w:jc w:val="center"/>
            </w:pPr>
            <w:r>
              <w:rPr>
                <w:rFonts w:ascii="Aptos" w:hAnsi="Aptos" w:eastAsia="Aptos"/>
                <w:b/>
                <w:color w:val="9A6400"/>
                <w:sz w:val="15"/>
              </w:rPr>
              <w:t>POSTDICTIVE CONDITIONAL FORECAST</w:t>
            </w:r>
          </w:p>
        </w:tc>
        <w:tc>
          <w:tcPr>
            <w:tcW w:type="dxa" w:w="2541"/>
            <w:tcMar>
              <w:top w:w="45" w:type="dxa"/>
              <w:start w:w="65" w:type="dxa"/>
              <w:bottom w:w="45" w:type="dxa"/>
              <w:end w:w="65" w:type="dxa"/>
            </w:tcMar>
          </w:tcPr>
          <w:p>
            <w:r>
              <w:rPr>
                <w:rFonts w:ascii="Aptos" w:hAnsi="Aptos" w:eastAsia="Aptos"/>
                <w:sz w:val="14"/>
              </w:rPr>
              <w:t>Conditional theorem under 240-mode factorization, one readout, and two retained interrogative legs; frozen for future Lambda tests.</w:t>
            </w:r>
          </w:p>
        </w:tc>
      </w:tr>
      <w:tr>
        <w:tc>
          <w:tcPr>
            <w:tcW w:type="dxa" w:w="2541"/>
            <w:tcMar>
              <w:top w:w="45" w:type="dxa"/>
              <w:start w:w="65" w:type="dxa"/>
              <w:bottom w:w="45" w:type="dxa"/>
              <w:end w:w="65" w:type="dxa"/>
            </w:tcMar>
          </w:tcPr>
          <w:p>
            <w:r>
              <w:rPr>
                <w:rFonts w:ascii="Aptos" w:hAnsi="Aptos" w:eastAsia="Aptos"/>
                <w:sz w:val="14"/>
              </w:rPr>
              <w:t>UV/IR scale E_cross=sqrt(E_P E_0)</w:t>
            </w:r>
          </w:p>
        </w:tc>
        <w:tc>
          <w:tcPr>
            <w:tcW w:type="dxa" w:w="2541"/>
            <w:tcMar>
              <w:top w:w="45" w:type="dxa"/>
              <w:start w:w="65" w:type="dxa"/>
              <w:bottom w:w="45" w:type="dxa"/>
              <w:end w:w="65" w:type="dxa"/>
            </w:tcMar>
          </w:tcPr>
          <w:p>
            <w:r>
              <w:rPr>
                <w:rFonts w:ascii="Aptos" w:hAnsi="Aptos" w:eastAsia="Aptos"/>
                <w:sz w:val="14"/>
              </w:rPr>
              <w:t>STRUCTURAL SCALE</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RESULT/IDENTITY</w:t>
            </w:r>
          </w:p>
        </w:tc>
        <w:tc>
          <w:tcPr>
            <w:tcW w:type="dxa" w:w="2541"/>
            <w:tcMar>
              <w:top w:w="45" w:type="dxa"/>
              <w:start w:w="65" w:type="dxa"/>
              <w:bottom w:w="45" w:type="dxa"/>
              <w:end w:w="65" w:type="dxa"/>
            </w:tcMar>
          </w:tcPr>
          <w:p>
            <w:r>
              <w:rPr>
                <w:rFonts w:ascii="Aptos" w:hAnsi="Aptos" w:eastAsia="Aptos"/>
                <w:sz w:val="14"/>
              </w:rPr>
              <w:t>Exact energy form of a0=sqrt(l_P L_Lambda) after the G bridge is supplied.</w:t>
            </w:r>
          </w:p>
        </w:tc>
      </w:tr>
      <w:tr>
        <w:tc>
          <w:tcPr>
            <w:tcW w:type="dxa" w:w="2541"/>
            <w:tcMar>
              <w:top w:w="45" w:type="dxa"/>
              <w:start w:w="65" w:type="dxa"/>
              <w:bottom w:w="45" w:type="dxa"/>
              <w:end w:w="65" w:type="dxa"/>
            </w:tcMar>
          </w:tcPr>
          <w:p>
            <w:r>
              <w:rPr>
                <w:rFonts w:ascii="Aptos" w:hAnsi="Aptos" w:eastAsia="Aptos"/>
                <w:sz w:val="14"/>
              </w:rPr>
              <w:t>Electroweak VEV 246 GeV</w:t>
            </w:r>
          </w:p>
        </w:tc>
        <w:tc>
          <w:tcPr>
            <w:tcW w:type="dxa" w:w="2541"/>
            <w:tcMar>
              <w:top w:w="45" w:type="dxa"/>
              <w:start w:w="65" w:type="dxa"/>
              <w:bottom w:w="45" w:type="dxa"/>
              <w:end w:w="65" w:type="dxa"/>
            </w:tcMar>
          </w:tcPr>
          <w:p>
            <w:r>
              <w:rPr>
                <w:rFonts w:ascii="Aptos" w:hAnsi="Aptos" w:eastAsia="Aptos"/>
                <w:sz w:val="14"/>
              </w:rPr>
              <w:t>LOW-ENERGY MATCHING</w:t>
            </w:r>
          </w:p>
        </w:tc>
        <w:tc>
          <w:tcPr>
            <w:tcW w:type="dxa" w:w="2541"/>
            <w:tcMar>
              <w:top w:w="45" w:type="dxa"/>
              <w:start w:w="65" w:type="dxa"/>
              <w:bottom w:w="45" w:type="dxa"/>
              <w:end w:w="65" w:type="dxa"/>
            </w:tcMar>
            <w:shd w:fill="F2F4F7"/>
          </w:tcPr>
          <w:p>
            <w:pPr>
              <w:jc w:val="center"/>
            </w:pPr>
            <w:r>
              <w:rPr>
                <w:rFonts w:ascii="Aptos" w:hAnsi="Aptos" w:eastAsia="Aptos"/>
                <w:b/>
                <w:color w:val="5F6B76"/>
                <w:sz w:val="15"/>
              </w:rPr>
              <w:t>CALIBRATION, NOT DERIVATION</w:t>
            </w:r>
          </w:p>
        </w:tc>
        <w:tc>
          <w:tcPr>
            <w:tcW w:type="dxa" w:w="2541"/>
            <w:tcMar>
              <w:top w:w="45" w:type="dxa"/>
              <w:start w:w="65" w:type="dxa"/>
              <w:bottom w:w="45" w:type="dxa"/>
              <w:end w:w="65" w:type="dxa"/>
            </w:tcMar>
          </w:tcPr>
          <w:p>
            <w:r>
              <w:rPr>
                <w:rFonts w:ascii="Aptos" w:hAnsi="Aptos" w:eastAsia="Aptos"/>
                <w:sz w:val="14"/>
              </w:rPr>
              <w:t>The field outputs E_cross; the coefficient v/E_cross is a matching datum until a symmetry-breaking operator fixes it.</w:t>
            </w:r>
          </w:p>
        </w:tc>
      </w:tr>
      <w:tr>
        <w:tc>
          <w:tcPr>
            <w:tcW w:type="dxa" w:w="2541"/>
            <w:tcMar>
              <w:top w:w="45" w:type="dxa"/>
              <w:start w:w="65" w:type="dxa"/>
              <w:bottom w:w="45" w:type="dxa"/>
              <w:end w:w="65" w:type="dxa"/>
            </w:tcMar>
          </w:tcPr>
          <w:p>
            <w:r>
              <w:rPr>
                <w:rFonts w:ascii="Aptos" w:hAnsi="Aptos" w:eastAsia="Aptos"/>
                <w:sz w:val="14"/>
              </w:rPr>
              <w:t>Charged-lepton masses</w:t>
            </w:r>
          </w:p>
        </w:tc>
        <w:tc>
          <w:tcPr>
            <w:tcW w:type="dxa" w:w="2541"/>
            <w:tcMar>
              <w:top w:w="45" w:type="dxa"/>
              <w:start w:w="65" w:type="dxa"/>
              <w:bottom w:w="45" w:type="dxa"/>
              <w:end w:w="65" w:type="dxa"/>
            </w:tcMar>
          </w:tcPr>
          <w:p>
            <w:r>
              <w:rPr>
                <w:rFonts w:ascii="Aptos" w:hAnsi="Aptos" w:eastAsia="Aptos"/>
                <w:sz w:val="14"/>
              </w:rPr>
              <w:t>ERASED SPECTRAL DETAIL</w:t>
            </w:r>
          </w:p>
        </w:tc>
        <w:tc>
          <w:tcPr>
            <w:tcW w:type="dxa" w:w="2541"/>
            <w:tcMar>
              <w:top w:w="45" w:type="dxa"/>
              <w:start w:w="65" w:type="dxa"/>
              <w:bottom w:w="45" w:type="dxa"/>
              <w:end w:w="65" w:type="dxa"/>
            </w:tcMar>
            <w:shd w:fill="FFF2F2"/>
          </w:tcPr>
          <w:p>
            <w:pPr>
              <w:jc w:val="center"/>
            </w:pPr>
            <w:r>
              <w:rPr>
                <w:rFonts w:ascii="Aptos" w:hAnsi="Aptos" w:eastAsia="Aptos"/>
                <w:b/>
                <w:color w:val="8A3434"/>
                <w:sz w:val="15"/>
              </w:rPr>
              <w:t>PREVIOUS ANSATZ REJECTED</w:t>
            </w:r>
          </w:p>
        </w:tc>
        <w:tc>
          <w:tcPr>
            <w:tcW w:type="dxa" w:w="2541"/>
            <w:tcMar>
              <w:top w:w="45" w:type="dxa"/>
              <w:start w:w="65" w:type="dxa"/>
              <w:bottom w:w="45" w:type="dxa"/>
              <w:end w:w="65" w:type="dxa"/>
            </w:tcMar>
          </w:tcPr>
          <w:p>
            <w:r>
              <w:rPr>
                <w:rFonts w:ascii="Aptos" w:hAnsi="Aptos" w:eastAsia="Aptos"/>
                <w:sz w:val="14"/>
              </w:rPr>
              <w:t>Exact masses require a Yukawa/mass operator; the prior e, mu, tau formulas are withdrawn.</w:t>
            </w:r>
          </w:p>
        </w:tc>
      </w:tr>
      <w:tr>
        <w:tc>
          <w:tcPr>
            <w:tcW w:type="dxa" w:w="2541"/>
            <w:tcMar>
              <w:top w:w="45" w:type="dxa"/>
              <w:start w:w="65" w:type="dxa"/>
              <w:bottom w:w="45" w:type="dxa"/>
              <w:end w:w="65" w:type="dxa"/>
            </w:tcMar>
          </w:tcPr>
          <w:p>
            <w:r>
              <w:rPr>
                <w:rFonts w:ascii="Aptos" w:hAnsi="Aptos" w:eastAsia="Aptos"/>
                <w:sz w:val="14"/>
              </w:rPr>
              <w:t>QCD string tension</w:t>
            </w:r>
          </w:p>
        </w:tc>
        <w:tc>
          <w:tcPr>
            <w:tcW w:type="dxa" w:w="2541"/>
            <w:tcMar>
              <w:top w:w="45" w:type="dxa"/>
              <w:start w:w="65" w:type="dxa"/>
              <w:bottom w:w="45" w:type="dxa"/>
              <w:end w:w="65" w:type="dxa"/>
            </w:tcMar>
          </w:tcPr>
          <w:p>
            <w:r>
              <w:rPr>
                <w:rFonts w:ascii="Aptos" w:hAnsi="Aptos" w:eastAsia="Aptos"/>
                <w:sz w:val="14"/>
              </w:rPr>
              <w:t>DIMENSIONAL TRANSLATOR</w:t>
            </w:r>
          </w:p>
        </w:tc>
        <w:tc>
          <w:tcPr>
            <w:tcW w:type="dxa" w:w="2541"/>
            <w:tcMar>
              <w:top w:w="45" w:type="dxa"/>
              <w:start w:w="65" w:type="dxa"/>
              <w:bottom w:w="45" w:type="dxa"/>
              <w:end w:w="65" w:type="dxa"/>
            </w:tcMar>
            <w:shd w:fill="F5F0FA"/>
          </w:tcPr>
          <w:p>
            <w:pPr>
              <w:jc w:val="center"/>
            </w:pPr>
            <w:r>
              <w:rPr>
                <w:rFonts w:ascii="Aptos" w:hAnsi="Aptos" w:eastAsia="Aptos"/>
                <w:b/>
                <w:color w:val="604A7B"/>
                <w:sz w:val="15"/>
              </w:rPr>
              <w:t>IDENTITY, NOT PREDICTION</w:t>
            </w:r>
          </w:p>
        </w:tc>
        <w:tc>
          <w:tcPr>
            <w:tcW w:type="dxa" w:w="2541"/>
            <w:tcMar>
              <w:top w:w="45" w:type="dxa"/>
              <w:start w:w="65" w:type="dxa"/>
              <w:bottom w:w="45" w:type="dxa"/>
              <w:end w:w="65" w:type="dxa"/>
            </w:tcMar>
          </w:tcPr>
          <w:p>
            <w:r>
              <w:rPr>
                <w:rFonts w:ascii="Aptos" w:hAnsi="Aptos" w:eastAsia="Aptos"/>
                <w:sz w:val="14"/>
              </w:rPr>
              <w:t>sigma=E^2/(hbar c) converts a supplied tension to a supplied local scale; it does not select the QCD scale.</w:t>
            </w:r>
          </w:p>
        </w:tc>
      </w:tr>
      <w:tr>
        <w:tc>
          <w:tcPr>
            <w:tcW w:type="dxa" w:w="2541"/>
            <w:tcMar>
              <w:top w:w="45" w:type="dxa"/>
              <w:start w:w="65" w:type="dxa"/>
              <w:bottom w:w="45" w:type="dxa"/>
              <w:end w:w="65" w:type="dxa"/>
            </w:tcMar>
          </w:tcPr>
          <w:p>
            <w:r>
              <w:rPr>
                <w:rFonts w:ascii="Aptos" w:hAnsi="Aptos" w:eastAsia="Aptos"/>
                <w:sz w:val="14"/>
              </w:rPr>
              <w:t>Vacuum crowding energy as dark matter</w:t>
            </w:r>
          </w:p>
        </w:tc>
        <w:tc>
          <w:tcPr>
            <w:tcW w:type="dxa" w:w="2541"/>
            <w:tcMar>
              <w:top w:w="45" w:type="dxa"/>
              <w:start w:w="65" w:type="dxa"/>
              <w:bottom w:w="45" w:type="dxa"/>
              <w:end w:w="65" w:type="dxa"/>
            </w:tcMar>
          </w:tcPr>
          <w:p>
            <w:r>
              <w:rPr>
                <w:rFonts w:ascii="Aptos" w:hAnsi="Aptos" w:eastAsia="Aptos"/>
                <w:sz w:val="14"/>
              </w:rPr>
              <w:t>CLAIMED MACRO OUTPUT</w:t>
            </w:r>
          </w:p>
        </w:tc>
        <w:tc>
          <w:tcPr>
            <w:tcW w:type="dxa" w:w="2541"/>
            <w:tcMar>
              <w:top w:w="45" w:type="dxa"/>
              <w:start w:w="65" w:type="dxa"/>
              <w:bottom w:w="45" w:type="dxa"/>
              <w:end w:w="65" w:type="dxa"/>
            </w:tcMar>
            <w:shd w:fill="FFF2F2"/>
          </w:tcPr>
          <w:p>
            <w:pPr>
              <w:jc w:val="center"/>
            </w:pPr>
            <w:r>
              <w:rPr>
                <w:rFonts w:ascii="Aptos" w:hAnsi="Aptos" w:eastAsia="Aptos"/>
                <w:b/>
                <w:color w:val="8A3434"/>
                <w:sz w:val="15"/>
              </w:rPr>
              <w:t>EXCLUDED</w:t>
            </w:r>
          </w:p>
        </w:tc>
        <w:tc>
          <w:tcPr>
            <w:tcW w:type="dxa" w:w="2541"/>
            <w:tcMar>
              <w:top w:w="45" w:type="dxa"/>
              <w:start w:w="65" w:type="dxa"/>
              <w:bottom w:w="45" w:type="dxa"/>
              <w:end w:w="65" w:type="dxa"/>
            </w:tcMar>
          </w:tcPr>
          <w:p>
            <w:r>
              <w:rPr>
                <w:rFonts w:ascii="Aptos" w:hAnsi="Aptos" w:eastAsia="Aptos"/>
                <w:sz w:val="14"/>
              </w:rPr>
              <w:t>Short by about 11 orders in the existing audit; geometric crowding is not the same claim as extra energy density.</w:t>
            </w:r>
          </w:p>
        </w:tc>
      </w:tr>
      <w:tr>
        <w:tc>
          <w:tcPr>
            <w:tcW w:type="dxa" w:w="2541"/>
            <w:tcMar>
              <w:top w:w="45" w:type="dxa"/>
              <w:start w:w="65" w:type="dxa"/>
              <w:bottom w:w="45" w:type="dxa"/>
              <w:end w:w="65" w:type="dxa"/>
            </w:tcMar>
          </w:tcPr>
          <w:p>
            <w:r>
              <w:rPr>
                <w:rFonts w:ascii="Aptos" w:hAnsi="Aptos" w:eastAsia="Aptos"/>
                <w:sz w:val="14"/>
              </w:rPr>
              <w:t>Range hierarchy</w:t>
            </w:r>
          </w:p>
        </w:tc>
        <w:tc>
          <w:tcPr>
            <w:tcW w:type="dxa" w:w="2541"/>
            <w:tcMar>
              <w:top w:w="45" w:type="dxa"/>
              <w:start w:w="65" w:type="dxa"/>
              <w:bottom w:w="45" w:type="dxa"/>
              <w:end w:w="65" w:type="dxa"/>
            </w:tcMar>
          </w:tcPr>
          <w:p>
            <w:r>
              <w:rPr>
                <w:rFonts w:ascii="Aptos" w:hAnsi="Aptos" w:eastAsia="Aptos"/>
                <w:sz w:val="14"/>
              </w:rPr>
              <w:t>OPERATOR CLASS</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tcPr>
          <w:p>
            <w:r>
              <w:rPr>
                <w:rFonts w:ascii="Aptos" w:hAnsi="Aptos" w:eastAsia="Aptos"/>
                <w:sz w:val="14"/>
              </w:rPr>
              <w:t>Green-function ranges follow exactly after kinetic/mass operator assignments; channel weights alone do not force those assignments.</w:t>
            </w:r>
          </w:p>
        </w:tc>
      </w:tr>
    </w:tbl>
    <w:p>
      <w:r>
        <w:br w:type="page"/>
      </w:r>
    </w:p>
    <w:p>
      <w:pPr>
        <w:pStyle w:val="Heading2"/>
      </w:pPr>
      <w:r>
        <w:t>The Referent and Boundary Principle</w:t>
      </w:r>
    </w:p>
    <w:p>
      <w:r>
        <w:t>A compression algorithm cannot answer an undefined question. It must be told what physical object or state is being represented, and it must receive the measured boundary values that give the problem units and context. Supplying the vacuum energy of space is therefore no more a failure than supplying Earth's source state when calculating Earth, or defining what counts as a chair before asking a system to describe one.</w:t>
      </w:r>
    </w:p>
    <w:tbl>
      <w:tblPr>
        <w:tblStyle w:val="TableGrid"/>
        <w:tblW w:type="auto" w:w="0"/>
        <w:jc w:val="center"/>
        <w:tblLook w:firstColumn="1" w:firstRow="1" w:lastColumn="0" w:lastRow="0" w:noHBand="0" w:noVBand="1" w:val="04A0"/>
      </w:tblPr>
      <w:tblGrid>
        <w:gridCol w:w="10166"/>
      </w:tblGrid>
      <w:tr>
        <w:tc>
          <w:tcPr>
            <w:tcW w:type="dxa" w:w="10166"/>
            <w:vAlign w:val="center"/>
            <w:shd w:fill="EAF2F8"/>
          </w:tcPr>
          <w:p>
            <w:pPr>
              <w:jc w:val="center"/>
            </w:pPr>
            <w:r>
              <w:rPr>
                <w:b/>
                <w:sz w:val="22"/>
              </w:rPr>
              <w:t>physical question = declared referent + measured boundary + compression rule → recoverable relations</w:t>
            </w:r>
          </w:p>
        </w:tc>
      </w:tr>
    </w:tbl>
    <w:p>
      <w:r>
        <w:t>The correct test is not whether the field derives its own referent from nothing. The test is whether, once the referent and boundary are fixed, it recovers every relation inside its declared compression image without adding target-specific information.</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9EAF7"/>
          </w:tcPr>
          <w:p>
            <w:r>
              <w:rPr>
                <w:b/>
              </w:rPr>
              <w:t>Input class</w:t>
            </w:r>
          </w:p>
        </w:tc>
        <w:tc>
          <w:tcPr>
            <w:tcW w:type="dxa" w:w="3960"/>
            <w:shd w:fill="D9EAF7"/>
          </w:tcPr>
          <w:p>
            <w:r>
              <w:rPr>
                <w:b/>
              </w:rPr>
              <w:t>What it supplies</w:t>
            </w:r>
          </w:p>
        </w:tc>
        <w:tc>
          <w:tcPr>
            <w:tcW w:type="dxa" w:w="3672"/>
            <w:shd w:fill="D9EAF7"/>
          </w:tcPr>
          <w:p>
            <w:r>
              <w:rPr>
                <w:b/>
              </w:rPr>
              <w:t>How it is graded</w:t>
            </w:r>
          </w:p>
        </w:tc>
      </w:tr>
      <w:tr>
        <w:tc>
          <w:tcPr>
            <w:tcW w:type="dxa" w:w="2088"/>
          </w:tcPr>
          <w:p>
            <w:r>
              <w:t>Referent definition</w:t>
            </w:r>
          </w:p>
        </w:tc>
        <w:tc>
          <w:tcPr>
            <w:tcW w:type="dxa" w:w="3960"/>
          </w:tcPr>
          <w:p>
            <w:r>
              <w:t>What object, source or state the calculation is about.</w:t>
            </w:r>
          </w:p>
        </w:tc>
        <w:tc>
          <w:tcPr>
            <w:tcW w:type="dxa" w:w="3672"/>
          </w:tcPr>
          <w:p>
            <w:r>
              <w:t>Necessary semantic input; never counted as a failed derivation.</w:t>
            </w:r>
          </w:p>
        </w:tc>
      </w:tr>
      <w:tr>
        <w:tc>
          <w:tcPr>
            <w:tcW w:type="dxa" w:w="2088"/>
          </w:tcPr>
          <w:p>
            <w:r>
              <w:t>Measured boundary</w:t>
            </w:r>
          </w:p>
        </w:tc>
        <w:tc>
          <w:tcPr>
            <w:tcW w:type="dxa" w:w="3960"/>
          </w:tcPr>
          <w:p>
            <w:r>
              <w:t>Units, environmental scale and boundary conditions, such as ρΛ or an observed source profile.</w:t>
            </w:r>
          </w:p>
        </w:tc>
        <w:tc>
          <w:tcPr>
            <w:tcW w:type="dxa" w:w="3672"/>
          </w:tcPr>
          <w:p>
            <w:r>
              <w:t>Necessary physical anchor unless the theory explicitly claims to predict it.</w:t>
            </w:r>
          </w:p>
        </w:tc>
      </w:tr>
      <w:tr>
        <w:tc>
          <w:tcPr>
            <w:tcW w:type="dxa" w:w="2088"/>
          </w:tcPr>
          <w:p>
            <w:r>
              <w:t>Compression output</w:t>
            </w:r>
          </w:p>
        </w:tc>
        <w:tc>
          <w:tcPr>
            <w:tcW w:type="dxa" w:w="3960"/>
          </w:tcPr>
          <w:p>
            <w:r>
              <w:t>Relations invariant under the field map: metric, curvature, motion, phase and source geometry.</w:t>
            </w:r>
          </w:p>
        </w:tc>
        <w:tc>
          <w:tcPr>
            <w:tcW w:type="dxa" w:w="3672"/>
          </w:tcPr>
          <w:p>
            <w:r>
              <w:t>This is where success or falsification is judged.</w:t>
            </w:r>
          </w:p>
        </w:tc>
      </w:tr>
      <w:tr>
        <w:tc>
          <w:tcPr>
            <w:tcW w:type="dxa" w:w="2088"/>
          </w:tcPr>
          <w:p>
            <w:r>
              <w:t>Target-specific adjustment</w:t>
            </w:r>
          </w:p>
        </w:tc>
        <w:tc>
          <w:tcPr>
            <w:tcW w:type="dxa" w:w="3960"/>
          </w:tcPr>
          <w:p>
            <w:r>
              <w:t>A coefficient or formula selected after viewing the desired answer.</w:t>
            </w:r>
          </w:p>
        </w:tc>
        <w:tc>
          <w:tcPr>
            <w:tcW w:type="dxa" w:w="3672"/>
          </w:tcPr>
          <w:p>
            <w:r>
              <w:t>Fit or postdiction; not an independent result.</w:t>
            </w:r>
          </w:p>
        </w:tc>
      </w:tr>
    </w:tbl>
    <w:p>
      <w:r>
        <w:t>Failure threshold. A missing object definition or missing measured boundary means the physical question has not yet been posed. A genuine failure occurs only when the referent and boundary have been declared and the field then fails to recover an in-scope compressed relation.</w:t>
      </w:r>
    </w:p>
    <w:p>
      <w:pPr>
        <w:pStyle w:val="Heading1"/>
        <w:pBdr>
          <w:bottom w:val="single" w:sz="8" w:space="4" w:color="173A63"/>
        </w:pBdr>
      </w:pPr>
      <w:r>
        <w:t>1. The exact compression boundary</w:t>
      </w:r>
    </w:p>
    <w:p>
      <w:r>
        <w:t>The field is a compression algorithm in the precise mathematical sense: it maps a richer local state to a smaller set of invariant readout variables. The right question is therefore not “does the compressed description reproduce every microscopic label?” but “which functions survive the quotient?”</w:t>
      </w:r>
    </w:p>
    <w:p>
      <w:pPr>
        <w:pStyle w:val="Heading2"/>
      </w:pPr>
      <w:r>
        <w:t>1.1 Compression Factorization Theorem</w:t>
      </w: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Theorem  </w:t>
            </w:r>
            <w:r>
              <w:rPr>
                <w:rFonts w:ascii="Aptos" w:hAnsi="Aptos" w:eastAsia="Aptos"/>
                <w:color w:val="27313A"/>
                <w:sz w:val="19"/>
              </w:rPr>
              <w:t>Let C:X→Y be the field compression and Q:X→Z a proposed output. Q is recoverable from the compressed field if and only if Q is constant on every fiber C⁻¹(y). Equivalently, there exists a unique reduced function Q̃ on the image of C such that Q=Q̃∘C. For differentiable maps, dQ must annihilate every vector in ker(DC).</w:t>
            </w:r>
          </w:p>
        </w:tc>
      </w:tr>
    </w:tbl>
    <w:p>
      <w:pPr>
        <w:spacing w:after="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 recoverable  ⇔  C(x)=C(x′) implies Q(x)=Q(x′)  ⇔  Q=Q̃∘C</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local test:     ker(DC_x) ⊆ ker(dQ_x)</w:t>
            </w:r>
          </w:p>
        </w:tc>
      </w:tr>
    </w:tbl>
    <w:p>
      <w:pPr>
        <w:spacing w:after="0" w:before="0"/>
      </w:pPr>
    </w:p>
    <w:p>
      <w:pPr>
        <w:pStyle w:val="Heading2"/>
      </w:pPr>
      <w:r>
        <w:t>1.2 The Bubble Field map and its exact null direction</w:t>
      </w:r>
    </w:p>
    <w:p>
      <w:r>
        <w:t>Take the full local state to be the matter-clock deformation α_M, light-barrier deformation α_L, number-density deformation ν, and phase θ. The compressed field retains the clock potential A, total spatial packing B, and phase Θ.</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q=(α_M,α_L,ν,θ),     y=(A,B,Θ)=(-α_M, α_L+ν/3, θ)</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DC = [[-1,0,0,0],[0,1,1/3,0],[0,0,0,1]]</w:t>
            </w:r>
          </w:p>
        </w:tc>
      </w:tr>
    </w:tbl>
    <w:p>
      <w:pPr>
        <w:spacing w:after="0" w:before="0"/>
      </w:pPr>
    </w:p>
    <w:p>
      <w:r>
        <w:t>The unique local null direction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δα_M=0,     δα_L=δ,     δν=-3δ,     δθ=0</w:t>
            </w:r>
          </w:p>
        </w:tc>
      </w:tr>
    </w:tbl>
    <w:p>
      <w:pPr>
        <w:spacing w:after="0" w:before="0"/>
      </w:pPr>
    </w:p>
    <w:p>
      <w:r>
        <w:t>Moving along this direction changes the proposed microscopic decomposition but leaves A, B, Θ, the metric, curvature, geodesics, clocks, lensing and phase readout unchanged. That is the exact information budget of the current scalar-phase field.</w:t>
      </w:r>
    </w:p>
    <w:p>
      <w:r>
        <w:drawing>
          <wp:inline xmlns:a="http://schemas.openxmlformats.org/drawingml/2006/main" xmlns:pic="http://schemas.openxmlformats.org/drawingml/2006/picture">
            <wp:extent cx="6400800" cy="3817978"/>
            <wp:docPr id="1" name="Picture 1"/>
            <wp:cNvGraphicFramePr>
              <a:graphicFrameLocks noChangeAspect="1"/>
            </wp:cNvGraphicFramePr>
            <a:graphic>
              <a:graphicData uri="http://schemas.openxmlformats.org/drawingml/2006/picture">
                <pic:pic>
                  <pic:nvPicPr>
                    <pic:cNvPr id="0" name="bubble_field_compression_boundary_map.png"/>
                    <pic:cNvPicPr/>
                  </pic:nvPicPr>
                  <pic:blipFill>
                    <a:blip r:embed="rId11"/>
                    <a:stretch>
                      <a:fillRect/>
                    </a:stretch>
                  </pic:blipFill>
                  <pic:spPr>
                    <a:xfrm>
                      <a:off x="0" y="0"/>
                      <a:ext cx="6400800" cy="3817978"/>
                    </a:xfrm>
                    <a:prstGeom prst="rect"/>
                  </pic:spPr>
                </pic:pic>
              </a:graphicData>
            </a:graphic>
          </wp:inline>
        </w:drawing>
      </w:r>
    </w:p>
    <w:p>
      <w:pPr>
        <w:pStyle w:val="Caption"/>
        <w:jc w:val="center"/>
      </w:pPr>
      <w:r>
        <w:rPr>
          <w:rFonts w:ascii="Aptos" w:hAnsi="Aptos" w:eastAsia="Aptos"/>
          <w:i/>
          <w:color w:val="5F6B76"/>
          <w:sz w:val="17"/>
        </w:rPr>
        <w:t>Figure 1. The exact compression boundary. The field retains three local combinations and erases one light-density split. A constitutive key selects one representative from each fiber.</w:t>
      </w:r>
    </w:p>
    <w:p>
      <w:pPr>
        <w:pStyle w:val="Heading2"/>
      </w:pPr>
      <w:r>
        <w:t>1.3 Bottom-up and top-down meet at the compressed field</w:t>
      </w:r>
    </w:p>
    <w:p>
      <w:r>
        <w:t>Bottom-up derivation and top-down observation do not have to reconstruct the same microscopic story. They have to meet on the same compressed invariants: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microphysical rules  →  (A,B,Θ)  ←  observations and established toolkits</w:t>
            </w:r>
          </w:p>
        </w:tc>
      </w:tr>
    </w:tbl>
    <w:p>
      <w:pPr>
        <w:spacing w:after="0" w:before="0"/>
      </w:pPr>
    </w:p>
    <w:p>
      <w:pPr>
        <w:pStyle w:val="ListBullet"/>
      </w:pPr>
      <w:r>
        <w:rPr>
          <w:rFonts w:ascii="Aptos" w:hAnsi="Aptos" w:eastAsia="Aptos"/>
          <w:sz w:val="19"/>
        </w:rPr>
        <w:t>Bottom-up: the fixed-point algebra, cell rules and constitutive laws calculate the compressed field.</w:t>
      </w:r>
    </w:p>
    <w:p>
      <w:pPr>
        <w:pStyle w:val="ListBullet"/>
      </w:pPr>
      <w:r>
        <w:rPr>
          <w:rFonts w:ascii="Aptos" w:hAnsi="Aptos" w:eastAsia="Aptos"/>
          <w:sz w:val="19"/>
        </w:rPr>
        <w:t>Top-down: clocks, orbits, lensing, redshift and radiation reconstruct the same field variables.</w:t>
      </w:r>
    </w:p>
    <w:p>
      <w:pPr>
        <w:pStyle w:val="ListBullet"/>
      </w:pPr>
      <w:r>
        <w:rPr>
          <w:rFonts w:ascii="Aptos" w:hAnsi="Aptos" w:eastAsia="Aptos"/>
          <w:sz w:val="19"/>
        </w:rPr>
        <w:t>Validation occurs in the overlap. A unique microscopic split is not implied unless the experiment couples to the hidden direction or a constitutive law selects it.</w:t>
      </w:r>
    </w:p>
    <w:tbl>
      <w:tblPr>
        <w:tblW w:type="auto" w:w="0"/>
        <w:jc w:val="center"/>
        <w:tblLook w:firstColumn="1" w:firstRow="1" w:lastColumn="0" w:lastRow="0" w:noHBand="0" w:noVBand="1" w:val="04A0"/>
      </w:tblPr>
      <w:tblGrid>
        <w:gridCol w:w="10166"/>
      </w:tblGrid>
      <w:tr>
        <w:tc>
          <w:tcPr>
            <w:tcW w:type="dxa" w:w="10166"/>
            <w:shd w:fill="FFF2F2"/>
            <w:tcMar>
              <w:top w:w="110" w:type="dxa"/>
              <w:start w:w="150" w:type="dxa"/>
              <w:bottom w:w="110" w:type="dxa"/>
              <w:end w:w="150" w:type="dxa"/>
            </w:tcMar>
          </w:tcPr>
          <w:p>
            <w:r>
              <w:rPr>
                <w:rFonts w:ascii="Aptos" w:hAnsi="Aptos" w:eastAsia="Aptos"/>
                <w:b/>
                <w:color w:val="8A3434"/>
                <w:sz w:val="20"/>
              </w:rPr>
              <w:t xml:space="preserve">No escape clause  </w:t>
            </w:r>
            <w:r>
              <w:rPr>
                <w:rFonts w:ascii="Aptos" w:hAnsi="Aptos" w:eastAsia="Aptos"/>
                <w:color w:val="27313A"/>
                <w:sz w:val="19"/>
              </w:rPr>
              <w:t>Compression does not excuse a failed prediction. If a quantity is a function of A, B or Θ and the field predicts it incorrectly, the claim is falsified. The threshold only prevents demands for information that the map explicitly erased.</w:t>
            </w:r>
          </w:p>
        </w:tc>
      </w:tr>
    </w:tbl>
    <w:p>
      <w:pPr>
        <w:spacing w:after="0"/>
      </w:pPr>
    </w:p>
    <w:p>
      <w:pPr>
        <w:pStyle w:val="Heading2"/>
      </w:pPr>
      <w:r>
        <w:t>1.4 The five gates for every future claim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7"/>
              </w:rPr>
              <w:t>Gate</w:t>
            </w:r>
          </w:p>
        </w:tc>
        <w:tc>
          <w:tcPr>
            <w:tcW w:type="dxa" w:w="3389"/>
            <w:shd w:fill="173A63"/>
            <w:tcMar>
              <w:top w:w="75" w:type="dxa"/>
              <w:start w:w="95" w:type="dxa"/>
              <w:bottom w:w="75" w:type="dxa"/>
              <w:end w:w="95" w:type="dxa"/>
            </w:tcMar>
          </w:tcPr>
          <w:p>
            <w:r>
              <w:rPr>
                <w:rFonts w:ascii="Aptos" w:hAnsi="Aptos" w:eastAsia="Aptos"/>
                <w:b/>
                <w:color w:val="FFFFFF"/>
                <w:sz w:val="17"/>
              </w:rPr>
              <w:t>Question</w:t>
            </w:r>
          </w:p>
        </w:tc>
        <w:tc>
          <w:tcPr>
            <w:tcW w:type="dxa" w:w="3389"/>
            <w:shd w:fill="173A63"/>
            <w:tcMar>
              <w:top w:w="75" w:type="dxa"/>
              <w:start w:w="95" w:type="dxa"/>
              <w:bottom w:w="75" w:type="dxa"/>
              <w:end w:w="95" w:type="dxa"/>
            </w:tcMar>
          </w:tcPr>
          <w:p>
            <w:r>
              <w:rPr>
                <w:rFonts w:ascii="Aptos" w:hAnsi="Aptos" w:eastAsia="Aptos"/>
                <w:b/>
                <w:color w:val="FFFFFF"/>
                <w:sz w:val="17"/>
              </w:rPr>
              <w:t>Failure status</w:t>
            </w:r>
          </w:p>
        </w:tc>
      </w:tr>
      <w:tr>
        <w:tc>
          <w:tcPr>
            <w:tcW w:type="dxa" w:w="3389"/>
            <w:tcMar>
              <w:top w:w="75" w:type="dxa"/>
              <w:start w:w="95" w:type="dxa"/>
              <w:bottom w:w="75" w:type="dxa"/>
              <w:end w:w="95" w:type="dxa"/>
            </w:tcMar>
          </w:tcPr>
          <w:p>
            <w:r>
              <w:rPr>
                <w:rFonts w:ascii="Aptos" w:hAnsi="Aptos" w:eastAsia="Aptos"/>
                <w:sz w:val="16"/>
              </w:rPr>
              <w:t>Fiber gate</w:t>
            </w:r>
          </w:p>
        </w:tc>
        <w:tc>
          <w:tcPr>
            <w:tcW w:type="dxa" w:w="3389"/>
            <w:tcMar>
              <w:top w:w="75" w:type="dxa"/>
              <w:start w:w="95" w:type="dxa"/>
              <w:bottom w:w="75" w:type="dxa"/>
              <w:end w:w="95" w:type="dxa"/>
            </w:tcMar>
          </w:tcPr>
          <w:p>
            <w:r>
              <w:rPr>
                <w:rFonts w:ascii="Aptos" w:hAnsi="Aptos" w:eastAsia="Aptos"/>
                <w:sz w:val="16"/>
              </w:rPr>
              <w:t>Is the target invariant on every compression fiber?</w:t>
            </w:r>
          </w:p>
        </w:tc>
        <w:tc>
          <w:tcPr>
            <w:tcW w:type="dxa" w:w="3389"/>
            <w:tcMar>
              <w:top w:w="75" w:type="dxa"/>
              <w:start w:w="95" w:type="dxa"/>
              <w:bottom w:w="75" w:type="dxa"/>
              <w:end w:w="95" w:type="dxa"/>
            </w:tcMar>
          </w:tcPr>
          <w:p>
            <w:r>
              <w:rPr>
                <w:rFonts w:ascii="Aptos" w:hAnsi="Aptos" w:eastAsia="Aptos"/>
                <w:sz w:val="16"/>
              </w:rPr>
              <w:t>If no: outside current resolution.</w:t>
            </w:r>
          </w:p>
        </w:tc>
      </w:tr>
      <w:tr>
        <w:tc>
          <w:tcPr>
            <w:tcW w:type="dxa" w:w="3389"/>
            <w:tcMar>
              <w:top w:w="75" w:type="dxa"/>
              <w:start w:w="95" w:type="dxa"/>
              <w:bottom w:w="75" w:type="dxa"/>
              <w:end w:w="95" w:type="dxa"/>
            </w:tcMar>
          </w:tcPr>
          <w:p>
            <w:r>
              <w:rPr>
                <w:rFonts w:ascii="Aptos" w:hAnsi="Aptos" w:eastAsia="Aptos"/>
                <w:sz w:val="16"/>
              </w:rPr>
              <w:t>Anchor gate</w:t>
            </w:r>
          </w:p>
        </w:tc>
        <w:tc>
          <w:tcPr>
            <w:tcW w:type="dxa" w:w="3389"/>
            <w:tcMar>
              <w:top w:w="75" w:type="dxa"/>
              <w:start w:w="95" w:type="dxa"/>
              <w:bottom w:w="75" w:type="dxa"/>
              <w:end w:w="95" w:type="dxa"/>
            </w:tcMar>
          </w:tcPr>
          <w:p>
            <w:r>
              <w:rPr>
                <w:rFonts w:ascii="Aptos" w:hAnsi="Aptos" w:eastAsia="Aptos"/>
                <w:sz w:val="16"/>
              </w:rPr>
              <w:t>Can its physical units be built from declared measured anchors?</w:t>
            </w:r>
          </w:p>
        </w:tc>
        <w:tc>
          <w:tcPr>
            <w:tcW w:type="dxa" w:w="3389"/>
            <w:tcMar>
              <w:top w:w="75" w:type="dxa"/>
              <w:start w:w="95" w:type="dxa"/>
              <w:bottom w:w="75" w:type="dxa"/>
              <w:end w:w="95" w:type="dxa"/>
            </w:tcMar>
          </w:tcPr>
          <w:p>
            <w:r>
              <w:rPr>
                <w:rFonts w:ascii="Aptos" w:hAnsi="Aptos" w:eastAsia="Aptos"/>
                <w:sz w:val="16"/>
              </w:rPr>
              <w:t>If no: dimensional scale remains open.</w:t>
            </w:r>
          </w:p>
        </w:tc>
      </w:tr>
      <w:tr>
        <w:tc>
          <w:tcPr>
            <w:tcW w:type="dxa" w:w="3389"/>
            <w:tcMar>
              <w:top w:w="75" w:type="dxa"/>
              <w:start w:w="95" w:type="dxa"/>
              <w:bottom w:w="75" w:type="dxa"/>
              <w:end w:w="95" w:type="dxa"/>
            </w:tcMar>
          </w:tcPr>
          <w:p>
            <w:r>
              <w:rPr>
                <w:rFonts w:ascii="Aptos" w:hAnsi="Aptos" w:eastAsia="Aptos"/>
                <w:sz w:val="16"/>
              </w:rPr>
              <w:t>Bridge gate</w:t>
            </w:r>
          </w:p>
        </w:tc>
        <w:tc>
          <w:tcPr>
            <w:tcW w:type="dxa" w:w="3389"/>
            <w:tcMar>
              <w:top w:w="75" w:type="dxa"/>
              <w:start w:w="95" w:type="dxa"/>
              <w:bottom w:w="75" w:type="dxa"/>
              <w:end w:w="95" w:type="dxa"/>
            </w:tcMar>
          </w:tcPr>
          <w:p>
            <w:r>
              <w:rPr>
                <w:rFonts w:ascii="Aptos" w:hAnsi="Aptos" w:eastAsia="Aptos"/>
                <w:sz w:val="16"/>
              </w:rPr>
              <w:t>Is every constitutive or representation map explicit?</w:t>
            </w:r>
          </w:p>
        </w:tc>
        <w:tc>
          <w:tcPr>
            <w:tcW w:type="dxa" w:w="3389"/>
            <w:tcMar>
              <w:top w:w="75" w:type="dxa"/>
              <w:start w:w="95" w:type="dxa"/>
              <w:bottom w:w="75" w:type="dxa"/>
              <w:end w:w="95" w:type="dxa"/>
            </w:tcMar>
          </w:tcPr>
          <w:p>
            <w:r>
              <w:rPr>
                <w:rFonts w:ascii="Aptos" w:hAnsi="Aptos" w:eastAsia="Aptos"/>
                <w:sz w:val="16"/>
              </w:rPr>
              <w:t>If no: conditional/open bridge.</w:t>
            </w:r>
          </w:p>
        </w:tc>
      </w:tr>
      <w:tr>
        <w:tc>
          <w:tcPr>
            <w:tcW w:type="dxa" w:w="3389"/>
            <w:tcMar>
              <w:top w:w="75" w:type="dxa"/>
              <w:start w:w="95" w:type="dxa"/>
              <w:bottom w:w="75" w:type="dxa"/>
              <w:end w:w="95" w:type="dxa"/>
            </w:tcMar>
          </w:tcPr>
          <w:p>
            <w:r>
              <w:rPr>
                <w:rFonts w:ascii="Aptos" w:hAnsi="Aptos" w:eastAsia="Aptos"/>
                <w:sz w:val="16"/>
              </w:rPr>
              <w:t>History gate</w:t>
            </w:r>
          </w:p>
        </w:tc>
        <w:tc>
          <w:tcPr>
            <w:tcW w:type="dxa" w:w="3389"/>
            <w:tcMar>
              <w:top w:w="75" w:type="dxa"/>
              <w:start w:w="95" w:type="dxa"/>
              <w:bottom w:w="75" w:type="dxa"/>
              <w:end w:w="95" w:type="dxa"/>
            </w:tcMar>
          </w:tcPr>
          <w:p>
            <w:r>
              <w:rPr>
                <w:rFonts w:ascii="Aptos" w:hAnsi="Aptos" w:eastAsia="Aptos"/>
                <w:sz w:val="16"/>
              </w:rPr>
              <w:t>Was the expression fixed before viewing the target?</w:t>
            </w:r>
          </w:p>
        </w:tc>
        <w:tc>
          <w:tcPr>
            <w:tcW w:type="dxa" w:w="3389"/>
            <w:tcMar>
              <w:top w:w="75" w:type="dxa"/>
              <w:start w:w="95" w:type="dxa"/>
              <w:bottom w:w="75" w:type="dxa"/>
              <w:end w:w="95" w:type="dxa"/>
            </w:tcMar>
          </w:tcPr>
          <w:p>
            <w:r>
              <w:rPr>
                <w:rFonts w:ascii="Aptos" w:hAnsi="Aptos" w:eastAsia="Aptos"/>
                <w:sz w:val="16"/>
              </w:rPr>
              <w:t>If no: postdiction or calibration.</w:t>
            </w:r>
          </w:p>
        </w:tc>
      </w:tr>
      <w:tr>
        <w:tc>
          <w:tcPr>
            <w:tcW w:type="dxa" w:w="3389"/>
            <w:tcMar>
              <w:top w:w="75" w:type="dxa"/>
              <w:start w:w="95" w:type="dxa"/>
              <w:bottom w:w="75" w:type="dxa"/>
              <w:end w:w="95" w:type="dxa"/>
            </w:tcMar>
          </w:tcPr>
          <w:p>
            <w:r>
              <w:rPr>
                <w:rFonts w:ascii="Aptos" w:hAnsi="Aptos" w:eastAsia="Aptos"/>
                <w:sz w:val="16"/>
              </w:rPr>
              <w:t>Precision gate</w:t>
            </w:r>
          </w:p>
        </w:tc>
        <w:tc>
          <w:tcPr>
            <w:tcW w:type="dxa" w:w="3389"/>
            <w:tcMar>
              <w:top w:w="75" w:type="dxa"/>
              <w:start w:w="95" w:type="dxa"/>
              <w:bottom w:w="75" w:type="dxa"/>
              <w:end w:w="95" w:type="dxa"/>
            </w:tcMar>
          </w:tcPr>
          <w:p>
            <w:r>
              <w:rPr>
                <w:rFonts w:ascii="Aptos" w:hAnsi="Aptos" w:eastAsia="Aptos"/>
                <w:sz w:val="16"/>
              </w:rPr>
              <w:t>Does an in-scope prediction survive the measurement uncertainty?</w:t>
            </w:r>
          </w:p>
        </w:tc>
        <w:tc>
          <w:tcPr>
            <w:tcW w:type="dxa" w:w="3389"/>
            <w:tcMar>
              <w:top w:w="75" w:type="dxa"/>
              <w:start w:w="95" w:type="dxa"/>
              <w:bottom w:w="75" w:type="dxa"/>
              <w:end w:w="95" w:type="dxa"/>
            </w:tcMar>
          </w:tcPr>
          <w:p>
            <w:r>
              <w:rPr>
                <w:rFonts w:ascii="Aptos" w:hAnsi="Aptos" w:eastAsia="Aptos"/>
                <w:sz w:val="16"/>
              </w:rPr>
              <w:t>If no: rejected, regardless of percentage closeness.</w:t>
            </w:r>
          </w:p>
        </w:tc>
      </w:tr>
    </w:tbl>
    <w:p>
      <w:r>
        <w:br w:type="page"/>
      </w:r>
    </w:p>
    <w:p>
      <w:pPr>
        <w:pStyle w:val="Heading1"/>
        <w:pBdr>
          <w:bottom w:val="single" w:sz="8" w:space="4" w:color="173A63"/>
        </w:pBdr>
      </w:pPr>
      <w:r>
        <w:t>2. Observation, calibration, and prediction are different jobs</w:t>
      </w:r>
    </w:p>
    <w:p>
      <w:r>
        <w:t>A physical calculation begins with a referent and a boundary. The referent says what is being described; the boundary supplies the measured scale, units or environment. Neither is a fitted prediction unless the paper explicitly claims to derive it. Only after those inputs are fixed do anchor, calibration, validation and forecast roles need to be separated. Confusing a necessary question-input with a failed output is as incorrect as confusing a fitted coefficient with a derivation.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8"/>
              </w:rPr>
              <w:t>Role</w:t>
            </w:r>
          </w:p>
        </w:tc>
        <w:tc>
          <w:tcPr>
            <w:tcW w:type="dxa" w:w="3389"/>
            <w:shd w:fill="173A63"/>
            <w:tcMar>
              <w:top w:w="75" w:type="dxa"/>
              <w:start w:w="95" w:type="dxa"/>
              <w:bottom w:w="75" w:type="dxa"/>
              <w:end w:w="95" w:type="dxa"/>
            </w:tcMar>
          </w:tcPr>
          <w:p>
            <w:r>
              <w:rPr>
                <w:rFonts w:ascii="Aptos" w:hAnsi="Aptos" w:eastAsia="Aptos"/>
                <w:b/>
                <w:color w:val="FFFFFF"/>
                <w:sz w:val="18"/>
              </w:rPr>
              <w:t>Meaning</w:t>
            </w:r>
          </w:p>
        </w:tc>
        <w:tc>
          <w:tcPr>
            <w:tcW w:type="dxa" w:w="3389"/>
            <w:shd w:fill="173A63"/>
            <w:tcMar>
              <w:top w:w="75" w:type="dxa"/>
              <w:start w:w="95" w:type="dxa"/>
              <w:bottom w:w="75" w:type="dxa"/>
              <w:end w:w="95" w:type="dxa"/>
            </w:tcMar>
          </w:tcPr>
          <w:p>
            <w:r>
              <w:rPr>
                <w:rFonts w:ascii="Aptos" w:hAnsi="Aptos" w:eastAsia="Aptos"/>
                <w:b/>
                <w:color w:val="FFFFFF"/>
                <w:sz w:val="18"/>
              </w:rPr>
              <w:t>Allowed claim</w:t>
            </w:r>
          </w:p>
        </w:tc>
      </w:tr>
      <w:tr>
        <w:tc>
          <w:tcPr>
            <w:tcW w:type="dxa" w:w="3389"/>
          </w:tcPr>
          <w:p>
            <w:r>
              <w:t>Referent</w:t>
            </w:r>
          </w:p>
        </w:tc>
        <w:tc>
          <w:tcPr>
            <w:tcW w:type="dxa" w:w="3389"/>
          </w:tcPr>
          <w:p>
            <w:r>
              <w:t>Declared physical object, source or state to which the field is applied.</w:t>
            </w:r>
          </w:p>
        </w:tc>
        <w:tc>
          <w:tcPr>
            <w:tcW w:type="dxa" w:w="3389"/>
          </w:tcPr>
          <w:p>
            <w:r>
              <w:t>Necessary problem definition, not a prediction or fit.</w:t>
            </w:r>
          </w:p>
        </w:tc>
      </w:tr>
      <w:tr>
        <w:tc>
          <w:tcPr>
            <w:tcW w:type="dxa" w:w="3389"/>
            <w:tcMar>
              <w:top w:w="75" w:type="dxa"/>
              <w:start w:w="95" w:type="dxa"/>
              <w:bottom w:w="75" w:type="dxa"/>
              <w:end w:w="95" w:type="dxa"/>
            </w:tcMar>
          </w:tcPr>
          <w:p>
            <w:r>
              <w:rPr>
                <w:rFonts w:ascii="Aptos" w:hAnsi="Aptos" w:eastAsia="Aptos"/>
                <w:sz w:val="17"/>
              </w:rPr>
              <w:t>Anchor</w:t>
            </w:r>
          </w:p>
        </w:tc>
        <w:tc>
          <w:tcPr>
            <w:tcW w:type="dxa" w:w="3389"/>
            <w:tcMar>
              <w:top w:w="75" w:type="dxa"/>
              <w:start w:w="95" w:type="dxa"/>
              <w:bottom w:w="75" w:type="dxa"/>
              <w:end w:w="95" w:type="dxa"/>
            </w:tcMar>
          </w:tcPr>
          <w:p>
            <w:r>
              <w:rPr>
                <w:rFonts w:ascii="Aptos" w:hAnsi="Aptos" w:eastAsia="Aptos"/>
                <w:sz w:val="17"/>
              </w:rPr>
              <w:t>Measured quantity supplies units or a boundary condition.</w:t>
            </w:r>
          </w:p>
        </w:tc>
        <w:tc>
          <w:tcPr>
            <w:tcW w:type="dxa" w:w="3389"/>
            <w:tcMar>
              <w:top w:w="75" w:type="dxa"/>
              <w:start w:w="95" w:type="dxa"/>
              <w:bottom w:w="75" w:type="dxa"/>
              <w:end w:w="95" w:type="dxa"/>
            </w:tcMar>
          </w:tcPr>
          <w:p>
            <w:r>
              <w:rPr>
                <w:rFonts w:ascii="Aptos" w:hAnsi="Aptos" w:eastAsia="Aptos"/>
                <w:sz w:val="17"/>
              </w:rPr>
              <w:t>Conditional dimensional result.</w:t>
            </w:r>
          </w:p>
        </w:tc>
      </w:tr>
      <w:tr>
        <w:tc>
          <w:tcPr>
            <w:tcW w:type="dxa" w:w="3389"/>
            <w:tcMar>
              <w:top w:w="75" w:type="dxa"/>
              <w:start w:w="95" w:type="dxa"/>
              <w:bottom w:w="75" w:type="dxa"/>
              <w:end w:w="95" w:type="dxa"/>
            </w:tcMar>
          </w:tcPr>
          <w:p>
            <w:r>
              <w:rPr>
                <w:rFonts w:ascii="Aptos" w:hAnsi="Aptos" w:eastAsia="Aptos"/>
                <w:sz w:val="17"/>
              </w:rPr>
              <w:t>Calibration</w:t>
            </w:r>
          </w:p>
        </w:tc>
        <w:tc>
          <w:tcPr>
            <w:tcW w:type="dxa" w:w="3389"/>
            <w:tcMar>
              <w:top w:w="75" w:type="dxa"/>
              <w:start w:w="95" w:type="dxa"/>
              <w:bottom w:w="75" w:type="dxa"/>
              <w:end w:w="95" w:type="dxa"/>
            </w:tcMar>
          </w:tcPr>
          <w:p>
            <w:r>
              <w:rPr>
                <w:rFonts w:ascii="Aptos" w:hAnsi="Aptos" w:eastAsia="Aptos"/>
                <w:sz w:val="17"/>
              </w:rPr>
              <w:t>Measured target fixes a matching coefficient.</w:t>
            </w:r>
          </w:p>
        </w:tc>
        <w:tc>
          <w:tcPr>
            <w:tcW w:type="dxa" w:w="3389"/>
            <w:tcMar>
              <w:top w:w="75" w:type="dxa"/>
              <w:start w:w="95" w:type="dxa"/>
              <w:bottom w:w="75" w:type="dxa"/>
              <w:end w:w="95" w:type="dxa"/>
            </w:tcMar>
          </w:tcPr>
          <w:p>
            <w:r>
              <w:rPr>
                <w:rFonts w:ascii="Aptos" w:hAnsi="Aptos" w:eastAsia="Aptos"/>
                <w:sz w:val="17"/>
              </w:rPr>
              <w:t>Translator/model calibration, not derivation.</w:t>
            </w:r>
          </w:p>
        </w:tc>
      </w:tr>
      <w:tr>
        <w:tc>
          <w:tcPr>
            <w:tcW w:type="dxa" w:w="3389"/>
            <w:tcMar>
              <w:top w:w="75" w:type="dxa"/>
              <w:start w:w="95" w:type="dxa"/>
              <w:bottom w:w="75" w:type="dxa"/>
              <w:end w:w="95" w:type="dxa"/>
            </w:tcMar>
          </w:tcPr>
          <w:p>
            <w:r>
              <w:rPr>
                <w:rFonts w:ascii="Aptos" w:hAnsi="Aptos" w:eastAsia="Aptos"/>
                <w:sz w:val="17"/>
              </w:rPr>
              <w:t>Validation target</w:t>
            </w:r>
          </w:p>
        </w:tc>
        <w:tc>
          <w:tcPr>
            <w:tcW w:type="dxa" w:w="3389"/>
            <w:tcMar>
              <w:top w:w="75" w:type="dxa"/>
              <w:start w:w="95" w:type="dxa"/>
              <w:bottom w:w="75" w:type="dxa"/>
              <w:end w:w="95" w:type="dxa"/>
            </w:tcMar>
          </w:tcPr>
          <w:p>
            <w:r>
              <w:rPr>
                <w:rFonts w:ascii="Aptos" w:hAnsi="Aptos" w:eastAsia="Aptos"/>
                <w:sz w:val="17"/>
              </w:rPr>
              <w:t>Target is not used to construct the formula.</w:t>
            </w:r>
          </w:p>
        </w:tc>
        <w:tc>
          <w:tcPr>
            <w:tcW w:type="dxa" w:w="3389"/>
            <w:tcMar>
              <w:top w:w="75" w:type="dxa"/>
              <w:start w:w="95" w:type="dxa"/>
              <w:bottom w:w="75" w:type="dxa"/>
              <w:end w:w="95" w:type="dxa"/>
            </w:tcMar>
          </w:tcPr>
          <w:p>
            <w:r>
              <w:rPr>
                <w:rFonts w:ascii="Aptos" w:hAnsi="Aptos" w:eastAsia="Aptos"/>
                <w:sz w:val="17"/>
              </w:rPr>
              <w:t>Independent test of an existing result.</w:t>
            </w:r>
          </w:p>
        </w:tc>
      </w:tr>
      <w:tr>
        <w:tc>
          <w:tcPr>
            <w:tcW w:type="dxa" w:w="3389"/>
            <w:tcMar>
              <w:top w:w="75" w:type="dxa"/>
              <w:start w:w="95" w:type="dxa"/>
              <w:bottom w:w="75" w:type="dxa"/>
              <w:end w:w="95" w:type="dxa"/>
            </w:tcMar>
          </w:tcPr>
          <w:p>
            <w:r>
              <w:rPr>
                <w:rFonts w:ascii="Aptos" w:hAnsi="Aptos" w:eastAsia="Aptos"/>
                <w:sz w:val="17"/>
              </w:rPr>
              <w:t>Frozen forecast</w:t>
            </w:r>
          </w:p>
        </w:tc>
        <w:tc>
          <w:tcPr>
            <w:tcW w:type="dxa" w:w="3389"/>
            <w:tcMar>
              <w:top w:w="75" w:type="dxa"/>
              <w:start w:w="95" w:type="dxa"/>
              <w:bottom w:w="75" w:type="dxa"/>
              <w:end w:w="95" w:type="dxa"/>
            </w:tcMar>
          </w:tcPr>
          <w:p>
            <w:r>
              <w:rPr>
                <w:rFonts w:ascii="Aptos" w:hAnsi="Aptos" w:eastAsia="Aptos"/>
                <w:sz w:val="17"/>
              </w:rPr>
              <w:t>A postdictive formula is locked before new data arrive.</w:t>
            </w:r>
          </w:p>
        </w:tc>
        <w:tc>
          <w:tcPr>
            <w:tcW w:type="dxa" w:w="3389"/>
            <w:tcMar>
              <w:top w:w="75" w:type="dxa"/>
              <w:start w:w="95" w:type="dxa"/>
              <w:bottom w:w="75" w:type="dxa"/>
              <w:end w:w="95" w:type="dxa"/>
            </w:tcMar>
          </w:tcPr>
          <w:p>
            <w:r>
              <w:rPr>
                <w:rFonts w:ascii="Aptos" w:hAnsi="Aptos" w:eastAsia="Aptos"/>
                <w:sz w:val="17"/>
              </w:rPr>
              <w:t>Future evidence can support or reject it.</w:t>
            </w:r>
          </w:p>
        </w:tc>
      </w:tr>
    </w:tbl>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Two-axis grading  </w:t>
            </w:r>
            <w:r>
              <w:rPr>
                <w:rFonts w:ascii="Aptos" w:hAnsi="Aptos" w:eastAsia="Aptos"/>
                <w:color w:val="27313A"/>
                <w:sz w:val="19"/>
              </w:rPr>
              <w:t>Every statement now receives two grades. Derivational status asks whether it follows from the declared model. Evidential status asks whether it was predicted, calibrated, or chosen after seeing the observation. A formula can be a conditional theorem inside the model and still be a postdiction experimentally.</w:t>
            </w:r>
          </w:p>
        </w:tc>
      </w:tr>
    </w:tbl>
    <w:p>
      <w:pPr>
        <w:spacing w:after="0"/>
      </w:pPr>
    </w:p>
    <w:p>
      <w:pPr>
        <w:pStyle w:val="Heading1"/>
        <w:pBdr>
          <w:bottom w:val="single" w:sz="8" w:space="4" w:color="173A63"/>
        </w:pBdr>
      </w:pPr>
      <w:r>
        <w:t>3. Source-sector closure and the constitutive key</w:t>
      </w:r>
    </w:p>
    <w:p>
      <w:r>
        <w:t>General relativity is used as the macroscopic toolkit. The Bubble Field is the compressed decoding of the metric, not an extra minimally coupled scalar stress tensor in the exterior.</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ds²=-e^{2A(ρ)}c²dt²+e^{2B(ρ)}(dρ²+ρ²dΩ²)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A=-α_M,     B=α_L+ν/3</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G_tt=-e^{-2B}(B′²+2B″+4B′/ρ)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G_rr=e^{-2B}(2A′B′+B′²+2(A′+B′)/ρ)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G_θθ=e^{-2B}(A′²+A″+B″+(A′+B′)/ρ)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Macroscopic result  </w:t>
            </w:r>
            <w:r>
              <w:rPr>
                <w:rFonts w:ascii="Aptos" w:hAnsi="Aptos" w:eastAsia="Aptos"/>
                <w:color w:val="27313A"/>
                <w:sz w:val="19"/>
              </w:rPr>
              <w:t>Given a relativistic energy density and pressure profile, the Einstein equations determine A and B. This completes the GR-to-bubble source dictionary in the isotropic spherical sector. It does not yet derive arbitrary matter stress-energy from microscopic cells.</w:t>
            </w:r>
          </w:p>
        </w:tc>
      </w:tr>
    </w:tbl>
    <w:p>
      <w:pPr>
        <w:spacing w:after="0"/>
      </w:pPr>
    </w:p>
    <w:p>
      <w:pPr>
        <w:pStyle w:val="Heading2"/>
      </w:pPr>
      <w:r>
        <w:t>3.1 Exact identifiability theorem</w:t>
      </w:r>
    </w:p>
    <w:p>
      <w:r>
        <w:t>The metric determines α_M=-A exactly and determines only the combination α_L+ν/3=B. No metric-only experiment can identify the two pieces separately, at any precision. A nonmetric coupling or a constitutive section is required.</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(α_L,ν) ~ (α_L+δ,ν-3δ)</w:t>
            </w:r>
          </w:p>
        </w:tc>
      </w:tr>
    </w:tbl>
    <w:p>
      <w:pPr>
        <w:spacing w:after="0" w:before="0"/>
      </w:pPr>
    </w:p>
    <w:p>
      <w:pPr>
        <w:pStyle w:val="Heading2"/>
      </w:pPr>
      <w:r>
        <w:t>3.2 Least-action constitutive section</w:t>
      </w:r>
    </w:p>
    <w:p>
      <w:r>
        <w:t>The smallest explicit closure uses the mixed boundary covector (r,u) and an isotropic quadratic response cost. For a required boundary response χ, extremize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S_resp=½(α_L²+α_M²)-λ(rα_L+uα_M-χ)</w:t>
            </w:r>
          </w:p>
        </w:tc>
      </w:tr>
    </w:tbl>
    <w:p>
      <w:pPr>
        <w:spacing w:after="0" w:before="0"/>
      </w:pPr>
    </w:p>
    <w:p>
      <w:r>
        <w:t>Stationarity gives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α_L=λr,     α_M=λu,     α_L/α_M=r/u=1/√5</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tcPr>
          <w:p>
            <w:r>
              <w:rPr>
                <w:rFonts w:ascii="Aptos" w:hAnsi="Aptos" w:eastAsia="Aptos"/>
                <w:b/>
                <w:color w:val="9A6400"/>
                <w:sz w:val="20"/>
              </w:rPr>
              <w:t xml:space="preserve">Status of the ratio  </w:t>
            </w:r>
            <w:r>
              <w:rPr>
                <w:rFonts w:ascii="Aptos" w:hAnsi="Aptos" w:eastAsia="Aptos"/>
                <w:color w:val="27313A"/>
                <w:sz w:val="19"/>
              </w:rPr>
              <w:t>The ratio is no longer an unexplained numerical preference. It is a conditional theorem of the declared least-cost response action. The remaining physical question is whether the microscopic boundary response is in fact measured by this Euclidean cost and mixed covector.</w:t>
            </w:r>
          </w:p>
        </w:tc>
      </w:tr>
    </w:tbl>
    <w:p>
      <w:pPr>
        <w:spacing w:after="0"/>
      </w:pPr>
    </w:p>
    <w:p>
      <w:r>
        <w:t>On the weak Schwarzschild branch B≈α_M, the density response is therefore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ν≈3(1-1/√5)α_M=1.6583592135 α_M</w:t>
            </w:r>
          </w:p>
          <w:p>
            <w:pPr>
              <w:jc w:val="right"/>
            </w:pPr>
            <w:r>
              <w:rPr>
                <w:rFonts w:ascii="Aptos" w:hAnsi="Aptos" w:eastAsia="Aptos"/>
                <w:i/>
                <w:color w:val="5F6B76"/>
                <w:sz w:val="16"/>
              </w:rPr>
              <w:t>weak-field positive crowding</w:t>
            </w:r>
          </w:p>
        </w:tc>
      </w:tr>
    </w:tbl>
    <w:p>
      <w:pPr>
        <w:spacing w:after="0" w:before="0"/>
      </w:pPr>
    </w:p>
    <w:p>
      <w:r>
        <w:t>In the exact isotropic solution, use ν=3[B(α_M)-(1/√5)α_M]; the weak linear coefficient is not substituted into the strong field.</w:t>
      </w:r>
    </w:p>
    <w:p>
      <w:pPr>
        <w:pStyle w:val="Heading2"/>
      </w:pPr>
      <w:r>
        <w:t>3.3 Exact exterior, interior and light bending</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A=ln[(1-x)/(1+x)],     B=2ln(1+x),     x=GM/(2ρc²)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B(α_M)=α_M-2ln cosh(α_M/2)</w:t>
            </w:r>
          </w:p>
        </w:tc>
      </w:tr>
    </w:tbl>
    <w:p>
      <w:pPr>
        <w:spacing w:after="0" w:before="0"/>
      </w:pPr>
    </w:p>
    <w:p>
      <w:r>
        <w:t>The symbolic vacuum Einstein residuals vanish. The constant-density star reconstructs end to end; on the constitutive section the example with compactness 0.30 has central n/n₀=1.4766. These are exact GR reconstructions in bubble coordinates.</w:t>
      </w:r>
    </w:p>
    <w:p>
      <w:r>
        <w:drawing>
          <wp:inline xmlns:a="http://schemas.openxmlformats.org/drawingml/2006/main" xmlns:pic="http://schemas.openxmlformats.org/drawingml/2006/picture">
            <wp:extent cx="6217920" cy="3938016"/>
            <wp:docPr id="2" name="Picture 2"/>
            <wp:cNvGraphicFramePr>
              <a:graphicFrameLocks noChangeAspect="1"/>
            </wp:cNvGraphicFramePr>
            <a:graphic>
              <a:graphicData uri="http://schemas.openxmlformats.org/drawingml/2006/picture">
                <pic:pic>
                  <pic:nvPicPr>
                    <pic:cNvPr id="0" name="bubble_field_source_profiles.png"/>
                    <pic:cNvPicPr/>
                  </pic:nvPicPr>
                  <pic:blipFill>
                    <a:blip r:embed="rId12"/>
                    <a:stretch>
                      <a:fillRect/>
                    </a:stretch>
                  </pic:blipFill>
                  <pic:spPr>
                    <a:xfrm>
                      <a:off x="0" y="0"/>
                      <a:ext cx="6217920" cy="3938016"/>
                    </a:xfrm>
                    <a:prstGeom prst="rect"/>
                  </pic:spPr>
                </pic:pic>
              </a:graphicData>
            </a:graphic>
          </wp:inline>
        </w:drawing>
      </w:r>
    </w:p>
    <w:p>
      <w:pPr>
        <w:pStyle w:val="Caption"/>
        <w:jc w:val="center"/>
      </w:pPr>
      <w:r>
        <w:rPr>
          <w:rFonts w:ascii="Aptos" w:hAnsi="Aptos" w:eastAsia="Aptos"/>
          <w:i/>
          <w:color w:val="5F6B76"/>
          <w:sz w:val="17"/>
        </w:rPr>
        <w:t>Figure 2. Constant-density relativistic star decoded into the clock, light-barrier, density and total packing variables on the least-action constitutive section.</w:t>
      </w:r>
    </w:p>
    <w:p>
      <w:r>
        <w:t>The familiar factor of two in weak light deflection is recovered because slow motion reads the clock potential while lensing reads both clock and spatial packing. With γ=1, the spatial mode supplies the second half. This is an exact consequence of the GR dictionary, not an independent derivation of GR.</w:t>
      </w:r>
    </w:p>
    <w:p>
      <w:r>
        <w:br w:type="page"/>
      </w:r>
    </w:p>
    <w:p>
      <w:pPr>
        <w:pStyle w:val="Heading1"/>
        <w:pBdr>
          <w:bottom w:val="single" w:sz="8" w:space="4" w:color="173A63"/>
        </w:pBdr>
      </w:pPr>
      <w:r>
        <w:t>4. Cell scale, vacuum equation of state, and the dimensional boundary</w:t>
      </w:r>
    </w:p>
    <w:p>
      <w:pPr>
        <w:pStyle w:val="Heading2"/>
      </w:pPr>
      <w:r>
        <w:t>4.1 The cell is an exact family, not one unqualified number</w:t>
      </w:r>
    </w:p>
    <w:p>
      <w:r>
        <w:t>For a causal cell with ετ=ℏ, a=cτ, baseline number density n₀=a₀⁻³, and a channel fraction W carrying the observed vacuum energy density,</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a₀(W)=(Wℏc/ρ_Λ)^{1/4}</w:t>
            </w:r>
          </w:p>
        </w:tc>
      </w:tr>
    </w:tbl>
    <w:p>
      <w:pPr>
        <w:spacing w:after="0" w:before="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8"/>
              </w:rPr>
              <w:t>Vacuum assignment</w:t>
            </w:r>
          </w:p>
        </w:tc>
        <w:tc>
          <w:tcPr>
            <w:tcW w:type="dxa" w:w="3389"/>
            <w:shd w:fill="173A63"/>
            <w:tcMar>
              <w:top w:w="75" w:type="dxa"/>
              <w:start w:w="95" w:type="dxa"/>
              <w:bottom w:w="75" w:type="dxa"/>
              <w:end w:w="95" w:type="dxa"/>
            </w:tcMar>
          </w:tcPr>
          <w:p>
            <w:r>
              <w:rPr>
                <w:rFonts w:ascii="Aptos" w:hAnsi="Aptos" w:eastAsia="Aptos"/>
                <w:b/>
                <w:color w:val="FFFFFF"/>
                <w:sz w:val="18"/>
              </w:rPr>
              <w:t>W</w:t>
            </w:r>
          </w:p>
        </w:tc>
        <w:tc>
          <w:tcPr>
            <w:tcW w:type="dxa" w:w="3389"/>
            <w:shd w:fill="173A63"/>
            <w:tcMar>
              <w:top w:w="75" w:type="dxa"/>
              <w:start w:w="95" w:type="dxa"/>
              <w:bottom w:w="75" w:type="dxa"/>
              <w:end w:w="95" w:type="dxa"/>
            </w:tcMar>
          </w:tcPr>
          <w:p>
            <w:r>
              <w:rPr>
                <w:rFonts w:ascii="Aptos" w:hAnsi="Aptos" w:eastAsia="Aptos"/>
                <w:b/>
                <w:color w:val="FFFFFF"/>
                <w:sz w:val="18"/>
              </w:rPr>
              <w:t>Cell scale</w:t>
            </w:r>
          </w:p>
        </w:tc>
      </w:tr>
      <w:tr>
        <w:tc>
          <w:tcPr>
            <w:tcW w:type="dxa" w:w="3389"/>
            <w:tcMar>
              <w:top w:w="75" w:type="dxa"/>
              <w:start w:w="95" w:type="dxa"/>
              <w:bottom w:w="75" w:type="dxa"/>
              <w:end w:w="95" w:type="dxa"/>
            </w:tcMar>
          </w:tcPr>
          <w:p>
            <w:r>
              <w:rPr>
                <w:rFonts w:ascii="Aptos" w:hAnsi="Aptos" w:eastAsia="Aptos"/>
                <w:sz w:val="18"/>
              </w:rPr>
              <w:t>Whole cell</w:t>
            </w:r>
          </w:p>
        </w:tc>
        <w:tc>
          <w:tcPr>
            <w:tcW w:type="dxa" w:w="3389"/>
            <w:tcMar>
              <w:top w:w="75" w:type="dxa"/>
              <w:start w:w="95" w:type="dxa"/>
              <w:bottom w:w="75" w:type="dxa"/>
              <w:end w:w="95" w:type="dxa"/>
            </w:tcMar>
          </w:tcPr>
          <w:p>
            <w:r>
              <w:rPr>
                <w:rFonts w:ascii="Aptos" w:hAnsi="Aptos" w:eastAsia="Aptos"/>
                <w:sz w:val="18"/>
              </w:rPr>
              <w:t>1</w:t>
            </w:r>
          </w:p>
        </w:tc>
        <w:tc>
          <w:tcPr>
            <w:tcW w:type="dxa" w:w="3389"/>
            <w:tcMar>
              <w:top w:w="75" w:type="dxa"/>
              <w:start w:w="95" w:type="dxa"/>
              <w:bottom w:w="75" w:type="dxa"/>
              <w:end w:w="95" w:type="dxa"/>
            </w:tcMar>
          </w:tcPr>
          <w:p>
            <w:r>
              <w:rPr>
                <w:rFonts w:ascii="Aptos" w:hAnsi="Aptos" w:eastAsia="Aptos"/>
                <w:sz w:val="18"/>
              </w:rPr>
              <w:t>87.751 µm</w:t>
            </w:r>
          </w:p>
        </w:tc>
      </w:tr>
      <w:tr>
        <w:tc>
          <w:tcPr>
            <w:tcW w:type="dxa" w:w="3389"/>
            <w:tcMar>
              <w:top w:w="75" w:type="dxa"/>
              <w:start w:w="95" w:type="dxa"/>
              <w:bottom w:w="75" w:type="dxa"/>
              <w:end w:w="95" w:type="dxa"/>
            </w:tcMar>
          </w:tcPr>
          <w:p>
            <w:r>
              <w:rPr>
                <w:rFonts w:ascii="Aptos" w:hAnsi="Aptos" w:eastAsia="Aptos"/>
                <w:sz w:val="18"/>
              </w:rPr>
              <w:t>Matter channel</w:t>
            </w:r>
          </w:p>
        </w:tc>
        <w:tc>
          <w:tcPr>
            <w:tcW w:type="dxa" w:w="3389"/>
            <w:tcMar>
              <w:top w:w="75" w:type="dxa"/>
              <w:start w:w="95" w:type="dxa"/>
              <w:bottom w:w="75" w:type="dxa"/>
              <w:end w:w="95" w:type="dxa"/>
            </w:tcMar>
          </w:tcPr>
          <w:p>
            <w:r>
              <w:rPr>
                <w:rFonts w:ascii="Aptos" w:hAnsi="Aptos" w:eastAsia="Aptos"/>
                <w:sz w:val="18"/>
              </w:rPr>
              <w:t>r²</w:t>
            </w:r>
          </w:p>
        </w:tc>
        <w:tc>
          <w:tcPr>
            <w:tcW w:type="dxa" w:w="3389"/>
            <w:tcMar>
              <w:top w:w="75" w:type="dxa"/>
              <w:start w:w="95" w:type="dxa"/>
              <w:bottom w:w="75" w:type="dxa"/>
              <w:end w:w="95" w:type="dxa"/>
            </w:tcMar>
          </w:tcPr>
          <w:p>
            <w:r>
              <w:rPr>
                <w:rFonts w:ascii="Aptos" w:hAnsi="Aptos" w:eastAsia="Aptos"/>
                <w:sz w:val="18"/>
              </w:rPr>
              <w:t>48.780 µm</w:t>
            </w:r>
          </w:p>
        </w:tc>
      </w:tr>
    </w:tbl>
    <w:p>
      <w:r>
        <w:t>The formula is the result. Choosing which channel the observed ρΛ represents is the physical branch. The paper must never quote 87.8 µm and 48.8 µm as if both were unconditional predictions of the same assignment.</w:t>
      </w:r>
    </w:p>
    <w:p>
      <w:pPr>
        <w:pStyle w:val="Heading2"/>
      </w:pPr>
      <w:r>
        <w:t>4.2 Exactly when w=-1 follows</w:t>
      </w:r>
    </w:p>
    <w:p>
      <w:r>
        <w:t>The cosmological continuity equation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d(ρV)=-p dV</w:t>
            </w:r>
          </w:p>
        </w:tc>
      </w:tr>
    </w:tbl>
    <w:p>
      <w:pPr>
        <w:spacing w:after="0" w:before="0"/>
      </w:pPr>
    </w:p>
    <w:p>
      <w:r>
        <w:t>If cell renewal during expansion keeps the vacuum energy density constant, dρ=0, then</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ρ dV=-p dV     ⇒     p=-ρ     ⇒     w=-1</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tcPr>
          <w:p>
            <w:r>
              <w:rPr>
                <w:rFonts w:ascii="Aptos" w:hAnsi="Aptos" w:eastAsia="Aptos"/>
                <w:b/>
                <w:color w:val="9A6400"/>
                <w:sz w:val="20"/>
              </w:rPr>
              <w:t xml:space="preserve">Compression threshold for w  </w:t>
            </w:r>
            <w:r>
              <w:rPr>
                <w:rFonts w:ascii="Aptos" w:hAnsi="Aptos" w:eastAsia="Aptos"/>
                <w:color w:val="27313A"/>
                <w:sz w:val="19"/>
              </w:rPr>
              <w:t>Fixed action per cell does not by itself prove constant density. The result becomes exact after the cell-renewal/non-dilution rule is declared. The field can compress that rule into w=-1; it cannot infer the rule from w alone.</w:t>
            </w:r>
          </w:p>
        </w:tc>
      </w:tr>
    </w:tbl>
    <w:p>
      <w:pPr>
        <w:spacing w:after="0"/>
      </w:pPr>
    </w:p>
    <w:p>
      <w:pPr>
        <w:pStyle w:val="Heading2"/>
      </w:pPr>
      <w:r>
        <w:t>4.3 G and the cosmological hierarchy are one dimensionless bridge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q=Λℓ_P²/(8π)=ΛℏG/(8πc³)</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a₀=√(ℓ_P L_Λ),     L_Λ=√(8π/Λ)</w:t>
            </w:r>
          </w:p>
        </w:tc>
      </w:tr>
    </w:tbl>
    <w:p>
      <w:pPr>
        <w:spacing w:after="0" w:before="0"/>
      </w:pPr>
    </w:p>
    <w:p>
      <w:r>
        <w:t>These identities show that the Newton coupling, the vacuum hierarchy and the UV/IR cell separation encode the same missing dimensionless normalization. This is an exact reframing even before a value of q is supplied.</w:t>
      </w:r>
    </w:p>
    <w:p>
      <w:pPr>
        <w:pStyle w:val="Heading1"/>
        <w:pBdr>
          <w:bottom w:val="single" w:sz="8" w:space="4" w:color="173A63"/>
        </w:pBdr>
      </w:pPr>
      <w:r>
        <w:t>5. The G bridge: conditional theorem, postdictive evidence, frozen test</w:t>
      </w:r>
    </w:p>
    <w:p>
      <w:r>
        <w:t>The registered bridge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q_UF=r²⁴¹(1-r³)²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G_UF=[8πc³/(ℏΛ)] r²⁴¹(1-r³)²</w:t>
            </w:r>
          </w:p>
        </w:tc>
      </w:tr>
    </w:tbl>
    <w:p>
      <w:pPr>
        <w:spacing w:after="0" w:before="0"/>
      </w:pPr>
    </w:p>
    <w:p>
      <w:r>
        <w:t>Inside the declared representation, the factors have distinct jobs: 240 internal root modes, one external readout, and two retained legs of the emit-return interrogative cycle. If those three physical identifications hold and multiply independently, the formula follows without a continuous parameter.</w:t>
      </w: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tcPr>
          <w:p>
            <w:r>
              <w:rPr>
                <w:rFonts w:ascii="Aptos" w:hAnsi="Aptos" w:eastAsia="Aptos"/>
                <w:b/>
                <w:color w:val="9A6400"/>
                <w:sz w:val="20"/>
              </w:rPr>
              <w:t xml:space="preserve">Derivational grade  </w:t>
            </w:r>
            <w:r>
              <w:rPr>
                <w:rFonts w:ascii="Aptos" w:hAnsi="Aptos" w:eastAsia="Aptos"/>
                <w:color w:val="27313A"/>
                <w:sz w:val="19"/>
              </w:rPr>
              <w:t>Conditional theorem under the 240-mode factorization, external-readout and two-leg retention postulates.</w:t>
            </w:r>
          </w:p>
        </w:tc>
      </w:tr>
    </w:tbl>
    <w:p>
      <w:pPr>
        <w:spacing w:after="0"/>
      </w:pP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Evidential grade  </w:t>
            </w:r>
            <w:r>
              <w:rPr>
                <w:rFonts w:ascii="Aptos" w:hAnsi="Aptos" w:eastAsia="Aptos"/>
                <w:color w:val="27313A"/>
                <w:sz w:val="19"/>
              </w:rPr>
              <w:t>Postdiction: the two-leg prefactor was identified after the target hierarchy was known. The expression is now frozen. Future improvement in the geometric Λ boundary is the clean test; no alternate power or retention factor may be substituted afterward.</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8"/>
              </w:rPr>
              <w:t>Quantity</w:t>
            </w:r>
          </w:p>
        </w:tc>
        <w:tc>
          <w:tcPr>
            <w:tcW w:type="dxa" w:w="3389"/>
            <w:shd w:fill="173A63"/>
            <w:tcMar>
              <w:top w:w="75" w:type="dxa"/>
              <w:start w:w="95" w:type="dxa"/>
              <w:bottom w:w="75" w:type="dxa"/>
              <w:end w:w="95" w:type="dxa"/>
            </w:tcMar>
          </w:tcPr>
          <w:p>
            <w:r>
              <w:rPr>
                <w:rFonts w:ascii="Aptos" w:hAnsi="Aptos" w:eastAsia="Aptos"/>
                <w:b/>
                <w:color w:val="FFFFFF"/>
                <w:sz w:val="18"/>
              </w:rPr>
              <w:t>Value</w:t>
            </w:r>
          </w:p>
        </w:tc>
        <w:tc>
          <w:tcPr>
            <w:tcW w:type="dxa" w:w="3389"/>
            <w:shd w:fill="173A63"/>
            <w:tcMar>
              <w:top w:w="75" w:type="dxa"/>
              <w:start w:w="95" w:type="dxa"/>
              <w:bottom w:w="75" w:type="dxa"/>
              <w:end w:w="95" w:type="dxa"/>
            </w:tcMar>
          </w:tcPr>
          <w:p>
            <w:r>
              <w:rPr>
                <w:rFonts w:ascii="Aptos" w:hAnsi="Aptos" w:eastAsia="Aptos"/>
                <w:b/>
                <w:color w:val="FFFFFF"/>
                <w:sz w:val="18"/>
              </w:rPr>
              <w:t>Role</w:t>
            </w:r>
          </w:p>
        </w:tc>
      </w:tr>
      <w:tr>
        <w:tc>
          <w:tcPr>
            <w:tcW w:type="dxa" w:w="3389"/>
            <w:tcMar>
              <w:top w:w="75" w:type="dxa"/>
              <w:start w:w="95" w:type="dxa"/>
              <w:bottom w:w="75" w:type="dxa"/>
              <w:end w:w="95" w:type="dxa"/>
            </w:tcMar>
          </w:tcPr>
          <w:p>
            <w:r>
              <w:rPr>
                <w:rFonts w:ascii="Aptos" w:hAnsi="Aptos" w:eastAsia="Aptos"/>
                <w:sz w:val="17"/>
              </w:rPr>
              <w:t>q_UF</w:t>
            </w:r>
          </w:p>
        </w:tc>
        <w:tc>
          <w:tcPr>
            <w:tcW w:type="dxa" w:w="3389"/>
            <w:tcMar>
              <w:top w:w="75" w:type="dxa"/>
              <w:start w:w="95" w:type="dxa"/>
              <w:bottom w:w="75" w:type="dxa"/>
              <w:end w:w="95" w:type="dxa"/>
            </w:tcMar>
          </w:tcPr>
          <w:p>
            <w:r>
              <w:rPr>
                <w:rFonts w:ascii="Aptos" w:hAnsi="Aptos" w:eastAsia="Aptos"/>
                <w:sz w:val="17"/>
              </w:rPr>
              <w:t>1.14744854e-123</w:t>
            </w:r>
          </w:p>
        </w:tc>
        <w:tc>
          <w:tcPr>
            <w:tcW w:type="dxa" w:w="3389"/>
            <w:tcMar>
              <w:top w:w="75" w:type="dxa"/>
              <w:start w:w="95" w:type="dxa"/>
              <w:bottom w:w="75" w:type="dxa"/>
              <w:end w:w="95" w:type="dxa"/>
            </w:tcMar>
          </w:tcPr>
          <w:p>
            <w:r>
              <w:rPr>
                <w:rFonts w:ascii="Aptos" w:hAnsi="Aptos" w:eastAsia="Aptos"/>
                <w:sz w:val="17"/>
              </w:rPr>
              <w:t>frozen model output</w:t>
            </w:r>
          </w:p>
        </w:tc>
      </w:tr>
      <w:tr>
        <w:tc>
          <w:tcPr>
            <w:tcW w:type="dxa" w:w="3389"/>
            <w:tcMar>
              <w:top w:w="75" w:type="dxa"/>
              <w:start w:w="95" w:type="dxa"/>
              <w:bottom w:w="75" w:type="dxa"/>
              <w:end w:w="95" w:type="dxa"/>
            </w:tcMar>
          </w:tcPr>
          <w:p>
            <w:r>
              <w:rPr>
                <w:rFonts w:ascii="Aptos" w:hAnsi="Aptos" w:eastAsia="Aptos"/>
                <w:sz w:val="17"/>
              </w:rPr>
              <w:t>G_UF</w:t>
            </w:r>
          </w:p>
        </w:tc>
        <w:tc>
          <w:tcPr>
            <w:tcW w:type="dxa" w:w="3389"/>
            <w:tcMar>
              <w:top w:w="75" w:type="dxa"/>
              <w:start w:w="95" w:type="dxa"/>
              <w:bottom w:w="75" w:type="dxa"/>
              <w:end w:w="95" w:type="dxa"/>
            </w:tcMar>
          </w:tcPr>
          <w:p>
            <w:r>
              <w:rPr>
                <w:rFonts w:ascii="Aptos" w:hAnsi="Aptos" w:eastAsia="Aptos"/>
                <w:sz w:val="17"/>
              </w:rPr>
              <w:t>6.66438529e-11 m³ kg⁻¹ s⁻²</w:t>
            </w:r>
          </w:p>
        </w:tc>
        <w:tc>
          <w:tcPr>
            <w:tcW w:type="dxa" w:w="3389"/>
            <w:tcMar>
              <w:top w:w="75" w:type="dxa"/>
              <w:start w:w="95" w:type="dxa"/>
              <w:bottom w:w="75" w:type="dxa"/>
              <w:end w:w="95" w:type="dxa"/>
            </w:tcMar>
          </w:tcPr>
          <w:p>
            <w:r>
              <w:rPr>
                <w:rFonts w:ascii="Aptos" w:hAnsi="Aptos" w:eastAsia="Aptos"/>
                <w:sz w:val="17"/>
              </w:rPr>
              <w:t>conditional forecast from Λ</w:t>
            </w:r>
          </w:p>
        </w:tc>
      </w:tr>
      <w:tr>
        <w:tc>
          <w:tcPr>
            <w:tcW w:type="dxa" w:w="3389"/>
            <w:tcMar>
              <w:top w:w="75" w:type="dxa"/>
              <w:start w:w="95" w:type="dxa"/>
              <w:bottom w:w="75" w:type="dxa"/>
              <w:end w:w="95" w:type="dxa"/>
            </w:tcMar>
          </w:tcPr>
          <w:p>
            <w:r>
              <w:rPr>
                <w:rFonts w:ascii="Aptos" w:hAnsi="Aptos" w:eastAsia="Aptos"/>
                <w:sz w:val="17"/>
              </w:rPr>
              <w:t>Difference from comparison G</w:t>
            </w:r>
          </w:p>
        </w:tc>
        <w:tc>
          <w:tcPr>
            <w:tcW w:type="dxa" w:w="3389"/>
            <w:tcMar>
              <w:top w:w="75" w:type="dxa"/>
              <w:start w:w="95" w:type="dxa"/>
              <w:bottom w:w="75" w:type="dxa"/>
              <w:end w:w="95" w:type="dxa"/>
            </w:tcMar>
          </w:tcPr>
          <w:p>
            <w:r>
              <w:rPr>
                <w:rFonts w:ascii="Aptos" w:hAnsi="Aptos" w:eastAsia="Aptos"/>
                <w:sz w:val="17"/>
              </w:rPr>
              <w:t>-0.149%</w:t>
            </w:r>
          </w:p>
        </w:tc>
        <w:tc>
          <w:tcPr>
            <w:tcW w:type="dxa" w:w="3389"/>
            <w:tcMar>
              <w:top w:w="75" w:type="dxa"/>
              <w:start w:w="95" w:type="dxa"/>
              <w:bottom w:w="75" w:type="dxa"/>
              <w:end w:w="95" w:type="dxa"/>
            </w:tcMar>
          </w:tcPr>
          <w:p>
            <w:r>
              <w:rPr>
                <w:rFonts w:ascii="Aptos" w:hAnsi="Aptos" w:eastAsia="Aptos"/>
                <w:sz w:val="17"/>
              </w:rPr>
              <w:t>current postdictive residual</w:t>
            </w:r>
          </w:p>
        </w:tc>
      </w:tr>
    </w:tbl>
    <w:p>
      <w:r>
        <w:drawing>
          <wp:inline xmlns:a="http://schemas.openxmlformats.org/drawingml/2006/main" xmlns:pic="http://schemas.openxmlformats.org/drawingml/2006/picture">
            <wp:extent cx="5943600" cy="3632200"/>
            <wp:docPr id="3" name="Picture 3"/>
            <wp:cNvGraphicFramePr>
              <a:graphicFrameLocks noChangeAspect="1"/>
            </wp:cNvGraphicFramePr>
            <a:graphic>
              <a:graphicData uri="http://schemas.openxmlformats.org/drawingml/2006/picture">
                <pic:pic>
                  <pic:nvPicPr>
                    <pic:cNvPr id="0" name="bubble_field_G_bridge.png"/>
                    <pic:cNvPicPr/>
                  </pic:nvPicPr>
                  <pic:blipFill>
                    <a:blip r:embed="rId13"/>
                    <a:stretch>
                      <a:fillRect/>
                    </a:stretch>
                  </pic:blipFill>
                  <pic:spPr>
                    <a:xfrm>
                      <a:off x="0" y="0"/>
                      <a:ext cx="5943600" cy="3632200"/>
                    </a:xfrm>
                    <a:prstGeom prst="rect"/>
                  </pic:spPr>
                </pic:pic>
              </a:graphicData>
            </a:graphic>
          </wp:inline>
        </w:drawing>
      </w:r>
    </w:p>
    <w:p>
      <w:pPr>
        <w:pStyle w:val="Caption"/>
        <w:jc w:val="center"/>
      </w:pPr>
      <w:r>
        <w:rPr>
          <w:rFonts w:ascii="Aptos" w:hAnsi="Aptos" w:eastAsia="Aptos"/>
          <w:i/>
          <w:color w:val="5F6B76"/>
          <w:sz w:val="17"/>
        </w:rPr>
        <w:t>Figure 3. Discrete vacuum-record candidates. The two-leg formula is frozen as the future cosmological test branch.</w:t>
      </w:r>
    </w:p>
    <w:p>
      <w:r>
        <w:br w:type="page"/>
      </w:r>
    </w:p>
    <w:p>
      <w:pPr>
        <w:pStyle w:val="Heading1"/>
        <w:pBdr>
          <w:bottom w:val="single" w:sz="8" w:space="4" w:color="173A63"/>
        </w:pBdr>
      </w:pPr>
      <w:r>
        <w:t>6. The exact scale output and where low-energy matching begins</w:t>
      </w:r>
    </w:p>
    <w:p>
      <w:pPr>
        <w:pStyle w:val="Heading2"/>
      </w:pPr>
      <w:r>
        <w:t>6.1 Structural UV/IR scale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E₀=ℏc/a₀,     E_P=ℏc/ℓ_P,     E_×=√(E_P E₀)</w:t>
            </w:r>
          </w:p>
        </w:tc>
      </w:tr>
    </w:tbl>
    <w:p>
      <w:pPr>
        <w:spacing w:after="0" w:before="0"/>
      </w:pPr>
    </w:p>
    <w:p>
      <w:r>
        <w:t>On the reproducibility branch E_×=5.2416 TeV. This is the energy form of the exact geometric-mean identity a₀=√(ℓ_P L_Λ). It is the last scale supplied by the current compression without an additional low-energy operator.</w:t>
      </w:r>
    </w:p>
    <w:p>
      <w:pPr>
        <w:pStyle w:val="Heading2"/>
      </w:pPr>
      <w:r>
        <w:t>6.2 Electroweak VEV is a matching problem</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v=c_EW E_×</w:t>
            </w:r>
          </w:p>
        </w:tc>
      </w:tr>
    </w:tbl>
    <w:p>
      <w:pPr>
        <w:spacing w:after="0" w:before="0"/>
      </w:pPr>
    </w:p>
    <w:p>
      <w:r>
        <w:t>The observed matching coefficient is c_EW=v/E_×=0.046973905. The earlier expression (r²/2)√(1-r³)=0.047036024 was chosen because it landed near v; it is not retained as a derivation.</w:t>
      </w: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Exact stopping point  </w:t>
            </w:r>
            <w:r>
              <w:rPr>
                <w:rFonts w:ascii="Aptos" w:hAnsi="Aptos" w:eastAsia="Aptos"/>
                <w:color w:val="27313A"/>
                <w:sz w:val="19"/>
              </w:rPr>
              <w:t>The compression produces the crossover scale E_×. A Higgs or symmetry-breaking operator must determine c_EW, the gauge couplings and the weak mixing angle. Until that operator exists, using the measured v is calibration - not a failure of the compression and not a prediction.</w:t>
            </w:r>
          </w:p>
        </w:tc>
      </w:tr>
    </w:tbl>
    <w:p>
      <w:pPr>
        <w:spacing w:after="0"/>
      </w:pPr>
    </w:p>
    <w:p>
      <w:pPr>
        <w:pStyle w:val="Heading2"/>
      </w:pPr>
      <w:r>
        <w:t>6.3 Charged leptons are beyond the current resolution</w:t>
      </w:r>
    </w:p>
    <w:p>
      <w:r>
        <w:t>In the Standard Model toolkit,</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M_ℓ=(v/√2)Y_ℓ</w:t>
            </w:r>
          </w:p>
        </w:tc>
      </w:tr>
    </w:tbl>
    <w:p>
      <w:pPr>
        <w:spacing w:after="0" w:before="0"/>
      </w:pPr>
    </w:p>
    <w:p>
      <w:r>
        <w:t>The Bubble Field currently supplies neither the Yukawa operator Yℓ nor an eigenvalue theorem forcing generation depths. Therefore exact electron, muon and tau masses vary inside unresolved spectral detail and do not pass the Fiber/Bridge gates.</w:t>
      </w:r>
    </w:p>
    <w:tbl>
      <w:tblPr>
        <w:tblW w:type="auto" w:w="0"/>
        <w:jc w:val="center"/>
        <w:tblLook w:firstColumn="1" w:firstRow="1" w:lastColumn="0" w:lastRow="0" w:noHBand="0" w:noVBand="1" w:val="04A0"/>
      </w:tblPr>
      <w:tblGrid>
        <w:gridCol w:w="10166"/>
      </w:tblGrid>
      <w:tr>
        <w:tc>
          <w:tcPr>
            <w:tcW w:type="dxa" w:w="10166"/>
            <w:shd w:fill="FFF2F2"/>
            <w:tcMar>
              <w:top w:w="110" w:type="dxa"/>
              <w:start w:w="150" w:type="dxa"/>
              <w:bottom w:w="110" w:type="dxa"/>
              <w:end w:w="150" w:type="dxa"/>
            </w:tcMar>
          </w:tcPr>
          <w:p>
            <w:r>
              <w:rPr>
                <w:rFonts w:ascii="Aptos" w:hAnsi="Aptos" w:eastAsia="Aptos"/>
                <w:b/>
                <w:color w:val="8A3434"/>
                <w:sz w:val="20"/>
              </w:rPr>
              <w:t xml:space="preserve">Withdrawal  </w:t>
            </w:r>
            <w:r>
              <w:rPr>
                <w:rFonts w:ascii="Aptos" w:hAnsi="Aptos" w:eastAsia="Aptos"/>
                <w:color w:val="27313A"/>
                <w:sz w:val="19"/>
              </w:rPr>
              <w:t>The previous formulas m_e=vr¹¹(1-r/2), m_μ=m_eφ¹¹(1+r³), and m_τ=m_eφ¹⁷(1-r³) are removed from the active theory. Their sub-percent proximity is not enough at the precision of lepton data. They remain only as a documented rejected ansatz.</w:t>
            </w:r>
          </w:p>
        </w:tc>
      </w:tr>
    </w:tbl>
    <w:p>
      <w:pPr>
        <w:spacing w:after="0"/>
      </w:pPr>
    </w:p>
    <w:p>
      <w:r>
        <w:t>A future lepton claim enters scope only after the theory constructs a localized phase/winding operator, proves its spectrum and fixes the dimensional matching without using the lepton masses as targets.</w:t>
      </w:r>
    </w:p>
    <w:p>
      <w:pPr>
        <w:pStyle w:val="Heading1"/>
        <w:pBdr>
          <w:bottom w:val="single" w:sz="8" w:space="4" w:color="173A63"/>
        </w:pBdr>
      </w:pPr>
      <w:r>
        <w:t>7. Translators, no-go results, and operator-dependent outputs</w:t>
      </w:r>
    </w:p>
    <w:p>
      <w:pPr>
        <w:pStyle w:val="Heading2"/>
      </w:pPr>
      <w:r>
        <w:t>7.1 QCD tension is a translator identity</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σ=ρa²=E/a=E²/(ℏc),     a=ℏc/E</w:t>
            </w:r>
          </w:p>
        </w:tc>
      </w:tr>
    </w:tbl>
    <w:p>
      <w:pPr>
        <w:spacing w:after="0" w:before="0"/>
      </w:pPr>
    </w:p>
    <w:p>
      <w:r>
        <w:t>Supplying σ and recovering E is algebraic inversion. The field has not selected the QCD scale. The vacuum-cell identification remains excluded by roughly 10²³ in the existing audit.</w:t>
      </w:r>
    </w:p>
    <w:p>
      <w:pPr>
        <w:pStyle w:val="Heading2"/>
      </w:pPr>
      <w:r>
        <w:t>7.2 Dark matter: distinguish energy from geometry</w:t>
      </w:r>
    </w:p>
    <w:p>
      <w:r>
        <w:t>The literal claim that vacuum-cell crowding energy supplies the missing galactic dark-matter energy density is excluded by roughly eleven orders. That no-go does not automatically exclude a relational or geometric crowding interpretation, because metric reconstruction and extra material energy are different observables. Any revived dark-sector claim must state which one it means.</w:t>
      </w:r>
    </w:p>
    <w:p>
      <w:pPr>
        <w:pStyle w:val="Heading2"/>
      </w:pPr>
      <w:r>
        <w:t>7.3 Range hierarchy begins at the operator assignment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A63"/>
            <w:tcMar>
              <w:top w:w="75" w:type="dxa"/>
              <w:start w:w="95" w:type="dxa"/>
              <w:bottom w:w="75" w:type="dxa"/>
              <w:end w:w="95" w:type="dxa"/>
            </w:tcMar>
          </w:tcPr>
          <w:p>
            <w:r>
              <w:rPr>
                <w:rFonts w:ascii="Aptos" w:hAnsi="Aptos" w:eastAsia="Aptos"/>
                <w:b/>
                <w:color w:val="FFFFFF"/>
                <w:sz w:val="17"/>
              </w:rPr>
              <w:t>Mode</w:t>
            </w:r>
          </w:p>
        </w:tc>
        <w:tc>
          <w:tcPr>
            <w:tcW w:type="dxa" w:w="2541"/>
            <w:shd w:fill="173A63"/>
            <w:tcMar>
              <w:top w:w="75" w:type="dxa"/>
              <w:start w:w="95" w:type="dxa"/>
              <w:bottom w:w="75" w:type="dxa"/>
              <w:end w:w="95" w:type="dxa"/>
            </w:tcMar>
          </w:tcPr>
          <w:p>
            <w:r>
              <w:rPr>
                <w:rFonts w:ascii="Aptos" w:hAnsi="Aptos" w:eastAsia="Aptos"/>
                <w:b/>
                <w:color w:val="FFFFFF"/>
                <w:sz w:val="17"/>
              </w:rPr>
              <w:t>Declared operator</w:t>
            </w:r>
          </w:p>
        </w:tc>
        <w:tc>
          <w:tcPr>
            <w:tcW w:type="dxa" w:w="2541"/>
            <w:shd w:fill="173A63"/>
            <w:tcMar>
              <w:top w:w="75" w:type="dxa"/>
              <w:start w:w="95" w:type="dxa"/>
              <w:bottom w:w="75" w:type="dxa"/>
              <w:end w:w="95" w:type="dxa"/>
            </w:tcMar>
          </w:tcPr>
          <w:p>
            <w:r>
              <w:rPr>
                <w:rFonts w:ascii="Aptos" w:hAnsi="Aptos" w:eastAsia="Aptos"/>
                <w:b/>
                <w:color w:val="FFFFFF"/>
                <w:sz w:val="17"/>
              </w:rPr>
              <w:t>Green function</w:t>
            </w:r>
          </w:p>
        </w:tc>
        <w:tc>
          <w:tcPr>
            <w:tcW w:type="dxa" w:w="2541"/>
            <w:shd w:fill="173A63"/>
            <w:tcMar>
              <w:top w:w="75" w:type="dxa"/>
              <w:start w:w="95" w:type="dxa"/>
              <w:bottom w:w="75" w:type="dxa"/>
              <w:end w:w="95" w:type="dxa"/>
            </w:tcMar>
          </w:tcPr>
          <w:p>
            <w:r>
              <w:rPr>
                <w:rFonts w:ascii="Aptos" w:hAnsi="Aptos" w:eastAsia="Aptos"/>
                <w:b/>
                <w:color w:val="FFFFFF"/>
                <w:sz w:val="17"/>
              </w:rPr>
              <w:t>Status</w:t>
            </w:r>
          </w:p>
        </w:tc>
      </w:tr>
      <w:tr>
        <w:tc>
          <w:tcPr>
            <w:tcW w:type="dxa" w:w="2541"/>
            <w:tcMar>
              <w:top w:w="75" w:type="dxa"/>
              <w:start w:w="95" w:type="dxa"/>
              <w:bottom w:w="75" w:type="dxa"/>
              <w:end w:w="95" w:type="dxa"/>
            </w:tcMar>
          </w:tcPr>
          <w:p>
            <w:r>
              <w:rPr>
                <w:rFonts w:ascii="Aptos" w:hAnsi="Aptos" w:eastAsia="Aptos"/>
                <w:sz w:val="16"/>
              </w:rPr>
              <w:t>Light</w:t>
            </w:r>
          </w:p>
        </w:tc>
        <w:tc>
          <w:tcPr>
            <w:tcW w:type="dxa" w:w="2541"/>
            <w:tcMar>
              <w:top w:w="75" w:type="dxa"/>
              <w:start w:w="95" w:type="dxa"/>
              <w:bottom w:w="75" w:type="dxa"/>
              <w:end w:w="95" w:type="dxa"/>
            </w:tcMar>
          </w:tcPr>
          <w:p>
            <w:r>
              <w:rPr>
                <w:rFonts w:ascii="Aptos" w:hAnsi="Aptos" w:eastAsia="Aptos"/>
                <w:sz w:val="16"/>
              </w:rPr>
              <w:t>-∇²</w:t>
            </w:r>
          </w:p>
        </w:tc>
        <w:tc>
          <w:tcPr>
            <w:tcW w:type="dxa" w:w="2541"/>
            <w:tcMar>
              <w:top w:w="75" w:type="dxa"/>
              <w:start w:w="95" w:type="dxa"/>
              <w:bottom w:w="75" w:type="dxa"/>
              <w:end w:w="95" w:type="dxa"/>
            </w:tcMar>
          </w:tcPr>
          <w:p>
            <w:r>
              <w:rPr>
                <w:rFonts w:ascii="Aptos" w:hAnsi="Aptos" w:eastAsia="Aptos"/>
                <w:sz w:val="16"/>
              </w:rPr>
              <w:t>1/r</w:t>
            </w:r>
          </w:p>
        </w:tc>
        <w:tc>
          <w:tcPr>
            <w:tcW w:type="dxa" w:w="2541"/>
            <w:tcMar>
              <w:top w:w="75" w:type="dxa"/>
              <w:start w:w="95" w:type="dxa"/>
              <w:bottom w:w="75" w:type="dxa"/>
              <w:end w:w="95" w:type="dxa"/>
            </w:tcMar>
          </w:tcPr>
          <w:p>
            <w:r>
              <w:rPr>
                <w:rFonts w:ascii="Aptos" w:hAnsi="Aptos" w:eastAsia="Aptos"/>
                <w:sz w:val="16"/>
              </w:rPr>
              <w:t>infinite after massless kinetic assignment</w:t>
            </w:r>
          </w:p>
        </w:tc>
      </w:tr>
      <w:tr>
        <w:tc>
          <w:tcPr>
            <w:tcW w:type="dxa" w:w="2541"/>
            <w:tcMar>
              <w:top w:w="75" w:type="dxa"/>
              <w:start w:w="95" w:type="dxa"/>
              <w:bottom w:w="75" w:type="dxa"/>
              <w:end w:w="95" w:type="dxa"/>
            </w:tcMar>
          </w:tcPr>
          <w:p>
            <w:r>
              <w:rPr>
                <w:rFonts w:ascii="Aptos" w:hAnsi="Aptos" w:eastAsia="Aptos"/>
                <w:sz w:val="16"/>
              </w:rPr>
              <w:t>Boundary</w:t>
            </w:r>
          </w:p>
        </w:tc>
        <w:tc>
          <w:tcPr>
            <w:tcW w:type="dxa" w:w="2541"/>
            <w:tcMar>
              <w:top w:w="75" w:type="dxa"/>
              <w:start w:w="95" w:type="dxa"/>
              <w:bottom w:w="75" w:type="dxa"/>
              <w:end w:w="95" w:type="dxa"/>
            </w:tcMar>
          </w:tcPr>
          <w:p>
            <w:r>
              <w:rPr>
                <w:rFonts w:ascii="Aptos" w:hAnsi="Aptos" w:eastAsia="Aptos"/>
                <w:sz w:val="16"/>
              </w:rPr>
              <w:t>-∇²+m_B²</w:t>
            </w:r>
          </w:p>
        </w:tc>
        <w:tc>
          <w:tcPr>
            <w:tcW w:type="dxa" w:w="2541"/>
            <w:tcMar>
              <w:top w:w="75" w:type="dxa"/>
              <w:start w:w="95" w:type="dxa"/>
              <w:bottom w:w="75" w:type="dxa"/>
              <w:end w:w="95" w:type="dxa"/>
            </w:tcMar>
          </w:tcPr>
          <w:p>
            <w:r>
              <w:rPr>
                <w:rFonts w:ascii="Aptos" w:hAnsi="Aptos" w:eastAsia="Aptos"/>
                <w:sz w:val="16"/>
              </w:rPr>
              <w:t>e^{-m_Br}/r</w:t>
            </w:r>
          </w:p>
        </w:tc>
        <w:tc>
          <w:tcPr>
            <w:tcW w:type="dxa" w:w="2541"/>
            <w:tcMar>
              <w:top w:w="75" w:type="dxa"/>
              <w:start w:w="95" w:type="dxa"/>
              <w:bottom w:w="75" w:type="dxa"/>
              <w:end w:w="95" w:type="dxa"/>
            </w:tcMar>
          </w:tcPr>
          <w:p>
            <w:r>
              <w:rPr>
                <w:rFonts w:ascii="Aptos" w:hAnsi="Aptos" w:eastAsia="Aptos"/>
                <w:sz w:val="16"/>
              </w:rPr>
              <w:t>finite after massive kinetic assignment</w:t>
            </w:r>
          </w:p>
        </w:tc>
      </w:tr>
      <w:tr>
        <w:tc>
          <w:tcPr>
            <w:tcW w:type="dxa" w:w="2541"/>
            <w:tcMar>
              <w:top w:w="75" w:type="dxa"/>
              <w:start w:w="95" w:type="dxa"/>
              <w:bottom w:w="75" w:type="dxa"/>
              <w:end w:w="95" w:type="dxa"/>
            </w:tcMar>
          </w:tcPr>
          <w:p>
            <w:r>
              <w:rPr>
                <w:rFonts w:ascii="Aptos" w:hAnsi="Aptos" w:eastAsia="Aptos"/>
                <w:sz w:val="16"/>
              </w:rPr>
              <w:t>Matter</w:t>
            </w:r>
          </w:p>
        </w:tc>
        <w:tc>
          <w:tcPr>
            <w:tcW w:type="dxa" w:w="2541"/>
            <w:tcMar>
              <w:top w:w="75" w:type="dxa"/>
              <w:start w:w="95" w:type="dxa"/>
              <w:bottom w:w="75" w:type="dxa"/>
              <w:end w:w="95" w:type="dxa"/>
            </w:tcMar>
          </w:tcPr>
          <w:p>
            <w:r>
              <w:rPr>
                <w:rFonts w:ascii="Aptos" w:hAnsi="Aptos" w:eastAsia="Aptos"/>
                <w:sz w:val="16"/>
              </w:rPr>
              <w:t>m_M² without spatial kinetic term</w:t>
            </w:r>
          </w:p>
        </w:tc>
        <w:tc>
          <w:tcPr>
            <w:tcW w:type="dxa" w:w="2541"/>
            <w:tcMar>
              <w:top w:w="75" w:type="dxa"/>
              <w:start w:w="95" w:type="dxa"/>
              <w:bottom w:w="75" w:type="dxa"/>
              <w:end w:w="95" w:type="dxa"/>
            </w:tcMar>
          </w:tcPr>
          <w:p>
            <w:r>
              <w:rPr>
                <w:rFonts w:ascii="Aptos" w:hAnsi="Aptos" w:eastAsia="Aptos"/>
                <w:sz w:val="16"/>
              </w:rPr>
              <w:t>local algebraic response</w:t>
            </w:r>
          </w:p>
        </w:tc>
        <w:tc>
          <w:tcPr>
            <w:tcW w:type="dxa" w:w="2541"/>
            <w:tcMar>
              <w:top w:w="75" w:type="dxa"/>
              <w:start w:w="95" w:type="dxa"/>
              <w:bottom w:w="75" w:type="dxa"/>
              <w:end w:w="95" w:type="dxa"/>
            </w:tcMar>
          </w:tcPr>
          <w:p>
            <w:r>
              <w:rPr>
                <w:rFonts w:ascii="Aptos" w:hAnsi="Aptos" w:eastAsia="Aptos"/>
                <w:sz w:val="16"/>
              </w:rPr>
              <w:t>zero/contact after auxiliary assignment</w:t>
            </w:r>
          </w:p>
        </w:tc>
      </w:tr>
    </w:tbl>
    <w:p>
      <w:r>
        <w:t>The ranges follow exactly from these operators. The three channel weights and block counts alone do not uniquely force the operators, so the range hierarchy remains a conditional representation result.</w:t>
      </w:r>
    </w:p>
    <w:p>
      <w:r>
        <w:br w:type="page"/>
      </w:r>
    </w:p>
    <w:p>
      <w:pPr>
        <w:pStyle w:val="Heading1"/>
        <w:pBdr>
          <w:bottom w:val="single" w:sz="8" w:space="4" w:color="173A63"/>
        </w:pBdr>
      </w:pPr>
      <w:r>
        <w:t>8. The field recovery threshold - final statement</w:t>
      </w:r>
    </w:p>
    <w:p>
      <w:r>
        <w:t>The Universal Field of Least Action is neither required nor permitted to claim unlimited bottom-up reconstruction. Its formal scope is the set of observables that factor through its compression map, plus quantities obtained after explicitly declared anchors and constitutive sections.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Recoverable set  R_C={Q | Q=Q̃∘C}</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Conditional set  R_{C,s}={Q | Q=Q̃∘s∘C for a declared section s}</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Outside set  O_C={Q | Q changes along ker(DC) and no extra channel is supplied}</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Operational threshold  </w:t>
            </w:r>
            <w:r>
              <w:rPr>
                <w:rFonts w:ascii="Aptos" w:hAnsi="Aptos" w:eastAsia="Aptos"/>
                <w:color w:val="27313A"/>
                <w:sz w:val="19"/>
              </w:rPr>
              <w:t>At the present scalar-phase level, the field gets A, B and Θ and every invariant made from them. It gets α_M from A. It does not get α_L and ν separately without the constitutive key. It gets the structural UV/IR scale, but not low-energy spectral eigenvalues without a matching operator. That is the exact point at which the inference stops.</w:t>
            </w:r>
          </w:p>
        </w:tc>
      </w:tr>
    </w:tbl>
    <w:p>
      <w:pPr>
        <w:spacing w:after="0"/>
      </w:pPr>
    </w:p>
    <w:p>
      <w:r>
        <w:drawing>
          <wp:inline xmlns:a="http://schemas.openxmlformats.org/drawingml/2006/main" xmlns:pic="http://schemas.openxmlformats.org/drawingml/2006/picture">
            <wp:extent cx="6309360" cy="3366505"/>
            <wp:docPr id="4" name="Picture 4"/>
            <wp:cNvGraphicFramePr>
              <a:graphicFrameLocks noChangeAspect="1"/>
            </wp:cNvGraphicFramePr>
            <a:graphic>
              <a:graphicData uri="http://schemas.openxmlformats.org/drawingml/2006/picture">
                <pic:pic>
                  <pic:nvPicPr>
                    <pic:cNvPr id="0" name="bubble_field_recovery_ledger.png"/>
                    <pic:cNvPicPr/>
                  </pic:nvPicPr>
                  <pic:blipFill>
                    <a:blip r:embed="rId14"/>
                    <a:stretch>
                      <a:fillRect/>
                    </a:stretch>
                  </pic:blipFill>
                  <pic:spPr>
                    <a:xfrm>
                      <a:off x="0" y="0"/>
                      <a:ext cx="6309360" cy="3366505"/>
                    </a:xfrm>
                    <a:prstGeom prst="rect"/>
                  </pic:spPr>
                </pic:pic>
              </a:graphicData>
            </a:graphic>
          </wp:inline>
        </w:drawing>
      </w:r>
    </w:p>
    <w:p>
      <w:pPr>
        <w:pStyle w:val="Caption"/>
        <w:jc w:val="center"/>
      </w:pPr>
      <w:r>
        <w:rPr>
          <w:rFonts w:ascii="Aptos" w:hAnsi="Aptos" w:eastAsia="Aptos"/>
          <w:i/>
          <w:color w:val="5F6B76"/>
          <w:sz w:val="17"/>
        </w:rPr>
        <w:t>Figure 4. Final recovery ledger. The horizontal position describes derivational closure, not numerical closeness.</w:t>
      </w:r>
    </w:p>
    <w:p>
      <w:pPr>
        <w:pStyle w:val="Heading2"/>
      </w:pPr>
      <w:r>
        <w:t>8.1 The claim-writing protocol</w:t>
      </w:r>
    </w:p>
    <w:p>
      <w:pPr>
        <w:pStyle w:val="ListNumber"/>
      </w:pPr>
      <w:r>
        <w:rPr>
          <w:rFonts w:ascii="Aptos" w:hAnsi="Aptos" w:eastAsia="Aptos"/>
          <w:sz w:val="19"/>
        </w:rPr>
        <w:t>Write the compression map and its kernel for the sector being studied.</w:t>
      </w:r>
    </w:p>
    <w:p>
      <w:pPr>
        <w:pStyle w:val="ListNumber"/>
      </w:pPr>
      <w:r>
        <w:rPr>
          <w:rFonts w:ascii="Aptos" w:hAnsi="Aptos" w:eastAsia="Aptos"/>
          <w:sz w:val="19"/>
        </w:rPr>
        <w:t>Name all measured quantities as anchors, calibrations, validation targets or frozen forecasts.</w:t>
      </w:r>
    </w:p>
    <w:p>
      <w:pPr>
        <w:pStyle w:val="ListNumber"/>
      </w:pPr>
      <w:r>
        <w:rPr>
          <w:rFonts w:ascii="Aptos" w:hAnsi="Aptos" w:eastAsia="Aptos"/>
          <w:sz w:val="19"/>
        </w:rPr>
        <w:t>Test fiber invariance before attempting a numerical formula.</w:t>
      </w:r>
    </w:p>
    <w:p>
      <w:pPr>
        <w:pStyle w:val="ListNumber"/>
      </w:pPr>
      <w:r>
        <w:rPr>
          <w:rFonts w:ascii="Aptos" w:hAnsi="Aptos" w:eastAsia="Aptos"/>
          <w:sz w:val="19"/>
        </w:rPr>
        <w:t>Add a constitutive section only through an explicit action or response law.</w:t>
      </w:r>
    </w:p>
    <w:p>
      <w:pPr>
        <w:pStyle w:val="ListNumber"/>
      </w:pPr>
      <w:r>
        <w:rPr>
          <w:rFonts w:ascii="Aptos" w:hAnsi="Aptos" w:eastAsia="Aptos"/>
          <w:sz w:val="19"/>
        </w:rPr>
        <w:t>Do not label a translator identity as a prediction.</w:t>
      </w:r>
    </w:p>
    <w:p>
      <w:pPr>
        <w:pStyle w:val="ListNumber"/>
      </w:pPr>
      <w:r>
        <w:rPr>
          <w:rFonts w:ascii="Aptos" w:hAnsi="Aptos" w:eastAsia="Aptos"/>
          <w:sz w:val="19"/>
        </w:rPr>
        <w:t>Reject an in-scope precision formula when it misses, even if its percentage error appears small.</w:t>
      </w:r>
    </w:p>
    <w:p>
      <w:pPr>
        <w:pStyle w:val="ListNumber"/>
      </w:pPr>
      <w:r>
        <w:rPr>
          <w:rFonts w:ascii="Aptos" w:hAnsi="Aptos" w:eastAsia="Aptos"/>
          <w:sz w:val="19"/>
        </w:rPr>
        <w:t>Do not call an out-of-scope microscopic detail a failure of the compressed field; call it an operator still absent from the representation.</w:t>
      </w:r>
    </w:p>
    <w:p>
      <w:pPr>
        <w:pStyle w:val="Heading2"/>
      </w:pPr>
      <w:r>
        <w:t>8.2 What is closed now</w:t>
      </w:r>
    </w:p>
    <w:p>
      <w:pPr>
        <w:pStyle w:val="ListBullet"/>
      </w:pPr>
      <w:r>
        <w:rPr>
          <w:rFonts w:ascii="Aptos" w:hAnsi="Aptos" w:eastAsia="Aptos"/>
          <w:sz w:val="19"/>
        </w:rPr>
        <w:t>The local information budget: rank three, nullity one.</w:t>
      </w:r>
    </w:p>
    <w:p>
      <w:pPr>
        <w:pStyle w:val="ListBullet"/>
      </w:pPr>
      <w:r>
        <w:rPr>
          <w:rFonts w:ascii="Aptos" w:hAnsi="Aptos" w:eastAsia="Aptos"/>
          <w:sz w:val="19"/>
        </w:rPr>
        <w:t>The exact metric/source dictionary in the isotropic spherical sector.</w:t>
      </w:r>
    </w:p>
    <w:p>
      <w:pPr>
        <w:pStyle w:val="ListBullet"/>
      </w:pPr>
      <w:r>
        <w:rPr>
          <w:rFonts w:ascii="Aptos" w:hAnsi="Aptos" w:eastAsia="Aptos"/>
          <w:sz w:val="19"/>
        </w:rPr>
        <w:t>The exact reason gravity cannot identify the light-density split.</w:t>
      </w:r>
    </w:p>
    <w:p>
      <w:pPr>
        <w:pStyle w:val="ListBullet"/>
      </w:pPr>
      <w:r>
        <w:rPr>
          <w:rFonts w:ascii="Aptos" w:hAnsi="Aptos" w:eastAsia="Aptos"/>
          <w:sz w:val="19"/>
        </w:rPr>
        <w:t>A smallest conditional least-action section giving α_L/α_M=1/√5.</w:t>
      </w:r>
    </w:p>
    <w:p>
      <w:pPr>
        <w:pStyle w:val="ListBullet"/>
      </w:pPr>
      <w:r>
        <w:rPr>
          <w:rFonts w:ascii="Aptos" w:hAnsi="Aptos" w:eastAsia="Aptos"/>
          <w:sz w:val="19"/>
        </w:rPr>
        <w:t>The exact cell-scale family and conditional w=-1 theorem.</w:t>
      </w:r>
    </w:p>
    <w:p>
      <w:pPr>
        <w:pStyle w:val="ListBullet"/>
      </w:pPr>
      <w:r>
        <w:rPr>
          <w:rFonts w:ascii="Aptos" w:hAnsi="Aptos" w:eastAsia="Aptos"/>
          <w:sz w:val="19"/>
        </w:rPr>
        <w:t>The exact G/Λ hierarchy identity and one frozen conditional G bridge.</w:t>
      </w:r>
    </w:p>
    <w:p>
      <w:pPr>
        <w:pStyle w:val="ListBullet"/>
      </w:pPr>
      <w:r>
        <w:rPr>
          <w:rFonts w:ascii="Aptos" w:hAnsi="Aptos" w:eastAsia="Aptos"/>
          <w:sz w:val="19"/>
        </w:rPr>
        <w:t>The exact UV/IR crossover scale and the precise point where electroweak matching begins.</w:t>
      </w:r>
    </w:p>
    <w:p>
      <w:pPr>
        <w:pStyle w:val="ListBullet"/>
      </w:pPr>
      <w:r>
        <w:rPr>
          <w:rFonts w:ascii="Aptos" w:hAnsi="Aptos" w:eastAsia="Aptos"/>
          <w:sz w:val="19"/>
        </w:rPr>
        <w:t>The withdrawal of the charged-lepton ansatz and QCD “prediction” language.</w:t>
      </w:r>
    </w:p>
    <w:p>
      <w:pPr>
        <w:pStyle w:val="ListBullet"/>
      </w:pPr>
      <w:r>
        <w:rPr>
          <w:rFonts w:ascii="Aptos" w:hAnsi="Aptos" w:eastAsia="Aptos"/>
          <w:sz w:val="19"/>
        </w:rPr>
        <w:t>The exclusion of vacuum crowding energy as galactic dark matter.</w:t>
      </w:r>
    </w:p>
    <w:p>
      <w:pPr>
        <w:pStyle w:val="Heading2"/>
      </w:pPr>
      <w:r>
        <w:t>8.3 What remains genuinely physical</w:t>
      </w:r>
    </w:p>
    <w:p>
      <w:pPr>
        <w:pStyle w:val="ListBullet"/>
      </w:pPr>
      <w:r>
        <w:rPr>
          <w:rFonts w:ascii="Aptos" w:hAnsi="Aptos" w:eastAsia="Aptos"/>
          <w:sz w:val="19"/>
        </w:rPr>
        <w:t>Derive the 240-mode vacuum projector and external readout as a physical stress-energy observable, rather than a representation postulate.</w:t>
      </w:r>
    </w:p>
    <w:p>
      <w:pPr>
        <w:pStyle w:val="ListBullet"/>
      </w:pPr>
      <w:r>
        <w:rPr>
          <w:rFonts w:ascii="Aptos" w:hAnsi="Aptos" w:eastAsia="Aptos"/>
          <w:sz w:val="19"/>
        </w:rPr>
        <w:t>Derive or falsify the Euclidean mixed-boundary response action microscopically.</w:t>
      </w:r>
    </w:p>
    <w:p>
      <w:pPr>
        <w:pStyle w:val="ListBullet"/>
      </w:pPr>
      <w:r>
        <w:rPr>
          <w:rFonts w:ascii="Aptos" w:hAnsi="Aptos" w:eastAsia="Aptos"/>
          <w:sz w:val="19"/>
        </w:rPr>
        <w:t>Extend the compression map beyond the spherical scalar sector to shear, rotation and general tensor geometry.</w:t>
      </w:r>
    </w:p>
    <w:p>
      <w:pPr>
        <w:pStyle w:val="ListBullet"/>
      </w:pPr>
      <w:r>
        <w:rPr>
          <w:rFonts w:ascii="Aptos" w:hAnsi="Aptos" w:eastAsia="Aptos"/>
          <w:sz w:val="19"/>
        </w:rPr>
        <w:t>Construct the symmetry-breaking and mass operators that map E_× to Standard Model couplings and spectra.</w:t>
      </w:r>
    </w:p>
    <w:p>
      <w:pPr>
        <w:pStyle w:val="ListBullet"/>
      </w:pPr>
      <w:r>
        <w:rPr>
          <w:rFonts w:ascii="Aptos" w:hAnsi="Aptos" w:eastAsia="Aptos"/>
          <w:sz w:val="19"/>
        </w:rPr>
        <w:t>Derive an observable short-distance transfer function for the cell scale; a length by itself is not a laboratory signal.</w:t>
      </w:r>
    </w:p>
    <w:p>
      <w:r>
        <w:br w:type="page"/>
      </w:r>
    </w:p>
    <w:p>
      <w:pPr>
        <w:pStyle w:val="Heading1"/>
        <w:pBdr>
          <w:bottom w:val="single" w:sz="8" w:space="4" w:color="173A63"/>
        </w:pBdr>
      </w:pPr>
      <w:r>
        <w:t>Appendix A. Reproducibility certificate</w:t>
      </w:r>
    </w:p>
    <w:p>
      <w:r>
        <w:t>The accompanying compression-boundary script symbolically calculates the compression rank and kernel, tests representative recoverability directions, derives the least-action constitutive ratio, freezes the G bridge, calculates the scale-matching boundary, and writes the final claim ledger.</w:t>
      </w:r>
    </w:p>
    <w:tbl>
      <w:tblPr>
        <w:tblStyle w:val="TableGrid"/>
        <w:tblW w:type="auto" w:w="0"/>
        <w:jc w:val="center"/>
        <w:tblLook w:firstColumn="1" w:firstRow="1" w:lastColumn="0" w:lastRow="0" w:noHBand="0" w:noVBand="1" w:val="04A0"/>
      </w:tblPr>
      <w:tblGrid>
        <w:gridCol w:w="5083"/>
        <w:gridCol w:w="5083"/>
      </w:tblGrid>
      <w:tr>
        <w:tc>
          <w:tcPr>
            <w:tcW w:type="dxa" w:w="5083"/>
            <w:shd w:fill="173A63"/>
            <w:tcMar>
              <w:top w:w="75" w:type="dxa"/>
              <w:start w:w="95" w:type="dxa"/>
              <w:bottom w:w="75" w:type="dxa"/>
              <w:end w:w="95" w:type="dxa"/>
            </w:tcMar>
          </w:tcPr>
          <w:p>
            <w:r>
              <w:rPr>
                <w:rFonts w:ascii="Aptos" w:hAnsi="Aptos" w:eastAsia="Aptos"/>
                <w:b/>
                <w:color w:val="FFFFFF"/>
                <w:sz w:val="18"/>
              </w:rPr>
              <w:t>File</w:t>
            </w:r>
          </w:p>
        </w:tc>
        <w:tc>
          <w:tcPr>
            <w:tcW w:type="dxa" w:w="5083"/>
            <w:shd w:fill="173A63"/>
            <w:tcMar>
              <w:top w:w="75" w:type="dxa"/>
              <w:start w:w="95" w:type="dxa"/>
              <w:bottom w:w="75" w:type="dxa"/>
              <w:end w:w="95" w:type="dxa"/>
            </w:tcMar>
          </w:tcPr>
          <w:p>
            <w:r>
              <w:rPr>
                <w:rFonts w:ascii="Aptos" w:hAnsi="Aptos" w:eastAsia="Aptos"/>
                <w:b/>
                <w:color w:val="FFFFFF"/>
                <w:sz w:val="18"/>
              </w:rPr>
              <w:t>Role</w:t>
            </w:r>
          </w:p>
        </w:tc>
      </w:tr>
      <w:tr>
        <w:tc>
          <w:tcPr>
            <w:tcW w:type="dxa" w:w="5083"/>
            <w:tcMar>
              <w:top w:w="75" w:type="dxa"/>
              <w:start w:w="95" w:type="dxa"/>
              <w:bottom w:w="75" w:type="dxa"/>
              <w:end w:w="95" w:type="dxa"/>
            </w:tcMar>
          </w:tcPr>
          <w:p>
            <w:r>
              <w:rPr>
                <w:rFonts w:ascii="Aptos" w:hAnsi="Aptos" w:eastAsia="Aptos"/>
                <w:sz w:val="17"/>
              </w:rPr>
              <w:t>bubble_field_compression_boundary.py</w:t>
            </w:r>
          </w:p>
        </w:tc>
        <w:tc>
          <w:tcPr>
            <w:tcW w:type="dxa" w:w="5083"/>
            <w:tcMar>
              <w:top w:w="75" w:type="dxa"/>
              <w:start w:w="95" w:type="dxa"/>
              <w:bottom w:w="75" w:type="dxa"/>
              <w:end w:w="95" w:type="dxa"/>
            </w:tcMar>
          </w:tcPr>
          <w:p>
            <w:r>
              <w:rPr>
                <w:rFonts w:ascii="Aptos" w:hAnsi="Aptos" w:eastAsia="Aptos"/>
                <w:sz w:val="17"/>
              </w:rPr>
              <w:t>compression theorem, constitutive derivation and status audit</w:t>
            </w:r>
          </w:p>
        </w:tc>
      </w:tr>
      <w:tr>
        <w:tc>
          <w:tcPr>
            <w:tcW w:type="dxa" w:w="5083"/>
            <w:tcMar>
              <w:top w:w="75" w:type="dxa"/>
              <w:start w:w="95" w:type="dxa"/>
              <w:bottom w:w="75" w:type="dxa"/>
              <w:end w:w="95" w:type="dxa"/>
            </w:tcMar>
          </w:tcPr>
          <w:p>
            <w:r>
              <w:rPr>
                <w:rFonts w:ascii="Aptos" w:hAnsi="Aptos" w:eastAsia="Aptos"/>
                <w:sz w:val="17"/>
              </w:rPr>
              <w:t>bubble_field_compression_boundary_results.json</w:t>
            </w:r>
          </w:p>
        </w:tc>
        <w:tc>
          <w:tcPr>
            <w:tcW w:type="dxa" w:w="5083"/>
            <w:tcMar>
              <w:top w:w="75" w:type="dxa"/>
              <w:start w:w="95" w:type="dxa"/>
              <w:bottom w:w="75" w:type="dxa"/>
              <w:end w:w="95" w:type="dxa"/>
            </w:tcMar>
          </w:tcPr>
          <w:p>
            <w:r>
              <w:rPr>
                <w:rFonts w:ascii="Aptos" w:hAnsi="Aptos" w:eastAsia="Aptos"/>
                <w:sz w:val="17"/>
              </w:rPr>
              <w:t>machine-readable certificate</w:t>
            </w:r>
          </w:p>
        </w:tc>
      </w:tr>
      <w:tr>
        <w:tc>
          <w:tcPr>
            <w:tcW w:type="dxa" w:w="5083"/>
            <w:tcMar>
              <w:top w:w="75" w:type="dxa"/>
              <w:start w:w="95" w:type="dxa"/>
              <w:bottom w:w="75" w:type="dxa"/>
              <w:end w:w="95" w:type="dxa"/>
            </w:tcMar>
          </w:tcPr>
          <w:p>
            <w:r>
              <w:rPr>
                <w:rFonts w:ascii="Aptos" w:hAnsi="Aptos" w:eastAsia="Aptos"/>
                <w:sz w:val="17"/>
              </w:rPr>
              <w:t>bubble_field_compression_boundary_map.png</w:t>
            </w:r>
          </w:p>
        </w:tc>
        <w:tc>
          <w:tcPr>
            <w:tcW w:type="dxa" w:w="5083"/>
            <w:tcMar>
              <w:top w:w="75" w:type="dxa"/>
              <w:start w:w="95" w:type="dxa"/>
              <w:bottom w:w="75" w:type="dxa"/>
              <w:end w:w="95" w:type="dxa"/>
            </w:tcMar>
          </w:tcPr>
          <w:p>
            <w:r>
              <w:rPr>
                <w:rFonts w:ascii="Aptos" w:hAnsi="Aptos" w:eastAsia="Aptos"/>
                <w:sz w:val="17"/>
              </w:rPr>
              <w:t>exact compression diagram</w:t>
            </w:r>
          </w:p>
        </w:tc>
      </w:tr>
      <w:tr>
        <w:tc>
          <w:tcPr>
            <w:tcW w:type="dxa" w:w="5083"/>
            <w:tcMar>
              <w:top w:w="75" w:type="dxa"/>
              <w:start w:w="95" w:type="dxa"/>
              <w:bottom w:w="75" w:type="dxa"/>
              <w:end w:w="95" w:type="dxa"/>
            </w:tcMar>
          </w:tcPr>
          <w:p>
            <w:r>
              <w:rPr>
                <w:rFonts w:ascii="Aptos" w:hAnsi="Aptos" w:eastAsia="Aptos"/>
                <w:sz w:val="17"/>
              </w:rPr>
              <w:t>bubble_field_recovery_ledger.png</w:t>
            </w:r>
          </w:p>
        </w:tc>
        <w:tc>
          <w:tcPr>
            <w:tcW w:type="dxa" w:w="5083"/>
            <w:tcMar>
              <w:top w:w="75" w:type="dxa"/>
              <w:start w:w="95" w:type="dxa"/>
              <w:bottom w:w="75" w:type="dxa"/>
              <w:end w:w="95" w:type="dxa"/>
            </w:tcMar>
          </w:tcPr>
          <w:p>
            <w:r>
              <w:rPr>
                <w:rFonts w:ascii="Aptos" w:hAnsi="Aptos" w:eastAsia="Aptos"/>
                <w:sz w:val="17"/>
              </w:rPr>
              <w:t>claim-threshold visualization</w:t>
            </w:r>
          </w:p>
        </w:tc>
      </w:tr>
      <w:tr>
        <w:tc>
          <w:tcPr>
            <w:tcW w:type="dxa" w:w="5083"/>
            <w:tcMar>
              <w:top w:w="75" w:type="dxa"/>
              <w:start w:w="95" w:type="dxa"/>
              <w:bottom w:w="75" w:type="dxa"/>
              <w:end w:w="95" w:type="dxa"/>
            </w:tcMar>
          </w:tcPr>
          <w:p>
            <w:r>
              <w:rPr>
                <w:rFonts w:ascii="Aptos" w:hAnsi="Aptos" w:eastAsia="Aptos"/>
                <w:sz w:val="17"/>
              </w:rPr>
              <w:t>bubble_field_closure_attack.py</w:t>
            </w:r>
          </w:p>
        </w:tc>
        <w:tc>
          <w:tcPr>
            <w:tcW w:type="dxa" w:w="5083"/>
            <w:tcMar>
              <w:top w:w="75" w:type="dxa"/>
              <w:start w:w="95" w:type="dxa"/>
              <w:bottom w:w="75" w:type="dxa"/>
              <w:end w:w="95" w:type="dxa"/>
            </w:tcMar>
          </w:tcPr>
          <w:p>
            <w:r>
              <w:rPr>
                <w:rFonts w:ascii="Aptos" w:hAnsi="Aptos" w:eastAsia="Aptos"/>
                <w:sz w:val="17"/>
              </w:rPr>
              <w:t>source equations, star reconstruction and G calculation</w:t>
            </w:r>
          </w:p>
        </w:tc>
      </w:tr>
      <w:tr>
        <w:tc>
          <w:tcPr>
            <w:tcW w:type="dxa" w:w="5083"/>
            <w:tcMar>
              <w:top w:w="75" w:type="dxa"/>
              <w:start w:w="95" w:type="dxa"/>
              <w:bottom w:w="75" w:type="dxa"/>
              <w:end w:w="95" w:type="dxa"/>
            </w:tcMar>
          </w:tcPr>
          <w:p>
            <w:r>
              <w:rPr>
                <w:rFonts w:ascii="Aptos" w:hAnsi="Aptos" w:eastAsia="Aptos"/>
                <w:sz w:val="17"/>
              </w:rPr>
              <w:t>bubble_field_closure_attack_results.json</w:t>
            </w:r>
          </w:p>
        </w:tc>
        <w:tc>
          <w:tcPr>
            <w:tcW w:type="dxa" w:w="5083"/>
            <w:tcMar>
              <w:top w:w="75" w:type="dxa"/>
              <w:start w:w="95" w:type="dxa"/>
              <w:bottom w:w="75" w:type="dxa"/>
              <w:end w:w="95" w:type="dxa"/>
            </w:tcMar>
          </w:tcPr>
          <w:p>
            <w:r>
              <w:rPr>
                <w:rFonts w:ascii="Aptos" w:hAnsi="Aptos" w:eastAsia="Aptos"/>
                <w:sz w:val="17"/>
              </w:rPr>
              <w:t>prior numerical certificate, regraded here</w:t>
            </w:r>
          </w:p>
        </w:tc>
      </w:tr>
    </w:tbl>
    <w:p>
      <w:pPr>
        <w:pStyle w:val="Heading2"/>
      </w:pPr>
      <w:r>
        <w:t>Appendix B. Status vocabulary</w:t>
      </w:r>
    </w:p>
    <w:tbl>
      <w:tblPr>
        <w:tblStyle w:val="TableGrid"/>
        <w:tblW w:type="auto" w:w="0"/>
        <w:jc w:val="center"/>
        <w:tblLook w:firstColumn="1" w:firstRow="1" w:lastColumn="0" w:lastRow="0" w:noHBand="0" w:noVBand="1" w:val="04A0"/>
      </w:tblPr>
      <w:tblGrid>
        <w:gridCol w:w="5083"/>
        <w:gridCol w:w="5083"/>
      </w:tblGrid>
      <w:tr>
        <w:tc>
          <w:tcPr>
            <w:tcW w:type="dxa" w:w="5083"/>
            <w:shd w:fill="173A63"/>
            <w:tcMar>
              <w:top w:w="75" w:type="dxa"/>
              <w:start w:w="95" w:type="dxa"/>
              <w:bottom w:w="75" w:type="dxa"/>
              <w:end w:w="95" w:type="dxa"/>
            </w:tcMar>
          </w:tcPr>
          <w:p>
            <w:r>
              <w:rPr>
                <w:rFonts w:ascii="Aptos" w:hAnsi="Aptos" w:eastAsia="Aptos"/>
                <w:b/>
                <w:color w:val="FFFFFF"/>
                <w:sz w:val="18"/>
              </w:rPr>
              <w:t>Term</w:t>
            </w:r>
          </w:p>
        </w:tc>
        <w:tc>
          <w:tcPr>
            <w:tcW w:type="dxa" w:w="5083"/>
            <w:shd w:fill="173A63"/>
            <w:tcMar>
              <w:top w:w="75" w:type="dxa"/>
              <w:start w:w="95" w:type="dxa"/>
              <w:bottom w:w="75" w:type="dxa"/>
              <w:end w:w="95" w:type="dxa"/>
            </w:tcMar>
          </w:tcPr>
          <w:p>
            <w:r>
              <w:rPr>
                <w:rFonts w:ascii="Aptos" w:hAnsi="Aptos" w:eastAsia="Aptos"/>
                <w:b/>
                <w:color w:val="FFFFFF"/>
                <w:sz w:val="18"/>
              </w:rPr>
              <w:t>Meaning</w:t>
            </w:r>
          </w:p>
        </w:tc>
      </w:tr>
      <w:tr>
        <w:tc>
          <w:tcPr>
            <w:tcW w:type="dxa" w:w="5083"/>
            <w:tcMar>
              <w:top w:w="75" w:type="dxa"/>
              <w:start w:w="95" w:type="dxa"/>
              <w:bottom w:w="75" w:type="dxa"/>
              <w:end w:w="95" w:type="dxa"/>
            </w:tcMar>
          </w:tcPr>
          <w:p>
            <w:r>
              <w:rPr>
                <w:rFonts w:ascii="Aptos" w:hAnsi="Aptos" w:eastAsia="Aptos"/>
                <w:sz w:val="17"/>
              </w:rPr>
              <w:t>Exact result</w:t>
            </w:r>
          </w:p>
        </w:tc>
        <w:tc>
          <w:tcPr>
            <w:tcW w:type="dxa" w:w="5083"/>
            <w:tcMar>
              <w:top w:w="75" w:type="dxa"/>
              <w:start w:w="95" w:type="dxa"/>
              <w:bottom w:w="75" w:type="dxa"/>
              <w:end w:w="95" w:type="dxa"/>
            </w:tcMar>
          </w:tcPr>
          <w:p>
            <w:r>
              <w:rPr>
                <w:rFonts w:ascii="Aptos" w:hAnsi="Aptos" w:eastAsia="Aptos"/>
                <w:sz w:val="17"/>
              </w:rPr>
              <w:t>Follows from the declared equations and lies inside the compressed output space.</w:t>
            </w:r>
          </w:p>
        </w:tc>
      </w:tr>
      <w:tr>
        <w:tc>
          <w:tcPr>
            <w:tcW w:type="dxa" w:w="5083"/>
            <w:tcMar>
              <w:top w:w="75" w:type="dxa"/>
              <w:start w:w="95" w:type="dxa"/>
              <w:bottom w:w="75" w:type="dxa"/>
              <w:end w:w="95" w:type="dxa"/>
            </w:tcMar>
          </w:tcPr>
          <w:p>
            <w:r>
              <w:rPr>
                <w:rFonts w:ascii="Aptos" w:hAnsi="Aptos" w:eastAsia="Aptos"/>
                <w:sz w:val="17"/>
              </w:rPr>
              <w:t>Exact representation</w:t>
            </w:r>
          </w:p>
        </w:tc>
        <w:tc>
          <w:tcPr>
            <w:tcW w:type="dxa" w:w="5083"/>
            <w:tcMar>
              <w:top w:w="75" w:type="dxa"/>
              <w:start w:w="95" w:type="dxa"/>
              <w:bottom w:w="75" w:type="dxa"/>
              <w:end w:w="95" w:type="dxa"/>
            </w:tcMar>
          </w:tcPr>
          <w:p>
            <w:r>
              <w:rPr>
                <w:rFonts w:ascii="Aptos" w:hAnsi="Aptos" w:eastAsia="Aptos"/>
                <w:sz w:val="17"/>
              </w:rPr>
              <w:t>An established toolkit solution is reconstructed without residual in the field variables; this is not automatically a microscopic derivation of the toolkit.</w:t>
            </w:r>
          </w:p>
        </w:tc>
      </w:tr>
      <w:tr>
        <w:tc>
          <w:tcPr>
            <w:tcW w:type="dxa" w:w="5083"/>
            <w:tcMar>
              <w:top w:w="75" w:type="dxa"/>
              <w:start w:w="95" w:type="dxa"/>
              <w:bottom w:w="75" w:type="dxa"/>
              <w:end w:w="95" w:type="dxa"/>
            </w:tcMar>
          </w:tcPr>
          <w:p>
            <w:r>
              <w:rPr>
                <w:rFonts w:ascii="Aptos" w:hAnsi="Aptos" w:eastAsia="Aptos"/>
                <w:sz w:val="17"/>
              </w:rPr>
              <w:t>Conditional theorem</w:t>
            </w:r>
          </w:p>
        </w:tc>
        <w:tc>
          <w:tcPr>
            <w:tcW w:type="dxa" w:w="5083"/>
            <w:tcMar>
              <w:top w:w="75" w:type="dxa"/>
              <w:start w:w="95" w:type="dxa"/>
              <w:bottom w:w="75" w:type="dxa"/>
              <w:end w:w="95" w:type="dxa"/>
            </w:tcMar>
          </w:tcPr>
          <w:p>
            <w:r>
              <w:rPr>
                <w:rFonts w:ascii="Aptos" w:hAnsi="Aptos" w:eastAsia="Aptos"/>
                <w:sz w:val="17"/>
              </w:rPr>
              <w:t>Follows exactly after named physical postulates or a constitutive section are admitted.</w:t>
            </w:r>
          </w:p>
        </w:tc>
      </w:tr>
      <w:tr>
        <w:tc>
          <w:tcPr>
            <w:tcW w:type="dxa" w:w="5083"/>
            <w:tcMar>
              <w:top w:w="75" w:type="dxa"/>
              <w:start w:w="95" w:type="dxa"/>
              <w:bottom w:w="75" w:type="dxa"/>
              <w:end w:w="95" w:type="dxa"/>
            </w:tcMar>
          </w:tcPr>
          <w:p>
            <w:r>
              <w:rPr>
                <w:rFonts w:ascii="Aptos" w:hAnsi="Aptos" w:eastAsia="Aptos"/>
                <w:sz w:val="17"/>
              </w:rPr>
              <w:t>Calibration</w:t>
            </w:r>
          </w:p>
        </w:tc>
        <w:tc>
          <w:tcPr>
            <w:tcW w:type="dxa" w:w="5083"/>
            <w:tcMar>
              <w:top w:w="75" w:type="dxa"/>
              <w:start w:w="95" w:type="dxa"/>
              <w:bottom w:w="75" w:type="dxa"/>
              <w:end w:w="95" w:type="dxa"/>
            </w:tcMar>
          </w:tcPr>
          <w:p>
            <w:r>
              <w:rPr>
                <w:rFonts w:ascii="Aptos" w:hAnsi="Aptos" w:eastAsia="Aptos"/>
                <w:sz w:val="17"/>
              </w:rPr>
              <w:t>An observed target fixes a matching coefficient.</w:t>
            </w:r>
          </w:p>
        </w:tc>
      </w:tr>
      <w:tr>
        <w:tc>
          <w:tcPr>
            <w:tcW w:type="dxa" w:w="5083"/>
            <w:tcMar>
              <w:top w:w="75" w:type="dxa"/>
              <w:start w:w="95" w:type="dxa"/>
              <w:bottom w:w="75" w:type="dxa"/>
              <w:end w:w="95" w:type="dxa"/>
            </w:tcMar>
          </w:tcPr>
          <w:p>
            <w:r>
              <w:rPr>
                <w:rFonts w:ascii="Aptos" w:hAnsi="Aptos" w:eastAsia="Aptos"/>
                <w:sz w:val="17"/>
              </w:rPr>
              <w:t>Frozen forecast</w:t>
            </w:r>
          </w:p>
        </w:tc>
        <w:tc>
          <w:tcPr>
            <w:tcW w:type="dxa" w:w="5083"/>
            <w:tcMar>
              <w:top w:w="75" w:type="dxa"/>
              <w:start w:w="95" w:type="dxa"/>
              <w:bottom w:w="75" w:type="dxa"/>
              <w:end w:w="95" w:type="dxa"/>
            </w:tcMar>
          </w:tcPr>
          <w:p>
            <w:r>
              <w:rPr>
                <w:rFonts w:ascii="Aptos" w:hAnsi="Aptos" w:eastAsia="Aptos"/>
                <w:sz w:val="17"/>
              </w:rPr>
              <w:t>A postdictive formula is locked and exposed to genuinely new data.</w:t>
            </w:r>
          </w:p>
        </w:tc>
      </w:tr>
      <w:tr>
        <w:tc>
          <w:tcPr>
            <w:tcW w:type="dxa" w:w="5083"/>
            <w:tcMar>
              <w:top w:w="75" w:type="dxa"/>
              <w:start w:w="95" w:type="dxa"/>
              <w:bottom w:w="75" w:type="dxa"/>
              <w:end w:w="95" w:type="dxa"/>
            </w:tcMar>
          </w:tcPr>
          <w:p>
            <w:r>
              <w:rPr>
                <w:rFonts w:ascii="Aptos" w:hAnsi="Aptos" w:eastAsia="Aptos"/>
                <w:sz w:val="17"/>
              </w:rPr>
              <w:t>Translator</w:t>
            </w:r>
          </w:p>
        </w:tc>
        <w:tc>
          <w:tcPr>
            <w:tcW w:type="dxa" w:w="5083"/>
            <w:tcMar>
              <w:top w:w="75" w:type="dxa"/>
              <w:start w:w="95" w:type="dxa"/>
              <w:bottom w:w="75" w:type="dxa"/>
              <w:end w:w="95" w:type="dxa"/>
            </w:tcMar>
          </w:tcPr>
          <w:p>
            <w:r>
              <w:rPr>
                <w:rFonts w:ascii="Aptos" w:hAnsi="Aptos" w:eastAsia="Aptos"/>
                <w:sz w:val="17"/>
              </w:rPr>
              <w:t>An identity converts one supplied physical quantity into another supplied scale.</w:t>
            </w:r>
          </w:p>
        </w:tc>
      </w:tr>
      <w:tr>
        <w:tc>
          <w:tcPr>
            <w:tcW w:type="dxa" w:w="5083"/>
            <w:tcMar>
              <w:top w:w="75" w:type="dxa"/>
              <w:start w:w="95" w:type="dxa"/>
              <w:bottom w:w="75" w:type="dxa"/>
              <w:end w:w="95" w:type="dxa"/>
            </w:tcMar>
          </w:tcPr>
          <w:p>
            <w:r>
              <w:rPr>
                <w:rFonts w:ascii="Aptos" w:hAnsi="Aptos" w:eastAsia="Aptos"/>
                <w:sz w:val="17"/>
              </w:rPr>
              <w:t>Outside resolution</w:t>
            </w:r>
          </w:p>
        </w:tc>
        <w:tc>
          <w:tcPr>
            <w:tcW w:type="dxa" w:w="5083"/>
            <w:tcMar>
              <w:top w:w="75" w:type="dxa"/>
              <w:start w:w="95" w:type="dxa"/>
              <w:bottom w:w="75" w:type="dxa"/>
              <w:end w:w="95" w:type="dxa"/>
            </w:tcMar>
          </w:tcPr>
          <w:p>
            <w:r>
              <w:rPr>
                <w:rFonts w:ascii="Aptos" w:hAnsi="Aptos" w:eastAsia="Aptos"/>
                <w:sz w:val="17"/>
              </w:rPr>
              <w:t>The target varies along a compression kernel or requires an absent operator.</w:t>
            </w:r>
          </w:p>
        </w:tc>
      </w:tr>
      <w:tr>
        <w:tc>
          <w:tcPr>
            <w:tcW w:type="dxa" w:w="5083"/>
            <w:tcMar>
              <w:top w:w="75" w:type="dxa"/>
              <w:start w:w="95" w:type="dxa"/>
              <w:bottom w:w="75" w:type="dxa"/>
              <w:end w:w="95" w:type="dxa"/>
            </w:tcMar>
          </w:tcPr>
          <w:p>
            <w:r>
              <w:rPr>
                <w:rFonts w:ascii="Aptos" w:hAnsi="Aptos" w:eastAsia="Aptos"/>
                <w:sz w:val="17"/>
              </w:rPr>
              <w:t>Rejected</w:t>
            </w:r>
          </w:p>
        </w:tc>
        <w:tc>
          <w:tcPr>
            <w:tcW w:type="dxa" w:w="5083"/>
            <w:tcMar>
              <w:top w:w="75" w:type="dxa"/>
              <w:start w:w="95" w:type="dxa"/>
              <w:bottom w:w="75" w:type="dxa"/>
              <w:end w:w="95" w:type="dxa"/>
            </w:tcMar>
          </w:tcPr>
          <w:p>
            <w:r>
              <w:rPr>
                <w:rFonts w:ascii="Aptos" w:hAnsi="Aptos" w:eastAsia="Aptos"/>
                <w:sz w:val="17"/>
              </w:rPr>
              <w:t>A declared in-scope formula fails empirical precision or a structural no-go.</w:t>
            </w:r>
          </w:p>
        </w:tc>
      </w:tr>
    </w:tbl>
    <w:p>
      <w:pPr>
        <w:pStyle w:val="Heading2"/>
      </w:pPr>
      <w:r>
        <w:t>Appendix C. Source lineage</w:t>
      </w:r>
    </w:p>
    <w:p>
      <w:pPr>
        <w:pStyle w:val="ListNumber"/>
      </w:pPr>
      <w:r>
        <w:rPr>
          <w:rFonts w:ascii="Aptos" w:hAnsi="Aptos" w:eastAsia="Aptos"/>
          <w:sz w:val="19"/>
        </w:rPr>
        <w:t>Shields, J. The Bubble Field: Gravity as overcrowding in a sea of least-action cells. Working paper, 29 July 2026.</w:t>
      </w:r>
    </w:p>
    <w:p>
      <w:pPr>
        <w:pStyle w:val="ListNumber"/>
      </w:pPr>
      <w:r>
        <w:rPr>
          <w:rFonts w:ascii="Aptos" w:hAnsi="Aptos" w:eastAsia="Aptos"/>
          <w:sz w:val="19"/>
        </w:rPr>
        <w:t>Shields, J. Least-Cost Holonomy and Co-Distinction Fields. Working paper, July 2026.</w:t>
      </w:r>
    </w:p>
    <w:p>
      <w:pPr>
        <w:pStyle w:val="ListNumber"/>
      </w:pPr>
      <w:r>
        <w:rPr>
          <w:rFonts w:ascii="Aptos" w:hAnsi="Aptos" w:eastAsia="Aptos"/>
          <w:sz w:val="19"/>
        </w:rPr>
        <w:t>Shields, J. Unified Mechanics bridge-closure corpus. Golden partition, traversal floor, conditional E8 vacuum projector and external readout.</w:t>
      </w:r>
    </w:p>
    <w:p>
      <w:pPr>
        <w:pStyle w:val="ListNumber"/>
      </w:pPr>
      <w:r>
        <w:rPr>
          <w:rFonts w:ascii="Aptos" w:hAnsi="Aptos" w:eastAsia="Aptos"/>
          <w:sz w:val="19"/>
        </w:rPr>
        <w:t>Exact toolkit solutions: isotropic Schwarzschild exterior and constant-density Schwarzschild interior.</w:t>
      </w:r>
    </w:p>
    <w:p>
      <w:pPr>
        <w:pStyle w:val="ListNumber"/>
      </w:pPr>
      <w:r>
        <w:rPr>
          <w:rFonts w:ascii="Aptos" w:hAnsi="Aptos" w:eastAsia="Aptos"/>
          <w:sz w:val="19"/>
        </w:rPr>
        <w:t>Planck 2018 cosmological boundary and 2022 CODATA comparison values as recorded in the prior reproducibility package.</w:t>
      </w:r>
    </w:p>
    <w:p>
      <w:pPr>
        <w:spacing w:before="300"/>
        <w:jc w:val="center"/>
        <w:pBdr>
          <w:bottom w:val="single" w:sz="8" w:space="4" w:color="173A63"/>
        </w:pBdr>
      </w:pPr>
      <w:r>
        <w:rPr>
          <w:rFonts w:ascii="Aptos Display" w:hAnsi="Aptos Display" w:eastAsia="Aptos Display"/>
          <w:b/>
          <w:color w:val="173A63"/>
          <w:sz w:val="22"/>
        </w:rPr>
        <w:t>END OF COMPRESSION BOUNDARY CLOSURE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F6B76"/>
        <w:sz w:val="16"/>
      </w:rPr>
      <w:t>Joseph Shields  ·  Working technical paper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8B3BF"/>
      </w:pBdr>
    </w:pPr>
    <w:r>
      <w:rPr>
        <w:rFonts w:ascii="Aptos" w:hAnsi="Aptos" w:eastAsia="Aptos"/>
        <w:b/>
        <w:color w:val="5F6B76"/>
        <w:sz w:val="15"/>
      </w:rPr>
      <w:t>UNIVERSAL FIELD OF LEAST ACTION  |  COMPRESSION BOUNDARY 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ptos Display" w:hAnsi="Aptos Display" w:eastAsia="Aptos Display"/>
      <w:b/>
      <w:bCs/>
      <w:color w:val="173A6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315C8A"/>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17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Bubble Field - Compression Boundary Closure</dc:title>
  <dc:subject>Exact recovery threshold for the Universal Field of Least Action</dc:subject>
  <dc:creator>Joseph Shields</dc:creator>
  <cp:keywords>Bubble Field, compression algorithm, identifiability, emergent metric, least action, Universal Field of Least Action</cp:keywords>
  <dc:description>Supersedes the weak-scale and lepton grading of the Closure Attack; exact compression boundary and status discipline added.</dc:description>
  <cp:lastModifiedBy/>
  <cp:revision>1</cp:revision>
  <dcterms:created xsi:type="dcterms:W3CDTF">2013-12-23T23:15:00Z</dcterms:created>
  <dcterms:modified xsi:type="dcterms:W3CDTF">2013-12-23T23:15:00Z</dcterms:modified>
  <cp:category/>
</cp:coreProperties>
</file>