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19</w:t>
      </w:r>
    </w:p>
    <w:p>
      <w:pPr>
        <w:spacing w:after="200"/>
        <w:jc w:val="center"/>
      </w:pPr>
      <w:r>
        <w:rPr>
          <w:rFonts w:ascii="Constantia" w:cs="Constantia" w:eastAsia="Constantia" w:hAnsi="Constantia"/>
          <w:b/>
          <w:bCs/>
          <w:color w:val="102A43"/>
          <w:sz w:val="44"/>
          <w:szCs w:val="44"/>
        </w:rPr>
        <w:t xml:space="preserve">The Five Coordinates</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The wall, the form, the functional, the count, and the hunt: the remaining ledger attacked with the three lenses, and what each item becomes under the attack.</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WITH THE THIRD PRINTING</w:t>
      </w:r>
    </w:p>
    <w:p>
      <w:pPr>
        <w:spacing w:after="160" w:line="296"/>
        <w:jc w:val="both"/>
      </w:pPr>
      <w:r>
        <w:rPr>
          <w:rFonts w:ascii="Constantia" w:cs="Constantia" w:eastAsia="Constantia" w:hAnsi="Constantia"/>
          <w:color w:val="243040"/>
          <w:sz w:val="21"/>
          <w:szCs w:val="21"/>
        </w:rPr>
        <w:t xml:space="preserve">On the grades. PROVED follows from stated definitions or assumptions. CONDITIONAL follows once a named condition is granted. PROPOSED is a physical reading offered for calculation and falsification. POSTULATE is a starting commitment. OPEN names what can be formulated but not yet calculated. DISSOLVED marks a question shown to be a convention or a category error rather than a physical unknown. Strict measured quantities used in this paper are taken from the published record with their stated errors and are not the framework’s results.</w:t>
      </w:r>
    </w:p>
    <w:p>
      <w:pPr>
        <w:spacing w:after="160" w:line="296"/>
        <w:jc w:val="both"/>
      </w:pPr>
      <w:r>
        <w:rPr>
          <w:rFonts w:ascii="Constantia" w:cs="Constantia" w:eastAsia="Constantia" w:hAnsi="Constantia"/>
          <w:color w:val="243040"/>
          <w:sz w:val="21"/>
          <w:szCs w:val="21"/>
        </w:rPr>
        <w:t xml:space="preserve">On the method, stated once because it is the paper. The framework owns three lenses, and they are instruments, not vocabulary. The Principle of Observation supplies strict quantities: what is actually in the record, with errors. The Principle of Logical Action forces executions: given a recorded endpoint, which ordered deeds could have produced it, and which distinctions between deeds survive. The Principle of Equivalent Action moves between inscriptions for free: whatever is invariant across a class costs nothing to rewrite. Where an analysis starts determines where it can go, and each item below is attacked from the one lens that can reach it. The previous paper closed the ledger down to five named items. This paper attacks all five and extends the goalposts by exactly nothing.</w:t>
      </w:r>
    </w:p>
    <w:p>
      <w:pPr>
        <w:keepNext/>
        <w:spacing w:after="60" w:before="460"/>
      </w:pPr>
      <w:r>
        <w:rPr>
          <w:rFonts w:ascii="Constantia" w:cs="Constantia" w:eastAsia="Constantia" w:hAnsi="Constantia"/>
          <w:b/>
          <w:bCs/>
          <w:color w:val="B48A2E"/>
          <w:spacing w:val="8"/>
          <w:sz w:val="22"/>
          <w:szCs w:val="22"/>
        </w:rPr>
        <w:t xml:space="preserve">SECTION ONE</w:t>
      </w:r>
    </w:p>
    <w:p>
      <w:pPr>
        <w:keepNext/>
        <w:pBdr>
          <w:bottom w:val="single" w:color="B48A2E" w:sz="8" w:space="6"/>
        </w:pBdr>
        <w:spacing w:after="200"/>
      </w:pPr>
      <w:r>
        <w:rPr>
          <w:rFonts w:ascii="Constantia" w:cs="Constantia" w:eastAsia="Constantia" w:hAnsi="Constantia"/>
          <w:b/>
          <w:bCs/>
          <w:color w:val="102A43"/>
          <w:sz w:val="28"/>
          <w:szCs w:val="28"/>
        </w:rPr>
        <w:t xml:space="preserve">The wall sits at gold</w:t>
      </w:r>
    </w:p>
    <w:p>
      <w:pPr>
        <w:spacing w:after="160" w:line="296"/>
        <w:jc w:val="both"/>
      </w:pPr>
      <w:r>
        <w:rPr>
          <w:rFonts w:ascii="Constantia" w:cs="Constantia" w:eastAsia="Constantia" w:hAnsi="Constantia"/>
          <w:color w:val="243040"/>
          <w:sz w:val="21"/>
          <w:szCs w:val="21"/>
        </w:rPr>
        <w:t xml:space="preserve">The open item: where saturation sits, one wall appearing twice, at the ocean and at the wound. Start from the observation lens, and notice what kind of quantity the question is even allowed to want. Before the wound there is no metric, no clock, and no unit: Movement Twenty-Two established that physical time begins at the luminous closure, and Paper 18 dissolved magnitude questions that precede the domain in which magnitudes are defined. A pure recursion has exactly one kind of strict quantity available about itself: proportion. So the wall, if it is anywhere, is at a ratio, and asking how much or when was a category error the framework’s own results had already exposed. The question survives only in the form: at what proportion does the split occur?</w:t>
      </w:r>
    </w:p>
    <w:p>
      <w:pPr>
        <w:spacing w:after="160" w:line="296"/>
        <w:jc w:val="both"/>
      </w:pPr>
      <w:r>
        <w:rPr>
          <w:rFonts w:ascii="Constantia" w:cs="Constantia" w:eastAsia="Constantia" w:hAnsi="Constantia"/>
          <w:color w:val="243040"/>
          <w:sz w:val="21"/>
          <w:szCs w:val="21"/>
        </w:rPr>
        <w:t xml:space="preserve">Now the forcing, from conservation. The split is governed by the readout rule: nothing added, nothing lost, the whole account carried across the event. And the split has exactly one admissible landing point, because a two-channel self-description is stable at one proportion only, the golden one, proved in Movement Four with no knob anywhere. Suppose the rupture occurred at any other internal proportion. Then the newborn two-channel system would begin off its attractor, and reaching stability would require adjusting content, adding or deleting, precisely what the conservation rule forbids at the one event where it matters most. A lossless split exists at exactly one internal proportion: the one the two channels will need, resolved to held as φ is to one. The arrow carries the accumulating ratio through all values monotonically, so the admissible proportion is reached exactly once, and granted that the split occurs at all, which is the saturation postulate the monograph already carries, it can occur only there.</w:t>
      </w:r>
    </w:p>
    <w:p>
      <w:pPr>
        <w:spacing w:after="130" w:before="110"/>
        <w:jc w:val="center"/>
      </w:pPr>
      <w:r>
        <w:rPr>
          <w:rFonts w:ascii="Constantia" w:cs="Constantia" w:eastAsia="Constantia" w:hAnsi="Constantia"/>
          <w:b/>
          <w:bCs/>
          <w:color w:val="102A43"/>
          <w:sz w:val="22"/>
          <w:szCs w:val="22"/>
        </w:rPr>
        <w:t xml:space="preserve">the wound opens at the proportion the world will inherit: the pocket is born golden because it was cut at gold</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DISSOLVED: the magnitude and timing readings of the question, which presupposed a metric that does not yet exist. PROVED, given the conservation of the split and the uniqueness of the stable proportion: the wall sits at the golden ratio of held to resolved. The saturation POSTULATE itself is unchanged: that the wall is reached remains a commitment; where it stands is no longer open. The item leaves the ledger.</w:t>
      </w:r>
    </w:p>
    <w:p>
      <w:pPr>
        <w:keepNext/>
        <w:spacing w:after="60" w:before="460"/>
      </w:pPr>
      <w:r>
        <w:rPr>
          <w:rFonts w:ascii="Constantia" w:cs="Constantia" w:eastAsia="Constantia" w:hAnsi="Constantia"/>
          <w:b/>
          <w:bCs/>
          <w:color w:val="B48A2E"/>
          <w:spacing w:val="8"/>
          <w:sz w:val="22"/>
          <w:szCs w:val="22"/>
        </w:rPr>
        <w:t xml:space="preserve">SECTION TWO</w:t>
      </w:r>
    </w:p>
    <w:p>
      <w:pPr>
        <w:keepNext/>
        <w:pBdr>
          <w:bottom w:val="single" w:color="B48A2E" w:sz="8" w:space="6"/>
        </w:pBdr>
        <w:spacing w:after="200"/>
      </w:pPr>
      <w:r>
        <w:rPr>
          <w:rFonts w:ascii="Constantia" w:cs="Constantia" w:eastAsia="Constantia" w:hAnsi="Constantia"/>
          <w:b/>
          <w:bCs/>
          <w:color w:val="102A43"/>
          <w:sz w:val="28"/>
          <w:szCs w:val="28"/>
        </w:rPr>
        <w:t xml:space="preserve">The form of the metering clause</w:t>
      </w:r>
    </w:p>
    <w:p>
      <w:pPr>
        <w:spacing w:after="160" w:line="296"/>
        <w:jc w:val="both"/>
      </w:pPr>
      <w:r>
        <w:rPr>
          <w:rFonts w:ascii="Constantia" w:cs="Constantia" w:eastAsia="Constantia" w:hAnsi="Constantia"/>
          <w:color w:val="243040"/>
          <w:sz w:val="21"/>
          <w:szCs w:val="21"/>
        </w:rPr>
        <w:t xml:space="preserve">The open item: why the metering clause of the new domain takes the form of an invariant interval rather than some other one-account-compatible structure. Start from the equivalence lens. The readers of the domain are inscriptions of one account: by equivalent action, two readers are admissible descriptions exactly when they preserve the account’s invariant, and by logical action the account’s invariant is its order, because the order is what the wound paid for: the causal sequence in which distinctions became mutually effective is the physical content of the record, and a reader who scrambles it is not describing the same world. So the class of admissible readers is precisely the class of transformations that preserve the causal order generated by the finite metering rate.</w:t>
      </w:r>
    </w:p>
    <w:p>
      <w:pPr>
        <w:spacing w:after="160" w:line="296"/>
        <w:jc w:val="both"/>
      </w:pPr>
      <w:r>
        <w:rPr>
          <w:rFonts w:ascii="Constantia" w:cs="Constantia" w:eastAsia="Constantia" w:hAnsi="Constantia"/>
          <w:color w:val="243040"/>
          <w:sz w:val="21"/>
          <w:szCs w:val="21"/>
        </w:rPr>
        <w:t xml:space="preserve">That class is a known object, and the theorem that names it carries two names. Alexandrov, and later Zeeman, proved that in a flat continuum of more than two dimensions, any bijection preserving the causal order is composed of exactly three things: a Lorentz transformation, a translation, and a dilation. Nothing else survives. The order alone, with no metric assumed, forces the Lorentzian form up to a scale, and the leftover dilation is the one freedom Paper 18 already dissolved: the choice of unit. The invariant interval is not an extra postulate about spacetime. It is the unique two-point invariant of the class of readers who agree about what happened before what, which is the minimum any reader owes the account.</w:t>
      </w:r>
    </w:p>
    <w:p>
      <w:pPr>
        <w:spacing w:after="130" w:before="110"/>
        <w:jc w:val="center"/>
      </w:pPr>
      <w:r>
        <w:rPr>
          <w:rFonts w:ascii="Constantia" w:cs="Constantia" w:eastAsia="Constantia" w:hAnsi="Constantia"/>
          <w:b/>
          <w:bCs/>
          <w:color w:val="102A43"/>
          <w:sz w:val="22"/>
          <w:szCs w:val="22"/>
        </w:rPr>
        <w:t xml:space="preserve">order in, Lorentz out: the interval is what agreement about sequence looks like as geometry</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granted the named conditions and the cited theorem: readers preserve the record’s causal order; the arena is a continuum of more than two dimensions; the metering rate is finite and universal, which Paper 18 established from conservation and the one account. The dilation freedom is the dissolved unit. The dimensional condition is a named premise, not a derivation: the framework observes, without yet claiming, that a three-channel whole inhabits an arena with enough room for the theorem to bite. The item leaves the ledger.</w:t>
      </w:r>
    </w:p>
    <w:p>
      <w:pPr>
        <w:keepNext/>
        <w:spacing w:after="60" w:before="460"/>
      </w:pPr>
      <w:r>
        <w:rPr>
          <w:rFonts w:ascii="Constantia" w:cs="Constantia" w:eastAsia="Constantia" w:hAnsi="Constantia"/>
          <w:b/>
          <w:bCs/>
          <w:color w:val="B48A2E"/>
          <w:spacing w:val="8"/>
          <w:sz w:val="22"/>
          <w:szCs w:val="22"/>
        </w:rPr>
        <w:t xml:space="preserve">SECTION THREE</w:t>
      </w:r>
    </w:p>
    <w:p>
      <w:pPr>
        <w:keepNext/>
        <w:pBdr>
          <w:bottom w:val="single" w:color="B48A2E" w:sz="8" w:space="6"/>
        </w:pBdr>
        <w:spacing w:after="200"/>
      </w:pPr>
      <w:r>
        <w:rPr>
          <w:rFonts w:ascii="Constantia" w:cs="Constantia" w:eastAsia="Constantia" w:hAnsi="Constantia"/>
          <w:b/>
          <w:bCs/>
          <w:color w:val="102A43"/>
          <w:sz w:val="28"/>
          <w:szCs w:val="28"/>
        </w:rPr>
        <w:t xml:space="preserve">The functional’s skeleton</w:t>
      </w:r>
    </w:p>
    <w:p>
      <w:pPr>
        <w:spacing w:after="160" w:line="296"/>
        <w:jc w:val="both"/>
      </w:pPr>
      <w:r>
        <w:rPr>
          <w:rFonts w:ascii="Constantia" w:cs="Constantia" w:eastAsia="Constantia" w:hAnsi="Constantia"/>
          <w:color w:val="243040"/>
          <w:sz w:val="21"/>
          <w:szCs w:val="21"/>
        </w:rPr>
        <w:t xml:space="preserve">The open item: the functional joining the growth of the record to the measured expansion history. This one does not close today, and the discipline is to force its skeleton and name its residue rather than pretend. Start from the logical-action lens. The domain of the world is the domain of mutually readable distinction, and its reach is set by the metering: how far the causal order has extended is how far the reading has travelled at the rate the metering permits. At zeroth order, with no content in the way, the radius of the readable domain is the metering rate times the age of the record: growth is linear, and the expansion rate is the reciprocal of the age. That is not a model; it is what a metered readout is.</w:t>
      </w:r>
    </w:p>
    <w:p>
      <w:pPr>
        <w:spacing w:after="130" w:before="110"/>
        <w:jc w:val="center"/>
      </w:pPr>
      <w:r>
        <w:rPr>
          <w:rFonts w:ascii="Constantia" w:cs="Constantia" w:eastAsia="Constantia" w:hAnsi="Constantia"/>
          <w:b/>
          <w:bCs/>
          <w:color w:val="102A43"/>
          <w:sz w:val="22"/>
          <w:szCs w:val="22"/>
        </w:rPr>
        <w:t xml:space="preserve">at zeroth order H · t = 1: a world that is a reading grows at the pace of the reader</w:t>
      </w:r>
    </w:p>
    <w:p>
      <w:pPr>
        <w:spacing w:after="160" w:line="296"/>
        <w:jc w:val="both"/>
      </w:pPr>
      <w:r>
        <w:rPr>
          <w:rFonts w:ascii="Constantia" w:cs="Constantia" w:eastAsia="Constantia" w:hAnsi="Constantia"/>
          <w:color w:val="243040"/>
          <w:sz w:val="21"/>
          <w:szCs w:val="21"/>
        </w:rPr>
        <w:t xml:space="preserve">Now the observation lens, and a strict quantity. In the standard account, the measured age of the universe multiplied by the measured expansion rate is a number with no explanation: 13.797 billion years against a Hubble time of 14.516 billion years gives H₀t₀ = 0.950, a coincidence so tight that it has its own literature, since a universe that decelerated and then accelerated has no obvious reason to land within five percent of the coasting value today. Under the readout picture the coincidence inverts: one is the default, and the five percent is the signal. The departure from unity is the integrated price of the reading: traversal costs decelerate the readout where held content is dense, and the standing vacuum record of Movement Ten resumes it. The functional therefore has a forced skeleton, expansion linear at the metering rate, and a defined residue, the accumulated price term, computable under the standing rule that the map from framework to observable contains no free parameter. What remains of this item is a calculation with a declared method, not an open form.</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given the readout picture: the zeroth-order clause, H · t = 1. PROPOSED: the identification of the measured five percent shortfall as the integrated traversal price, with its sign already correct, since prices delay reading and the measured product falls short of one rather than beyond it. OPEN, now as a calculation rather than a form: the residual integral against the measured expansion history. The item shrinks from a missing functional to a priced correction.</w:t>
      </w:r>
    </w:p>
    <w:p>
      <w:pPr>
        <w:keepNext/>
        <w:spacing w:after="60" w:before="460"/>
      </w:pPr>
      <w:r>
        <w:rPr>
          <w:rFonts w:ascii="Constantia" w:cs="Constantia" w:eastAsia="Constantia" w:hAnsi="Constantia"/>
          <w:b/>
          <w:bCs/>
          <w:color w:val="B48A2E"/>
          <w:spacing w:val="8"/>
          <w:sz w:val="22"/>
          <w:szCs w:val="22"/>
        </w:rPr>
        <w:t xml:space="preserve">SECTION FOUR</w:t>
      </w:r>
    </w:p>
    <w:p>
      <w:pPr>
        <w:keepNext/>
        <w:pBdr>
          <w:bottom w:val="single" w:color="B48A2E" w:sz="8" w:space="6"/>
        </w:pBdr>
        <w:spacing w:after="200"/>
      </w:pPr>
      <w:r>
        <w:rPr>
          <w:rFonts w:ascii="Constantia" w:cs="Constantia" w:eastAsia="Constantia" w:hAnsi="Constantia"/>
          <w:b/>
          <w:bCs/>
          <w:color w:val="102A43"/>
          <w:sz w:val="28"/>
          <w:szCs w:val="28"/>
        </w:rPr>
        <w:t xml:space="preserve">The count, audited</w:t>
      </w:r>
    </w:p>
    <w:p>
      <w:pPr>
        <w:spacing w:after="160" w:line="296"/>
        <w:jc w:val="both"/>
      </w:pPr>
      <w:r>
        <w:rPr>
          <w:rFonts w:ascii="Constantia" w:cs="Constantia" w:eastAsia="Constantia" w:hAnsi="Constantia"/>
          <w:color w:val="243040"/>
          <w:sz w:val="21"/>
          <w:szCs w:val="21"/>
        </w:rPr>
        <w:t xml:space="preserve">The open item: the closure counts of the real measurement pipelines, with the Hubble tension as the standing case. Begin by saying what the tension is in the framework’s own language, because it turns out to be the flagship physical instance of a distinction this corpus has been drawing all year. The two measurements share one endpoint name, the Hubble constant, and perform two entirely different deeds. The distance ladder reads locally: parallax to Cepheid to supernova, calibration against calibration, no whole-body traversal anywhere in the chain. The early-universe inference reads through: light formed in the primordial plasma, released through the last-scattering face, carried across the entire structure era, and then closed through a model engine that converts spectra into parameters. Same endpoint, different logical actions. By equivalent action they are one quantity; by logical action they are two deeds, and the framework prices deed differences. The tension is not an embarrassment to be reconciled. It is the world exhibiting, at cosmological scale, that same endpoint does not mean same deed, and the gap between the two is the price of the difference in their executions.</w:t>
      </w:r>
    </w:p>
    <w:p>
      <w:pPr>
        <w:spacing w:after="160" w:line="296"/>
        <w:jc w:val="both"/>
      </w:pPr>
      <w:r>
        <w:rPr>
          <w:rFonts w:ascii="Constantia" w:cs="Constantia" w:eastAsia="Constantia" w:hAnsi="Constantia"/>
          <w:color w:val="243040"/>
          <w:sz w:val="21"/>
          <w:szCs w:val="21"/>
        </w:rPr>
        <w:t xml:space="preserve">The audit rule from Paper 18: count the whole-body cycles each pipeline performs, declare the difference before consulting the gap, and apply the exact multiplicative composition, each cycle retaining 1 − r³ of the account. The declared count, from architecture: the through-pipeline performs three cycles the ladder does not. Formation, the making of the record through the plasma to the released face. Transmission, the carriage of that record across the intervening held structure to the instrument. Inference, the closure of the record through the model engine, which is itself a mechanical observer and pays like one. The ladder performs none of these: every step of its chain is a local differential comparison inside the already-closed pocket. Declared difference: three.</w:t>
      </w:r>
    </w:p>
    <w:p>
      <w:pPr>
        <w:spacing w:after="160" w:line="296"/>
        <w:jc w:val="both"/>
      </w:pPr>
      <w:r>
        <w:rPr>
          <w:rFonts w:ascii="Constantia" w:cs="Constantia" w:eastAsia="Constantia" w:hAnsi="Constantia"/>
          <w:color w:val="243040"/>
          <w:sz w:val="21"/>
          <w:szCs w:val="21"/>
        </w:rPr>
        <w:t xml:space="preserve">Then the numbers, which were not consulted until the previous paragraph was written, and which are the published record’s, not ours. Three cycles retain 0.914061 of the account. Applied to the ladder’s value of 73.04 ± 1.04, the through-pipeline should read 66.76 ± 0.95. The through-pipeline reads 67.36 ± 0.54. The pull between prediction and measurement is 0.55 standard deviations, with the direction right by construction: the pipeline that traverses pays, and the paying pipeline reads low. The earlier framework quoted this agreement in its linearised form and spent it as support. This paper states the exact form, declares the count from architecture, and stakes the reading on it: if an independent audit of the two pipelines forces a count other than three, the agreement above is void and the physical reading of the traversal price takes the loss in public.</w:t>
      </w:r>
    </w:p>
    <w:p>
      <w:pPr>
        <w:spacing w:after="130" w:before="110"/>
        <w:jc w:val="center"/>
      </w:pPr>
      <w:r>
        <w:rPr>
          <w:rFonts w:ascii="Constantia" w:cs="Constantia" w:eastAsia="Constantia" w:hAnsi="Constantia"/>
          <w:b/>
          <w:bCs/>
          <w:color w:val="102A43"/>
          <w:sz w:val="22"/>
          <w:szCs w:val="22"/>
        </w:rPr>
        <w:t xml:space="preserve">two deeds, one name, three cycles of difference: predicted 66.76 ± 0.95, measured 67.36 ± 0.54</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PROVED: the composition rule and the audit procedure. PROPOSED: the count of three, argued from pipeline architecture above and exposed to independent audit; the 0.55 sigma agreement is reported as the current state of the stake, not as a verification. Strict quantities from the published ladder and early-universe determinations with their stated errors. The item is no longer open; it is staked.</w:t>
      </w:r>
    </w:p>
    <w:p>
      <w:pPr>
        <w:keepNext/>
        <w:spacing w:after="60" w:before="460"/>
      </w:pPr>
      <w:r>
        <w:rPr>
          <w:rFonts w:ascii="Constantia" w:cs="Constantia" w:eastAsia="Constantia" w:hAnsi="Constantia"/>
          <w:b/>
          <w:bCs/>
          <w:color w:val="B48A2E"/>
          <w:spacing w:val="8"/>
          <w:sz w:val="22"/>
          <w:szCs w:val="22"/>
        </w:rPr>
        <w:t xml:space="preserve">SECTION FIVE</w:t>
      </w:r>
    </w:p>
    <w:p>
      <w:pPr>
        <w:keepNext/>
        <w:pBdr>
          <w:bottom w:val="single" w:color="B48A2E" w:sz="8" w:space="6"/>
        </w:pBdr>
        <w:spacing w:after="200"/>
      </w:pPr>
      <w:r>
        <w:rPr>
          <w:rFonts w:ascii="Constantia" w:cs="Constantia" w:eastAsia="Constantia" w:hAnsi="Constantia"/>
          <w:b/>
          <w:bCs/>
          <w:color w:val="102A43"/>
          <w:sz w:val="28"/>
          <w:szCs w:val="28"/>
        </w:rPr>
        <w:t xml:space="preserve">The hunt, sharpened</w:t>
      </w:r>
    </w:p>
    <w:p>
      <w:pPr>
        <w:spacing w:after="160" w:line="296"/>
        <w:jc w:val="both"/>
      </w:pPr>
      <w:r>
        <w:rPr>
          <w:rFonts w:ascii="Constantia" w:cs="Constantia" w:eastAsia="Constantia" w:hAnsi="Constantia"/>
          <w:color w:val="243040"/>
          <w:sz w:val="21"/>
          <w:szCs w:val="21"/>
        </w:rPr>
        <w:t xml:space="preserve">The last item is empirical by nature and stays that way; no armchair closes it, and this section does not pretend to. What the new machinery does is sharpen what the hunt is for. The quantised crossing changes the observable. A running, self-holding system does not carry r as a smeared tendency; it closes in whole acts, and each act retains exactly the fraction. So the signature is not an average hovering near 0.309. It is quantisation: stationary bookkeeping that clusters at powers of r, steps and floors rather than drift, under a counting convention declared before the count.</w:t>
      </w:r>
    </w:p>
    <w:p>
      <w:pPr>
        <w:spacing w:after="160" w:line="296"/>
        <w:jc w:val="both"/>
      </w:pPr>
      <w:r>
        <w:rPr>
          <w:rFonts w:ascii="Constantia" w:cs="Constantia" w:eastAsia="Constantia" w:hAnsi="Constantia"/>
          <w:color w:val="243040"/>
          <w:sz w:val="21"/>
          <w:szCs w:val="21"/>
        </w:rPr>
        <w:t xml:space="preserve">And there is a first sighting to report, from an unexpected quarter: the framework’s own earlier computational record. The recursion-floor study in the old repository, run before any of this machinery existed, found its sampler spending half its time on a convergence floor at r to the eighth power, with milestones at other powers of r, in a run whose cosmological parameters were entirely fixed. A sampler is a mechanical observer: an architecture that distinguishes, couples, resolves, and retains. Its convergence floors are its closures, and its closures clustered at powers of the retained fraction. This is not offered as a confirmation; one computational instance, found retrospectively, confirms nothing under the corpus rules. It is offered as the shape of what confirmation would look like, found where nobody was pointing the lens. The protocol going forward: a stationary self-holding process, a pre-declared closure count, per-closure retention measured against powers of r, no free parameter in the map, and the refutation clause of the monograph in force throughout.</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the sharpened observable, quantised retention at powers of r per closure. The retrospective computational sighting is noted and explicitly not counted. The hunt remains the Standard’s, now with a sharper instrument. The item remains, as it must, in the world’s hands.</w:t>
      </w:r>
    </w:p>
    <w:p>
      <w:pPr>
        <w:keepNext/>
        <w:spacing w:after="60" w:before="460"/>
      </w:pPr>
      <w:r>
        <w:rPr>
          <w:rFonts w:ascii="Constantia" w:cs="Constantia" w:eastAsia="Constantia" w:hAnsi="Constantia"/>
          <w:b/>
          <w:bCs/>
          <w:color w:val="B48A2E"/>
          <w:spacing w:val="8"/>
          <w:sz w:val="22"/>
          <w:szCs w:val="22"/>
        </w:rPr>
        <w:t xml:space="preserve">SECTION SIX</w:t>
      </w:r>
    </w:p>
    <w:p>
      <w:pPr>
        <w:keepNext/>
        <w:pBdr>
          <w:bottom w:val="single" w:color="B48A2E" w:sz="8" w:space="6"/>
        </w:pBdr>
        <w:spacing w:after="200"/>
      </w:pPr>
      <w:r>
        <w:rPr>
          <w:rFonts w:ascii="Constantia" w:cs="Constantia" w:eastAsia="Constantia" w:hAnsi="Constantia"/>
          <w:b/>
          <w:bCs/>
          <w:color w:val="102A43"/>
          <w:sz w:val="28"/>
          <w:szCs w:val="28"/>
        </w:rPr>
        <w:t xml:space="preserve">The ledger after the attack</w:t>
      </w:r>
    </w:p>
    <w:p>
      <w:pPr>
        <w:spacing w:after="160" w:line="296"/>
        <w:jc w:val="both"/>
      </w:pPr>
      <w:r>
        <w:rPr>
          <w:rFonts w:ascii="Constantia" w:cs="Constantia" w:eastAsia="Constantia" w:hAnsi="Constantia"/>
          <w:color w:val="243040"/>
          <w:sz w:val="21"/>
          <w:szCs w:val="21"/>
        </w:rPr>
        <w:t xml:space="preserve">The five coordinates, revisited once each, no goalposts moved. The wall: closed, at gold, its magnitude reading dissolved as pre-metric. The form: closed, Lorentzian by the order-preservation theorem, its dilation the already-dissolved unit. The functional: skeleton forced at H · t = 1, the measured five percent named as the priced residue, the remainder a declared calculation. The count: staked at three from architecture, currently standing at half a standard deviation, falsifiable by audit. The hunt: sharpened from a tendency to a quantisation, first shape sighted in the framework’s own old machinery, verdict left with measurement, where it belongs.</w:t>
      </w:r>
    </w:p>
    <w:p>
      <w:pPr>
        <w:spacing w:after="160" w:line="296"/>
        <w:jc w:val="both"/>
      </w:pPr>
      <w:r>
        <w:rPr>
          <w:rFonts w:ascii="Constantia" w:cs="Constantia" w:eastAsia="Constantia" w:hAnsi="Constantia"/>
          <w:color w:val="243040"/>
          <w:sz w:val="21"/>
          <w:szCs w:val="21"/>
        </w:rPr>
        <w:t xml:space="preserve">What the framework now owes, in total: one integral, one audit, one experiment. Nothing else. No step of the structure waits on machinery, no quantity waits on a form, and no claim is resting on a number the field might take back. The three lenses did what lenses are for: the wall fell to observation’s discipline about what questions exist before the metric; the form fell to equivalence run through order; the functional and the count fell to logical action pricing the difference between deeds; and the hunt was handed its instrument by the crossing lemma. Where you start determines where you can go. Started correctly, five coordinates became one integral, one audit, and one experiment, and a structure with exactly three debts, each payable in public, is not a mood. It is a framework, standing where it said it would stand, waiting to be paid or refuted.</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This section is an accounting. Each item retains the grade assigned above.</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FIVE COORDINATES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2026-07-26T07:14:50.463Z</dcterms:created>
  <dcterms:modified xsi:type="dcterms:W3CDTF">2026-07-26T07:14:50.464Z</dcterms:modified>
</cp:coreProperties>
</file>

<file path=docProps/custom.xml><?xml version="1.0" encoding="utf-8"?>
<Properties xmlns="http://schemas.openxmlformats.org/officeDocument/2006/custom-properties" xmlns:vt="http://schemas.openxmlformats.org/officeDocument/2006/docPropsVTypes"/>
</file>