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0" w:line="293" w:lineRule="auto"/>
        <w:jc w:val="both"/>
      </w:pPr>
    </w:p>
    <w:p>
      <w:pPr>
        <w:keepNext w:val="0"/>
        <w:spacing w:before="0" w:after="280" w:line="293" w:lineRule="auto"/>
        <w:jc w:val="center"/>
      </w:pPr>
      <w:r>
        <w:rPr>
          <w:rFonts w:ascii="Constantia" w:hAnsi="Constantia" w:eastAsia="Constantia"/>
          <w:b w:val="0"/>
          <w:i w:val="0"/>
          <w:color w:val="B48A2E"/>
          <w:sz w:val="20"/>
        </w:rPr>
        <w:t>UNIFIED MECHANICS  ·  PERSONAL RELATIVITY</w:t>
      </w:r>
    </w:p>
    <w:p>
      <w:pPr>
        <w:keepNext w:val="0"/>
        <w:spacing w:before="0" w:after="200" w:line="240" w:lineRule="auto"/>
        <w:jc w:val="center"/>
      </w:pPr>
      <w:r>
        <w:rPr>
          <w:rFonts w:ascii="Constantia" w:hAnsi="Constantia" w:eastAsia="Constantia"/>
          <w:b/>
          <w:i w:val="0"/>
          <w:color w:val="102A43"/>
          <w:sz w:val="54"/>
        </w:rPr>
        <w:t>The Resolution Operator</w:t>
      </w:r>
    </w:p>
    <w:p>
      <w:pPr>
        <w:keepNext w:val="0"/>
        <w:spacing w:before="0" w:after="320" w:line="288" w:lineRule="auto"/>
        <w:jc w:val="center"/>
      </w:pPr>
      <w:r>
        <w:rPr>
          <w:rFonts w:ascii="Constantia" w:hAnsi="Constantia" w:eastAsia="Constantia"/>
          <w:b w:val="0"/>
          <w:i/>
          <w:color w:val="5B6B7A"/>
          <w:sz w:val="25"/>
        </w:rPr>
        <w:t>Where H</w:t>
      </w:r>
      <w:r>
        <w:rPr>
          <w:rFonts w:ascii="Constantia" w:hAnsi="Constantia" w:eastAsia="Constantia"/>
          <w:b w:val="0"/>
          <w:i/>
          <w:color w:val="5B6B7A"/>
          <w:sz w:val="25"/>
          <w:vertAlign w:val="subscript"/>
        </w:rPr>
        <w:t>5</w:t>
      </w:r>
      <w:r>
        <w:rPr>
          <w:rFonts w:ascii="Constantia" w:hAnsi="Constantia" w:eastAsia="Constantia"/>
          <w:b w:val="0"/>
          <w:i/>
          <w:color w:val="5B6B7A"/>
          <w:sz w:val="25"/>
        </w:rPr>
        <w:t xml:space="preserve"> comes from, why the five is not a choice, and the resolution at which it meets the floor</w:t>
      </w:r>
    </w:p>
    <w:p>
      <w:pPr>
        <w:keepNext w:val="0"/>
        <w:spacing w:before="0" w:after="60" w:line="293" w:lineRule="auto"/>
        <w:jc w:val="center"/>
      </w:pPr>
      <w:r>
        <w:rPr>
          <w:rFonts w:ascii="Constantia" w:hAnsi="Constantia" w:eastAsia="Constantia"/>
          <w:b w:val="0"/>
          <w:i w:val="0"/>
          <w:color w:val="102A43"/>
          <w:sz w:val="22"/>
        </w:rPr>
        <w:t>JOSEPH SHIELDS</w:t>
      </w:r>
    </w:p>
    <w:p>
      <w:pPr>
        <w:keepNext w:val="0"/>
        <w:spacing w:before="0" w:after="440" w:line="293" w:lineRule="auto"/>
        <w:jc w:val="center"/>
      </w:pPr>
      <w:r>
        <w:rPr>
          <w:rFonts w:ascii="Constantia" w:hAnsi="Constantia" w:eastAsia="Constantia"/>
          <w:b w:val="0"/>
          <w:i w:val="0"/>
          <w:color w:val="B48A2E"/>
          <w:sz w:val="17"/>
        </w:rPr>
        <w:t>UNIFIED MECHANICS RESEARCH PROGRAMME  ·  30 JULY 2026</w:t>
      </w: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WHAT THIS DOCUMENT SETTLES</w:t>
            </w:r>
          </w:p>
          <w:p>
            <w:pPr>
              <w:spacing w:after="120" w:line="283" w:lineRule="auto"/>
              <w:jc w:val="both"/>
            </w:pPr>
            <w:r>
              <w:rPr>
                <w:rFonts w:ascii="Constantia" w:hAnsi="Constantia"/>
                <w:b w:val="0"/>
                <w:color w:val="243040"/>
                <w:sz w:val="19"/>
              </w:rPr>
              <w:t>The retention operator H</w:t>
            </w:r>
            <w:r>
              <w:rPr>
                <w:rFonts w:ascii="Constantia" w:hAnsi="Constantia"/>
                <w:b w:val="0"/>
                <w:color w:val="243040"/>
                <w:sz w:val="19"/>
                <w:vertAlign w:val="subscript"/>
              </w:rPr>
              <w:t>5</w:t>
            </w:r>
            <w:r>
              <w:rPr>
                <w:rFonts w:ascii="Constantia" w:hAnsi="Constantia"/>
                <w:b w:val="0"/>
                <w:color w:val="243040"/>
                <w:sz w:val="19"/>
              </w:rPr>
              <w:t xml:space="preserve"> was written down from intuition about how numbers should divide over distance, with no derivation behind it. This document supplies the derivation, and it turns out to be short.</w:t>
            </w:r>
          </w:p>
          <w:p>
            <w:pPr>
              <w:spacing w:after="120" w:line="283" w:lineRule="auto"/>
              <w:jc w:val="both"/>
            </w:pPr>
            <w:r>
              <w:rPr>
                <w:rFonts w:ascii="Constantia" w:hAnsi="Constantia"/>
                <w:b/>
                <w:color w:val="243040"/>
                <w:sz w:val="19"/>
              </w:rPr>
              <w:t>The five is the observer dimension.</w:t>
            </w:r>
            <w:r>
              <w:rPr>
                <w:rFonts w:ascii="Constantia" w:hAnsi="Constantia"/>
                <w:b w:val="0"/>
                <w:color w:val="243040"/>
                <w:sz w:val="19"/>
              </w:rPr>
              <w:t xml:space="preserve"> s</w:t>
            </w:r>
            <w:r>
              <w:rPr>
                <w:rFonts w:ascii="Constantia" w:hAnsi="Constantia"/>
                <w:b w:val="0"/>
                <w:color w:val="243040"/>
                <w:sz w:val="19"/>
                <w:vertAlign w:val="subscript"/>
              </w:rPr>
              <w:t>N</w:t>
            </w:r>
            <w:r>
              <w:rPr>
                <w:rFonts w:ascii="Constantia" w:hAnsi="Constantia"/>
                <w:b w:val="0"/>
                <w:color w:val="243040"/>
                <w:sz w:val="19"/>
              </w:rPr>
              <w:t xml:space="preserve"> is the retention of one coordinate; the observer state has five; s</w:t>
            </w:r>
            <w:r>
              <w:rPr>
                <w:rFonts w:ascii="Constantia" w:hAnsi="Constantia"/>
                <w:b w:val="0"/>
                <w:color w:val="243040"/>
                <w:sz w:val="19"/>
                <w:vertAlign w:val="superscript"/>
              </w:rPr>
              <w:t>5</w:t>
            </w:r>
            <w:r>
              <w:rPr>
                <w:rFonts w:ascii="Constantia" w:hAnsi="Constantia"/>
                <w:b w:val="0"/>
                <w:color w:val="243040"/>
                <w:sz w:val="19"/>
              </w:rPr>
              <w:t xml:space="preserve"> is the joint retention and s</w:t>
            </w:r>
            <w:r>
              <w:rPr>
                <w:rFonts w:ascii="Constantia" w:hAnsi="Constantia"/>
                <w:b w:val="0"/>
                <w:color w:val="243040"/>
                <w:sz w:val="19"/>
                <w:vertAlign w:val="superscript"/>
              </w:rPr>
              <w:t>-5</w:t>
            </w:r>
            <w:r>
              <w:rPr>
                <w:rFonts w:ascii="Constantia" w:hAnsi="Constantia"/>
                <w:b w:val="0"/>
                <w:color w:val="243040"/>
                <w:sz w:val="19"/>
              </w:rPr>
              <w:t xml:space="preserve"> is the same state read backwards. The exponent was never free.</w:t>
            </w:r>
          </w:p>
          <w:p>
            <w:pPr>
              <w:spacing w:after="120" w:line="283" w:lineRule="auto"/>
              <w:jc w:val="both"/>
            </w:pPr>
            <w:r>
              <w:rPr>
                <w:rFonts w:ascii="Constantia" w:hAnsi="Constantia"/>
                <w:b/>
                <w:color w:val="243040"/>
                <w:sz w:val="19"/>
              </w:rPr>
              <w:t>The operator is made unit-invariant</w:t>
            </w:r>
            <w:r>
              <w:rPr>
                <w:rFonts w:ascii="Constantia" w:hAnsi="Constantia"/>
                <w:b w:val="0"/>
                <w:color w:val="243040"/>
                <w:sz w:val="19"/>
              </w:rPr>
              <w:t xml:space="preserve"> by defining resolution as a quantity divided by its own uncertainty. That single move answers the two open questions that were really one question.</w:t>
            </w:r>
          </w:p>
          <w:p>
            <w:pPr>
              <w:spacing w:after="120" w:line="283" w:lineRule="auto"/>
              <w:jc w:val="both"/>
            </w:pPr>
            <w:r>
              <w:rPr>
                <w:rFonts w:ascii="Constantia" w:hAnsi="Constantia"/>
                <w:b/>
                <w:color w:val="243040"/>
                <w:sz w:val="19"/>
              </w:rPr>
              <w:t>There is a unique resolution where the operator meets the corpus floor</w:t>
            </w:r>
            <w:r>
              <w:rPr>
                <w:rFonts w:ascii="Constantia" w:hAnsi="Constantia"/>
                <w:b w:val="0"/>
                <w:color w:val="243040"/>
                <w:sz w:val="19"/>
              </w:rPr>
              <w:t>, N = 5/r³ = 40φ³ = 169.4427, and it is exact.</w:t>
            </w:r>
          </w:p>
          <w:p>
            <w:pPr>
              <w:spacing w:after="0" w:line="283" w:lineRule="auto"/>
              <w:jc w:val="both"/>
            </w:pPr>
            <w:r>
              <w:rPr>
                <w:rFonts w:ascii="Constantia" w:hAnsi="Constantia"/>
                <w:b/>
                <w:color w:val="243040"/>
                <w:sz w:val="19"/>
              </w:rPr>
              <w:t>And it is a logistic.</w:t>
            </w:r>
            <w:r>
              <w:rPr>
                <w:rFonts w:ascii="Constantia" w:hAnsi="Constantia"/>
                <w:b w:val="0"/>
                <w:color w:val="243040"/>
                <w:sz w:val="19"/>
              </w:rPr>
              <w:t xml:space="preserve"> H</w:t>
            </w:r>
            <w:r>
              <w:rPr>
                <w:rFonts w:ascii="Constantia" w:hAnsi="Constantia"/>
                <w:b w:val="0"/>
                <w:color w:val="243040"/>
                <w:sz w:val="19"/>
                <w:vertAlign w:val="subscript"/>
              </w:rPr>
              <w:t>5</w:t>
            </w:r>
            <w:r>
              <w:rPr>
                <w:rFonts w:ascii="Constantia" w:hAnsi="Constantia"/>
                <w:b w:val="0"/>
                <w:color w:val="243040"/>
                <w:sz w:val="19"/>
              </w:rPr>
              <w:t xml:space="preserve"> = 1 + tanh(5 ln s</w:t>
            </w:r>
            <w:r>
              <w:rPr>
                <w:rFonts w:ascii="Constantia" w:hAnsi="Constantia"/>
                <w:b w:val="0"/>
                <w:color w:val="243040"/>
                <w:sz w:val="19"/>
                <w:vertAlign w:val="subscript"/>
              </w:rPr>
              <w:t>N</w:t>
            </w:r>
            <w:r>
              <w:rPr>
                <w:rFonts w:ascii="Constantia" w:hAnsi="Constantia"/>
                <w:b w:val="0"/>
                <w:color w:val="243040"/>
                <w:sz w:val="19"/>
              </w:rPr>
              <w:t>), which is the canonical form for a bounded quantity set by a forward rate against a reverse one. Two apparent contacts with the corpus constants are shown in section six to be golden-ratio identities carrying no information, and are demoted.</w:t>
            </w:r>
          </w:p>
        </w:tc>
      </w:tr>
    </w:tbl>
    <w:p>
      <w:pPr>
        <w:keepNext w:val="0"/>
        <w:spacing w:before="0" w:after="80" w:line="293" w:lineRule="auto"/>
        <w:jc w:val="both"/>
      </w:pPr>
    </w:p>
    <w:p>
      <w:pPr>
        <w:keepNext w:val="0"/>
        <w:spacing w:before="200" w:after="0" w:line="293" w:lineRule="auto"/>
        <w:jc w:val="center"/>
      </w:pPr>
      <w:r>
        <w:rPr>
          <w:rFonts w:ascii="Constantia" w:hAnsi="Constantia" w:eastAsia="Constantia"/>
          <w:b w:val="0"/>
          <w:i/>
          <w:color w:val="5B6B7A"/>
          <w:sz w:val="19"/>
        </w:rPr>
        <w:t>Every number below was verified symbolically. Where a result is exact it says exact, and where a promising coincidence turned out to be nothing it says that too, so no one spends a week on it.</w:t>
      </w:r>
    </w:p>
    <w:p>
      <w:pPr>
        <w:keepNext/>
        <w:pageBreakBefore/>
        <w:spacing w:before="440" w:after="40" w:line="293" w:lineRule="auto"/>
        <w:jc w:val="left"/>
      </w:pPr>
      <w:r>
        <w:rPr>
          <w:rFonts w:ascii="Constantia" w:hAnsi="Constantia" w:eastAsia="Constantia"/>
          <w:b/>
          <w:i w:val="0"/>
          <w:caps/>
          <w:color w:val="B48A2E"/>
          <w:sz w:val="21"/>
        </w:rPr>
        <w:t>Section one</w:t>
      </w:r>
    </w:p>
    <w:p>
      <w:pPr>
        <w:keepNext/>
        <w:spacing w:before="0" w:after="160" w:line="293" w:lineRule="auto"/>
        <w:jc w:val="left"/>
        <w:pBdr>
          <w:bottom w:val="single" w:sz="6" w:space="4" w:color="B48A2E"/>
        </w:pBdr>
      </w:pPr>
      <w:r>
        <w:rPr>
          <w:rFonts w:ascii="Constantia" w:hAnsi="Constantia" w:eastAsia="Constantia"/>
          <w:b/>
          <w:i w:val="0"/>
          <w:color w:val="102A43"/>
          <w:sz w:val="30"/>
        </w:rPr>
        <w:t>The operator, and that its algebra holds</w:t>
      </w:r>
    </w:p>
    <w:p>
      <w:pPr>
        <w:keepNext/>
        <w:spacing w:before="80" w:after="200" w:line="293" w:lineRule="auto"/>
        <w:jc w:val="left"/>
      </w:pPr>
      <w:r>
        <w:rPr>
          <w:rFonts w:ascii="Constantia" w:hAnsi="Constantia" w:eastAsia="Constantia"/>
          <w:b w:val="0"/>
          <w:i/>
          <w:color w:val="5B6B7A"/>
          <w:sz w:val="20"/>
        </w:rPr>
        <w:t>Written from intuition, and correct anyway. Every proposition checks.</w:t>
      </w:r>
    </w:p>
    <w:p>
      <w:pPr>
        <w:keepNext w:val="0"/>
        <w:spacing w:before="0" w:after="140" w:line="293" w:lineRule="auto"/>
        <w:jc w:val="both"/>
      </w:pPr>
      <w:r>
        <w:rPr>
          <w:rFonts w:ascii="Constantia" w:hAnsi="Constantia" w:eastAsia="Constantia"/>
          <w:b w:val="0"/>
          <w:i w:val="0"/>
          <w:color w:val="243040"/>
          <w:sz w:val="21"/>
        </w:rPr>
        <w:t>For a positive resolution N, set the single-coordinate retention</w:t>
      </w:r>
    </w:p>
    <w:p>
      <w:pPr>
        <w:keepNext w:val="0"/>
        <w:spacing w:before="140" w:after="180" w:line="240" w:lineRule="auto"/>
        <w:jc w:val="center"/>
      </w:pPr>
      <w:r>
        <w:rPr>
          <w:rFonts w:ascii="Cambria Math" w:hAnsi="Cambria Math" w:eastAsia="Cambria Math"/>
          <w:b/>
          <w:i w:val="0"/>
          <w:color w:val="102A43"/>
          <w:sz w:val="24"/>
        </w:rPr>
        <w:t>s</w:t>
      </w:r>
      <w:r>
        <w:rPr>
          <w:rFonts w:ascii="Cambria Math" w:hAnsi="Cambria Math" w:eastAsia="Cambria Math"/>
          <w:b/>
          <w:i w:val="0"/>
          <w:color w:val="102A43"/>
          <w:sz w:val="24"/>
          <w:vertAlign w:val="subscript"/>
        </w:rPr>
        <w:t>N</w:t>
      </w:r>
      <w:r>
        <w:rPr>
          <w:rFonts w:ascii="Cambria Math" w:hAnsi="Cambria Math" w:eastAsia="Cambria Math"/>
          <w:b/>
          <w:i w:val="0"/>
          <w:color w:val="102A43"/>
          <w:sz w:val="24"/>
        </w:rPr>
        <w:t xml:space="preserve">  =  N / (N + 1)</w:t>
      </w:r>
    </w:p>
    <w:p>
      <w:pPr>
        <w:keepNext w:val="0"/>
        <w:spacing w:before="0" w:after="140" w:line="293" w:lineRule="auto"/>
        <w:jc w:val="both"/>
      </w:pPr>
      <w:r>
        <w:rPr>
          <w:rFonts w:ascii="Constantia" w:hAnsi="Constantia" w:eastAsia="Constantia"/>
          <w:b w:val="0"/>
          <w:i w:val="0"/>
          <w:color w:val="243040"/>
          <w:sz w:val="21"/>
        </w:rPr>
        <w:t>and compare the reciprocal fifth-power branches through their normalised imbalance. Clearing the negative branch by multiplying above and below by s</w:t>
      </w:r>
      <w:r>
        <w:rPr>
          <w:rFonts w:ascii="Constantia" w:hAnsi="Constantia" w:eastAsia="Constantia"/>
          <w:b w:val="0"/>
          <w:i w:val="0"/>
          <w:color w:val="243040"/>
          <w:sz w:val="21"/>
          <w:vertAlign w:val="superscript"/>
        </w:rPr>
        <w:t>5</w:t>
      </w:r>
      <w:r>
        <w:rPr>
          <w:rFonts w:ascii="Constantia" w:hAnsi="Constantia" w:eastAsia="Constantia"/>
          <w:b w:val="0"/>
          <w:i w:val="0"/>
          <w:color w:val="243040"/>
          <w:sz w:val="21"/>
        </w:rPr>
        <w:t xml:space="preserve"> gives a ratio of tenth powers, and adding one renormalises it to a retention:</w:t>
      </w:r>
    </w:p>
    <w:p>
      <w:pPr>
        <w:keepNext w:val="0"/>
        <w:spacing w:before="140" w:after="180" w:line="240" w:lineRule="auto"/>
        <w:jc w:val="center"/>
      </w:pPr>
      <w:r>
        <w:rPr>
          <w:rFonts w:ascii="Cambria Math" w:hAnsi="Cambria Math" w:eastAsia="Cambria Math"/>
          <w:b/>
          <w:i w:val="0"/>
          <w:color w:val="102A43"/>
          <w:sz w:val="24"/>
        </w:rPr>
        <w:t>C</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 (s</w:t>
      </w:r>
      <w:r>
        <w:rPr>
          <w:rFonts w:ascii="Cambria Math" w:hAnsi="Cambria Math" w:eastAsia="Cambria Math"/>
          <w:b/>
          <w:i w:val="0"/>
          <w:color w:val="102A43"/>
          <w:sz w:val="24"/>
          <w:vertAlign w:val="superscript"/>
        </w:rPr>
        <w:t>5</w:t>
      </w:r>
      <w:r>
        <w:rPr>
          <w:rFonts w:ascii="Cambria Math" w:hAnsi="Cambria Math" w:eastAsia="Cambria Math"/>
          <w:b/>
          <w:i w:val="0"/>
          <w:color w:val="102A43"/>
          <w:sz w:val="24"/>
        </w:rPr>
        <w:t xml:space="preserve"> − s</w:t>
      </w:r>
      <w:r>
        <w:rPr>
          <w:rFonts w:ascii="Cambria Math" w:hAnsi="Cambria Math" w:eastAsia="Cambria Math"/>
          <w:b/>
          <w:i w:val="0"/>
          <w:color w:val="102A43"/>
          <w:sz w:val="24"/>
          <w:vertAlign w:val="superscript"/>
        </w:rPr>
        <w:t>−5</w:t>
      </w:r>
      <w:r>
        <w:rPr>
          <w:rFonts w:ascii="Cambria Math" w:hAnsi="Cambria Math" w:eastAsia="Cambria Math"/>
          <w:b/>
          <w:i w:val="0"/>
          <w:color w:val="102A43"/>
          <w:sz w:val="24"/>
        </w:rPr>
        <w:t>)/(s</w:t>
      </w:r>
      <w:r>
        <w:rPr>
          <w:rFonts w:ascii="Cambria Math" w:hAnsi="Cambria Math" w:eastAsia="Cambria Math"/>
          <w:b/>
          <w:i w:val="0"/>
          <w:color w:val="102A43"/>
          <w:sz w:val="24"/>
          <w:vertAlign w:val="superscript"/>
        </w:rPr>
        <w:t>5</w:t>
      </w:r>
      <w:r>
        <w:rPr>
          <w:rFonts w:ascii="Cambria Math" w:hAnsi="Cambria Math" w:eastAsia="Cambria Math"/>
          <w:b/>
          <w:i w:val="0"/>
          <w:color w:val="102A43"/>
          <w:sz w:val="24"/>
        </w:rPr>
        <w:t xml:space="preserve"> + s</w:t>
      </w:r>
      <w:r>
        <w:rPr>
          <w:rFonts w:ascii="Cambria Math" w:hAnsi="Cambria Math" w:eastAsia="Cambria Math"/>
          <w:b/>
          <w:i w:val="0"/>
          <w:color w:val="102A43"/>
          <w:sz w:val="24"/>
          <w:vertAlign w:val="superscript"/>
        </w:rPr>
        <w:t>−5</w:t>
      </w:r>
      <w:r>
        <w:rPr>
          <w:rFonts w:ascii="Cambria Math" w:hAnsi="Cambria Math" w:eastAsia="Cambria Math"/>
          <w:b/>
          <w:i w:val="0"/>
          <w:color w:val="102A43"/>
          <w:sz w:val="24"/>
        </w:rPr>
        <w:t>) = (s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xml:space="preserve"> − 1)/(s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xml:space="preserve"> + 1)</w:t>
      </w:r>
    </w:p>
    <w:p>
      <w:pPr>
        <w:keepNext w:val="0"/>
        <w:spacing w:before="140" w:after="180" w:line="240" w:lineRule="auto"/>
        <w:jc w:val="center"/>
      </w:pPr>
      <w:r>
        <w:rPr>
          <w:rFonts w:ascii="Cambria Math" w:hAnsi="Cambria Math" w:eastAsia="Cambria Math"/>
          <w:b/>
          <w:i w:val="0"/>
          <w:color w:val="102A43"/>
          <w:sz w:val="24"/>
        </w:rPr>
        <w:t>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 1 + C</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 2s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/(1 + s</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 2N</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xml:space="preserve"> / ( N</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xml:space="preserve"> + (N+1)</w:t>
      </w:r>
      <w:r>
        <w:rPr>
          <w:rFonts w:ascii="Cambria Math" w:hAnsi="Cambria Math" w:eastAsia="Cambria Math"/>
          <w:b/>
          <w:i w:val="0"/>
          <w:color w:val="102A43"/>
          <w:sz w:val="24"/>
          <w:vertAlign w:val="superscript"/>
        </w:rPr>
        <w:t>10</w:t>
      </w:r>
      <w:r>
        <w:rPr>
          <w:rFonts w:ascii="Cambria Math" w:hAnsi="Cambria Math" w:eastAsia="Cambria Math"/>
          <w:b/>
          <w:i w:val="0"/>
          <w:color w:val="102A43"/>
          <w:sz w:val="24"/>
        </w:rPr>
        <w:t xml:space="preserve"> )</w:t>
      </w:r>
    </w:p>
    <w:p>
      <w:pPr>
        <w:keepNext w:val="0"/>
        <w:spacing w:before="20" w:after="200" w:line="264" w:lineRule="auto"/>
        <w:ind w:left="317"/>
        <w:jc w:val="both"/>
      </w:pPr>
      <w:r>
        <w:rPr>
          <w:rFonts w:ascii="Constantia" w:hAnsi="Constantia" w:eastAsia="Constantia"/>
          <w:b w:val="0"/>
          <w:i/>
          <w:color w:val="5B6B7A"/>
          <w:sz w:val="18"/>
        </w:rPr>
        <w:t>Exact. The last form is what a symbolic algebra system returns when asked to simplify 1 + C</w:t>
      </w:r>
      <w:r>
        <w:rPr>
          <w:rFonts w:ascii="Constantia" w:hAnsi="Constantia" w:eastAsia="Constantia"/>
          <w:b w:val="0"/>
          <w:i/>
          <w:color w:val="5B6B7A"/>
          <w:sz w:val="18"/>
          <w:vertAlign w:val="subscript"/>
        </w:rPr>
        <w:t>5</w:t>
      </w:r>
      <w:r>
        <w:rPr>
          <w:rFonts w:ascii="Constantia" w:hAnsi="Constantia" w:eastAsia="Constantia"/>
          <w:b w:val="0"/>
          <w:i/>
          <w:color w:val="5B6B7A"/>
          <w:sz w:val="18"/>
        </w:rPr>
        <w:t>, with no intermediate steps supplied.</w:t>
      </w:r>
    </w:p>
    <w:p>
      <w:pPr>
        <w:keepNext w:val="0"/>
        <w:spacing w:before="0" w:after="140" w:line="293" w:lineRule="auto"/>
        <w:jc w:val="both"/>
      </w:pPr>
      <w:r>
        <w:rPr>
          <w:rFonts w:ascii="Constantia" w:hAnsi="Constantia" w:eastAsia="Constantia"/>
          <w:b w:val="0"/>
          <w:i w:val="0"/>
          <w:color w:val="243040"/>
          <w:sz w:val="21"/>
        </w:rPr>
        <w:t>The four stated properties all hold. Since N &gt; 0 puts s in the open unit interval, s</w:t>
      </w:r>
      <w:r>
        <w:rPr>
          <w:rFonts w:ascii="Constantia" w:hAnsi="Constantia" w:eastAsia="Constantia"/>
          <w:b w:val="0"/>
          <w:i w:val="0"/>
          <w:color w:val="243040"/>
          <w:sz w:val="21"/>
          <w:vertAlign w:val="superscript"/>
        </w:rPr>
        <w:t>10</w:t>
      </w:r>
      <w:r>
        <w:rPr>
          <w:rFonts w:ascii="Constantia" w:hAnsi="Constantia" w:eastAsia="Constantia"/>
          <w:b w:val="0"/>
          <w:i w:val="0"/>
          <w:color w:val="243040"/>
          <w:sz w:val="21"/>
        </w:rPr>
        <w:t xml:space="preserve"> does too, and 2t/(1+t) &lt; 1 exactly when t &lt; 1:</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944"/>
        <w:gridCol w:w="3671"/>
        <w:gridCol w:w="4377"/>
      </w:tblGrid>
      <w:tr>
        <w:trPr>
          <w:tblHeader/>
          <w:cantSplit/>
        </w:trPr>
        <w:tc>
          <w:tcPr>
            <w:tcW w:type="dxa" w:w="194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Property</w:t>
            </w:r>
          </w:p>
        </w:tc>
        <w:tc>
          <w:tcPr>
            <w:tcW w:type="dxa" w:w="367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Statement</w:t>
            </w:r>
          </w:p>
        </w:tc>
        <w:tc>
          <w:tcPr>
            <w:tcW w:type="dxa" w:w="437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Status</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Boundedness</w:t>
            </w:r>
          </w:p>
        </w:tc>
        <w:tc>
          <w:tcPr>
            <w:tcW w:type="dxa" w:w="367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0 &lt; H</w:t>
            </w:r>
            <w:r>
              <w:rPr>
                <w:rFonts w:ascii="Cambria Math" w:hAnsi="Cambria Math"/>
                <w:b w:val="0"/>
                <w:i w:val="0"/>
                <w:color w:val="243040"/>
                <w:sz w:val="18"/>
                <w:vertAlign w:val="subscript"/>
              </w:rPr>
              <w:t>5</w:t>
            </w:r>
            <w:r>
              <w:rPr>
                <w:rFonts w:ascii="Cambria Math" w:hAnsi="Cambria Math"/>
                <w:b w:val="0"/>
                <w:i w:val="0"/>
                <w:color w:val="243040"/>
                <w:sz w:val="18"/>
              </w:rPr>
              <w:t>(N) &lt; 1 for N &gt; 0</w:t>
            </w:r>
          </w:p>
        </w:tc>
        <w:tc>
          <w:tcPr>
            <w:tcW w:type="dxa" w:w="4378"/>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exact</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Monotonicity</w:t>
            </w:r>
          </w:p>
        </w:tc>
        <w:tc>
          <w:tcPr>
            <w:tcW w:type="dxa" w:w="367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H</w:t>
            </w:r>
            <w:r>
              <w:rPr>
                <w:rFonts w:ascii="Cambria Math" w:hAnsi="Cambria Math"/>
                <w:b w:val="0"/>
                <w:i w:val="0"/>
                <w:color w:val="243040"/>
                <w:sz w:val="18"/>
                <w:vertAlign w:val="subscript"/>
              </w:rPr>
              <w:t>5</w:t>
            </w:r>
            <w:r>
              <w:rPr>
                <w:rFonts w:ascii="Cambria Math" w:hAnsi="Cambria Math"/>
                <w:b w:val="0"/>
                <w:i w:val="0"/>
                <w:color w:val="243040"/>
                <w:sz w:val="18"/>
              </w:rPr>
              <w:t xml:space="preserve"> increases with N</w:t>
            </w:r>
          </w:p>
        </w:tc>
        <w:tc>
          <w:tcPr>
            <w:tcW w:type="dxa" w:w="4378"/>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exact, since 2t/(1+t) rises with t</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Identity limit</w:t>
            </w:r>
          </w:p>
        </w:tc>
        <w:tc>
          <w:tcPr>
            <w:tcW w:type="dxa" w:w="367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H</w:t>
            </w:r>
            <w:r>
              <w:rPr>
                <w:rFonts w:ascii="Cambria Math" w:hAnsi="Cambria Math"/>
                <w:b w:val="0"/>
                <w:i w:val="0"/>
                <w:color w:val="243040"/>
                <w:sz w:val="18"/>
                <w:vertAlign w:val="subscript"/>
              </w:rPr>
              <w:t>5</w:t>
            </w:r>
            <w:r>
              <w:rPr>
                <w:rFonts w:ascii="Cambria Math" w:hAnsi="Cambria Math"/>
                <w:b w:val="0"/>
                <w:i w:val="0"/>
                <w:color w:val="243040"/>
                <w:sz w:val="18"/>
              </w:rPr>
              <w:t xml:space="preserve"> → 1 as N → ∞</w:t>
            </w:r>
          </w:p>
        </w:tc>
        <w:tc>
          <w:tcPr>
            <w:tcW w:type="dxa" w:w="4378"/>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exact</w:t>
            </w:r>
          </w:p>
        </w:tc>
      </w:tr>
      <w:tr>
        <w:trPr>
          <w:cantSplit/>
        </w:trPr>
        <w:tc>
          <w:tcPr>
            <w:tcW w:type="dxa" w:w="1944"/>
            <w:tcMar>
              <w:top w:w="60" w:type="dxa"/>
              <w:start w:w="90" w:type="dxa"/>
              <w:bottom w:w="60" w:type="dxa"/>
              <w:end w:w="90" w:type="dxa"/>
            </w:tcMar>
          </w:tcPr>
          <w:p>
            <w:pPr>
              <w:spacing w:after="0" w:line="269" w:lineRule="auto"/>
              <w:jc w:val="left"/>
            </w:pPr>
            <w:r/>
            <w:r>
              <w:rPr>
                <w:rFonts w:ascii="Constantia" w:hAnsi="Constantia"/>
                <w:b w:val="0"/>
                <w:i w:val="0"/>
                <w:color w:val="243040"/>
                <w:sz w:val="18"/>
              </w:rPr>
              <w:t>Large-N expansion</w:t>
            </w:r>
          </w:p>
        </w:tc>
        <w:tc>
          <w:tcPr>
            <w:tcW w:type="dxa" w:w="3672"/>
            <w:tcMar>
              <w:top w:w="60" w:type="dxa"/>
              <w:start w:w="90" w:type="dxa"/>
              <w:bottom w:w="60" w:type="dxa"/>
              <w:end w:w="90" w:type="dxa"/>
            </w:tcMar>
          </w:tcPr>
          <w:p>
            <w:pPr>
              <w:spacing w:after="0" w:line="269" w:lineRule="auto"/>
              <w:jc w:val="left"/>
            </w:pPr>
            <w:r/>
            <w:r>
              <w:rPr>
                <w:rFonts w:ascii="Cambria Math" w:hAnsi="Cambria Math"/>
                <w:b w:val="0"/>
                <w:i w:val="0"/>
                <w:color w:val="243040"/>
                <w:sz w:val="18"/>
              </w:rPr>
              <w:t>H</w:t>
            </w:r>
            <w:r>
              <w:rPr>
                <w:rFonts w:ascii="Cambria Math" w:hAnsi="Cambria Math"/>
                <w:b w:val="0"/>
                <w:i w:val="0"/>
                <w:color w:val="243040"/>
                <w:sz w:val="18"/>
                <w:vertAlign w:val="subscript"/>
              </w:rPr>
              <w:t>5</w:t>
            </w:r>
            <w:r>
              <w:rPr>
                <w:rFonts w:ascii="Cambria Math" w:hAnsi="Cambria Math"/>
                <w:b w:val="0"/>
                <w:i w:val="0"/>
                <w:color w:val="243040"/>
                <w:sz w:val="18"/>
              </w:rPr>
              <w:t xml:space="preserve"> = 1 − 5/N + 5/(2N²) + O(N⁻³)</w:t>
            </w:r>
          </w:p>
        </w:tc>
        <w:tc>
          <w:tcPr>
            <w:tcW w:type="dxa" w:w="4378"/>
            <w:tcMar>
              <w:top w:w="60" w:type="dxa"/>
              <w:start w:w="90" w:type="dxa"/>
              <w:bottom w:w="60" w:type="dxa"/>
              <w:end w:w="90" w:type="dxa"/>
            </w:tcMar>
          </w:tcPr>
          <w:p>
            <w:pPr>
              <w:spacing w:after="0" w:line="269" w:lineRule="auto"/>
              <w:jc w:val="left"/>
            </w:pPr>
            <w:r/>
            <w:r>
              <w:rPr>
                <w:rFonts w:ascii="Constantia" w:hAnsi="Constantia"/>
                <w:b w:val="0"/>
                <w:i w:val="0"/>
                <w:color w:val="243040"/>
                <w:sz w:val="18"/>
              </w:rPr>
              <w:t>exact, term for term</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 xml:space="preserve">The expansion is the one that matters, because it is where the physics is. </w:t>
      </w:r>
      <w:r>
        <w:rPr>
          <w:rFonts w:ascii="Constantia" w:hAnsi="Constantia" w:eastAsia="Constantia"/>
          <w:b/>
          <w:i w:val="0"/>
          <w:color w:val="243040"/>
          <w:sz w:val="21"/>
        </w:rPr>
        <w:t>The unresolved fraction of a quantity is 5/N at leading order.</w:t>
      </w:r>
      <w:r>
        <w:rPr>
          <w:rFonts w:ascii="Constantia" w:hAnsi="Constantia" w:eastAsia="Constantia"/>
          <w:b w:val="0"/>
          <w:i w:val="0"/>
          <w:color w:val="243040"/>
          <w:sz w:val="21"/>
        </w:rPr>
        <w:t xml:space="preserve"> Everything else in this document is a consequence of that line.</w:t>
      </w:r>
    </w:p>
    <w:p>
      <w:pPr>
        <w:keepNext/>
        <w:spacing w:before="440" w:after="40" w:line="293" w:lineRule="auto"/>
        <w:jc w:val="left"/>
      </w:pPr>
      <w:r>
        <w:rPr>
          <w:rFonts w:ascii="Constantia" w:hAnsi="Constantia" w:eastAsia="Constantia"/>
          <w:b/>
          <w:i w:val="0"/>
          <w:caps/>
          <w:color w:val="B48A2E"/>
          <w:sz w:val="21"/>
        </w:rPr>
        <w:t>Section two</w:t>
      </w:r>
    </w:p>
    <w:p>
      <w:pPr>
        <w:keepNext/>
        <w:spacing w:before="0" w:after="160" w:line="293" w:lineRule="auto"/>
        <w:jc w:val="left"/>
        <w:pBdr>
          <w:bottom w:val="single" w:sz="6" w:space="4" w:color="B48A2E"/>
        </w:pBdr>
      </w:pPr>
      <w:r>
        <w:rPr>
          <w:rFonts w:ascii="Constantia" w:hAnsi="Constantia" w:eastAsia="Constantia"/>
          <w:b/>
          <w:i w:val="0"/>
          <w:color w:val="102A43"/>
          <w:sz w:val="30"/>
        </w:rPr>
        <w:t>Why the five is not a choice</w:t>
      </w:r>
    </w:p>
    <w:p>
      <w:pPr>
        <w:keepNext/>
        <w:spacing w:before="80" w:after="200" w:line="293" w:lineRule="auto"/>
        <w:jc w:val="left"/>
      </w:pPr>
      <w:r>
        <w:rPr>
          <w:rFonts w:ascii="Constantia" w:hAnsi="Constantia" w:eastAsia="Constantia"/>
          <w:b w:val="0"/>
          <w:i/>
          <w:color w:val="5B6B7A"/>
          <w:sz w:val="20"/>
        </w:rPr>
        <w:t>The exponent was already fixed by the Passage and Record theorem, one section earlier.</w:t>
      </w:r>
    </w:p>
    <w:p>
      <w:pPr>
        <w:keepNext w:val="0"/>
        <w:spacing w:before="0" w:after="140" w:line="293" w:lineRule="auto"/>
        <w:jc w:val="both"/>
      </w:pPr>
      <w:r>
        <w:rPr>
          <w:rFonts w:ascii="Constantia" w:hAnsi="Constantia" w:eastAsia="Constantia"/>
          <w:b w:val="0"/>
          <w:i w:val="0"/>
          <w:color w:val="243040"/>
          <w:sz w:val="21"/>
        </w:rPr>
        <w:t>The open question asked why the five observer components should act multiplicatively as a fifth power rather than through some other composition law. The answer is in the theorem that precedes it.</w:t>
      </w:r>
    </w:p>
    <w:p>
      <w:pPr>
        <w:keepNext w:val="0"/>
        <w:spacing w:before="0" w:after="140" w:line="293" w:lineRule="auto"/>
        <w:jc w:val="both"/>
      </w:pPr>
      <w:r>
        <w:rPr>
          <w:rFonts w:ascii="Constantia" w:hAnsi="Constantia" w:eastAsia="Constantia"/>
          <w:b w:val="0"/>
          <w:i w:val="0"/>
          <w:color w:val="243040"/>
          <w:sz w:val="21"/>
        </w:rPr>
        <w:t>The Passage and Record theorem establishes that two observers may share final position and final clock reading while having accumulated different history, so an independent record coordinate is required and the minimum complete observer state is</w:t>
      </w:r>
    </w:p>
    <w:p>
      <w:pPr>
        <w:keepNext w:val="0"/>
        <w:spacing w:before="140" w:after="180" w:line="240" w:lineRule="auto"/>
        <w:jc w:val="center"/>
      </w:pPr>
      <w:r>
        <w:rPr>
          <w:rFonts w:ascii="Cambria Math" w:hAnsi="Cambria Math" w:eastAsia="Cambria Math"/>
          <w:b/>
          <w:i w:val="0"/>
          <w:color w:val="102A43"/>
          <w:sz w:val="24"/>
        </w:rPr>
        <w:t>O = (x, y, z, τ, H)          dim(O)</w:t>
      </w:r>
      <w:r>
        <w:rPr>
          <w:rFonts w:ascii="Cambria Math" w:hAnsi="Cambria Math" w:eastAsia="Cambria Math"/>
          <w:b/>
          <w:i w:val="0"/>
          <w:color w:val="102A43"/>
          <w:sz w:val="24"/>
          <w:vertAlign w:val="subscript"/>
        </w:rPr>
        <w:t>m</w:t>
      </w:r>
      <w:r>
        <w:rPr>
          <w:rFonts w:ascii="Cambria Math" w:hAnsi="Cambria Math" w:eastAsia="Cambria Math"/>
          <w:b/>
          <w:i w:val="0"/>
          <w:color w:val="102A43"/>
          <w:sz w:val="24"/>
        </w:rPr>
        <w:t>in = 3 + 1 + 1 = 5</w:t>
      </w:r>
    </w:p>
    <w:p>
      <w:pPr>
        <w:keepNext w:val="0"/>
        <w:spacing w:before="0" w:after="140" w:line="293" w:lineRule="auto"/>
        <w:jc w:val="both"/>
      </w:pPr>
      <w:r>
        <w:rPr>
          <w:rFonts w:ascii="Constantia" w:hAnsi="Constantia" w:eastAsia="Constantia"/>
          <w:b w:val="0"/>
          <w:i w:val="0"/>
          <w:color w:val="243040"/>
          <w:sz w:val="21"/>
        </w:rPr>
        <w:t>Now read s</w:t>
      </w:r>
      <w:r>
        <w:rPr>
          <w:rFonts w:ascii="Constantia" w:hAnsi="Constantia" w:eastAsia="Constantia"/>
          <w:b w:val="0"/>
          <w:i w:val="0"/>
          <w:color w:val="243040"/>
          <w:sz w:val="21"/>
          <w:vertAlign w:val="subscript"/>
        </w:rPr>
        <w:t>N</w:t>
      </w:r>
      <w:r>
        <w:rPr>
          <w:rFonts w:ascii="Constantia" w:hAnsi="Constantia" w:eastAsia="Constantia"/>
          <w:b w:val="0"/>
          <w:i w:val="0"/>
          <w:color w:val="243040"/>
          <w:sz w:val="21"/>
        </w:rPr>
        <w:t xml:space="preserve"> as what it is. It is the retention of </w:t>
      </w:r>
      <w:r>
        <w:rPr>
          <w:rFonts w:ascii="Constantia" w:hAnsi="Constantia" w:eastAsia="Constantia"/>
          <w:b/>
          <w:i w:val="0"/>
          <w:color w:val="243040"/>
          <w:sz w:val="21"/>
        </w:rPr>
        <w:t>one</w:t>
      </w:r>
      <w:r>
        <w:rPr>
          <w:rFonts w:ascii="Constantia" w:hAnsi="Constantia" w:eastAsia="Constantia"/>
          <w:b w:val="0"/>
          <w:i w:val="0"/>
          <w:color w:val="243040"/>
          <w:sz w:val="21"/>
        </w:rPr>
        <w:t xml:space="preserve"> coordinate at resolution N: one part in N+1 is lost. Five coordinates retaining independently retain s</w:t>
      </w:r>
      <w:r>
        <w:rPr>
          <w:rFonts w:ascii="Constantia" w:hAnsi="Constantia" w:eastAsia="Constantia"/>
          <w:b w:val="0"/>
          <w:i w:val="0"/>
          <w:color w:val="243040"/>
          <w:sz w:val="21"/>
          <w:vertAlign w:val="superscript"/>
        </w:rPr>
        <w:t>5</w:t>
      </w:r>
      <w:r>
        <w:rPr>
          <w:rFonts w:ascii="Constantia" w:hAnsi="Constantia" w:eastAsia="Constantia"/>
          <w:b w:val="0"/>
          <w:i w:val="0"/>
          <w:color w:val="243040"/>
          <w:sz w:val="21"/>
        </w:rPr>
        <w:t>. So:</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512"/>
        <w:gridCol w:w="4176"/>
        <w:gridCol w:w="4305"/>
      </w:tblGrid>
      <w:tr>
        <w:trPr>
          <w:tblHeader/>
          <w:cantSplit/>
        </w:trPr>
        <w:tc>
          <w:tcPr>
            <w:tcW w:type="dxa" w:w="151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Object</w:t>
            </w:r>
          </w:p>
        </w:tc>
        <w:tc>
          <w:tcPr>
            <w:tcW w:type="dxa" w:w="417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Reading</w:t>
            </w:r>
          </w:p>
        </w:tc>
        <w:tc>
          <w:tcPr>
            <w:tcW w:type="dxa" w:w="430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Forced by</w:t>
            </w:r>
          </w:p>
        </w:tc>
      </w:tr>
      <w:tr>
        <w:trPr>
          <w:cantSplit/>
        </w:trPr>
        <w:tc>
          <w:tcPr>
            <w:tcW w:type="dxa" w:w="151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s</w:t>
            </w:r>
            <w:r>
              <w:rPr>
                <w:rFonts w:ascii="Cambria Math" w:hAnsi="Cambria Math"/>
                <w:b w:val="0"/>
                <w:i w:val="0"/>
                <w:color w:val="243040"/>
                <w:sz w:val="18"/>
                <w:vertAlign w:val="subscript"/>
              </w:rPr>
              <w:t>N</w:t>
            </w:r>
          </w:p>
        </w:tc>
        <w:tc>
          <w:tcPr>
            <w:tcW w:type="dxa" w:w="417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retention of one coordinate</w:t>
            </w:r>
          </w:p>
        </w:tc>
        <w:tc>
          <w:tcPr>
            <w:tcW w:type="dxa" w:w="430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definition of resolution</w:t>
            </w:r>
          </w:p>
        </w:tc>
      </w:tr>
      <w:tr>
        <w:trPr>
          <w:cantSplit/>
        </w:trPr>
        <w:tc>
          <w:tcPr>
            <w:tcW w:type="dxa" w:w="151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s</w:t>
            </w:r>
            <w:r>
              <w:rPr>
                <w:rFonts w:ascii="Cambria Math" w:hAnsi="Cambria Math"/>
                <w:b w:val="0"/>
                <w:i w:val="0"/>
                <w:color w:val="243040"/>
                <w:sz w:val="18"/>
                <w:vertAlign w:val="superscript"/>
              </w:rPr>
              <w:t>5</w:t>
            </w:r>
          </w:p>
        </w:tc>
        <w:tc>
          <w:tcPr>
            <w:tcW w:type="dxa" w:w="417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joint retention of the whole observer state</w:t>
            </w:r>
          </w:p>
        </w:tc>
        <w:tc>
          <w:tcPr>
            <w:tcW w:type="dxa" w:w="430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dim(O) = 5</w:t>
            </w:r>
          </w:p>
        </w:tc>
      </w:tr>
      <w:tr>
        <w:trPr>
          <w:cantSplit/>
        </w:trPr>
        <w:tc>
          <w:tcPr>
            <w:tcW w:type="dxa" w:w="151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s</w:t>
            </w:r>
            <w:r>
              <w:rPr>
                <w:rFonts w:ascii="Cambria Math" w:hAnsi="Cambria Math"/>
                <w:b w:val="0"/>
                <w:i w:val="0"/>
                <w:color w:val="243040"/>
                <w:sz w:val="18"/>
                <w:vertAlign w:val="superscript"/>
              </w:rPr>
              <w:t>−5</w:t>
            </w:r>
          </w:p>
        </w:tc>
        <w:tc>
          <w:tcPr>
            <w:tcW w:type="dxa" w:w="417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the same state read backwards</w:t>
            </w:r>
          </w:p>
        </w:tc>
        <w:tc>
          <w:tcPr>
            <w:tcW w:type="dxa" w:w="430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the inverse branch</w:t>
            </w:r>
          </w:p>
        </w:tc>
      </w:tr>
      <w:tr>
        <w:trPr>
          <w:cantSplit/>
        </w:trPr>
        <w:tc>
          <w:tcPr>
            <w:tcW w:type="dxa" w:w="1512"/>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C</w:t>
            </w:r>
            <w:r>
              <w:rPr>
                <w:rFonts w:ascii="Cambria Math" w:hAnsi="Cambria Math"/>
                <w:b w:val="0"/>
                <w:i w:val="0"/>
                <w:color w:val="243040"/>
                <w:sz w:val="18"/>
                <w:vertAlign w:val="subscript"/>
              </w:rPr>
              <w:t>5</w:t>
            </w:r>
          </w:p>
        </w:tc>
        <w:tc>
          <w:tcPr>
            <w:tcW w:type="dxa" w:w="417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normalised imbalance, forward against inverse</w:t>
            </w:r>
          </w:p>
        </w:tc>
        <w:tc>
          <w:tcPr>
            <w:tcW w:type="dxa" w:w="4306"/>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passage is signed, record is not</w:t>
            </w:r>
          </w:p>
        </w:tc>
      </w:tr>
      <w:tr>
        <w:trPr>
          <w:cantSplit/>
        </w:trPr>
        <w:tc>
          <w:tcPr>
            <w:tcW w:type="dxa" w:w="1512"/>
            <w:tcMar>
              <w:top w:w="60" w:type="dxa"/>
              <w:start w:w="90" w:type="dxa"/>
              <w:bottom w:w="60" w:type="dxa"/>
              <w:end w:w="90" w:type="dxa"/>
            </w:tcMar>
          </w:tcPr>
          <w:p>
            <w:pPr>
              <w:spacing w:after="0" w:line="269" w:lineRule="auto"/>
              <w:jc w:val="left"/>
            </w:pPr>
            <w:r/>
            <w:r>
              <w:rPr>
                <w:rFonts w:ascii="Cambria Math" w:hAnsi="Cambria Math"/>
                <w:b w:val="0"/>
                <w:i w:val="0"/>
                <w:color w:val="243040"/>
                <w:sz w:val="18"/>
              </w:rPr>
              <w:t>s</w:t>
            </w:r>
            <w:r>
              <w:rPr>
                <w:rFonts w:ascii="Cambria Math" w:hAnsi="Cambria Math"/>
                <w:b w:val="0"/>
                <w:i w:val="0"/>
                <w:color w:val="243040"/>
                <w:sz w:val="18"/>
                <w:vertAlign w:val="superscript"/>
              </w:rPr>
              <w:t>10</w:t>
            </w:r>
            <w:r>
              <w:rPr>
                <w:rFonts w:ascii="Cambria Math" w:hAnsi="Cambria Math"/>
                <w:b w:val="0"/>
                <w:i w:val="0"/>
                <w:color w:val="243040"/>
                <w:sz w:val="18"/>
              </w:rPr>
              <w:t xml:space="preserve"> = (s</w:t>
            </w:r>
            <w:r>
              <w:rPr>
                <w:rFonts w:ascii="Cambria Math" w:hAnsi="Cambria Math"/>
                <w:b w:val="0"/>
                <w:i w:val="0"/>
                <w:color w:val="243040"/>
                <w:sz w:val="18"/>
                <w:vertAlign w:val="superscript"/>
              </w:rPr>
              <w:t>5</w:t>
            </w:r>
            <w:r>
              <w:rPr>
                <w:rFonts w:ascii="Cambria Math" w:hAnsi="Cambria Math"/>
                <w:b w:val="0"/>
                <w:i w:val="0"/>
                <w:color w:val="243040"/>
                <w:sz w:val="18"/>
              </w:rPr>
              <w:t>)²</w:t>
            </w:r>
          </w:p>
        </w:tc>
        <w:tc>
          <w:tcPr>
            <w:tcW w:type="dxa" w:w="4176"/>
            <w:tcMar>
              <w:top w:w="60" w:type="dxa"/>
              <w:start w:w="90" w:type="dxa"/>
              <w:bottom w:w="60" w:type="dxa"/>
              <w:end w:w="90" w:type="dxa"/>
            </w:tcMar>
          </w:tcPr>
          <w:p>
            <w:pPr>
              <w:spacing w:after="0" w:line="269" w:lineRule="auto"/>
              <w:jc w:val="left"/>
            </w:pPr>
            <w:r/>
            <w:r>
              <w:rPr>
                <w:rFonts w:ascii="Constantia" w:hAnsi="Constantia"/>
                <w:b w:val="0"/>
                <w:i w:val="0"/>
                <w:color w:val="243040"/>
                <w:sz w:val="18"/>
              </w:rPr>
              <w:t>one complete out-and-back traversal</w:t>
            </w:r>
          </w:p>
        </w:tc>
        <w:tc>
          <w:tcPr>
            <w:tcW w:type="dxa" w:w="4306"/>
            <w:tcMar>
              <w:top w:w="60" w:type="dxa"/>
              <w:start w:w="90" w:type="dxa"/>
              <w:bottom w:w="60" w:type="dxa"/>
              <w:end w:w="90" w:type="dxa"/>
            </w:tcMar>
          </w:tcPr>
          <w:p>
            <w:pPr>
              <w:spacing w:after="0" w:line="269" w:lineRule="auto"/>
              <w:jc w:val="left"/>
            </w:pPr>
            <w:r/>
            <w:r>
              <w:rPr>
                <w:rFonts w:ascii="Constantia" w:hAnsi="Constantia"/>
                <w:b w:val="0"/>
                <w:i w:val="0"/>
                <w:color w:val="243040"/>
                <w:sz w:val="18"/>
              </w:rPr>
              <w:t>the product of the two branches</w:t>
            </w:r>
          </w:p>
        </w:tc>
      </w:tr>
    </w:tbl>
    <w:p>
      <w:pPr>
        <w:keepNext w:val="0"/>
        <w:spacing w:before="0" w:after="8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EXPONENT TEN, FOR FREE</w:t>
            </w:r>
          </w:p>
          <w:p>
            <w:pPr>
              <w:spacing w:after="120" w:line="283" w:lineRule="auto"/>
              <w:jc w:val="both"/>
            </w:pPr>
            <w:r>
              <w:rPr>
                <w:rFonts w:ascii="Constantia" w:hAnsi="Constantia"/>
                <w:b w:val="0"/>
                <w:color w:val="243040"/>
                <w:sz w:val="19"/>
              </w:rPr>
              <w:t>Because s</w:t>
            </w:r>
            <w:r>
              <w:rPr>
                <w:rFonts w:ascii="Constantia" w:hAnsi="Constantia"/>
                <w:b w:val="0"/>
                <w:color w:val="243040"/>
                <w:sz w:val="19"/>
                <w:vertAlign w:val="superscript"/>
              </w:rPr>
              <w:t>10</w:t>
            </w:r>
            <w:r>
              <w:rPr>
                <w:rFonts w:ascii="Constantia" w:hAnsi="Constantia"/>
                <w:b w:val="0"/>
                <w:color w:val="243040"/>
                <w:sz w:val="19"/>
              </w:rPr>
              <w:t xml:space="preserve"> is (s</w:t>
            </w:r>
            <w:r>
              <w:rPr>
                <w:rFonts w:ascii="Constantia" w:hAnsi="Constantia"/>
                <w:b w:val="0"/>
                <w:color w:val="243040"/>
                <w:sz w:val="19"/>
                <w:vertAlign w:val="superscript"/>
              </w:rPr>
              <w:t>5</w:t>
            </w:r>
            <w:r>
              <w:rPr>
                <w:rFonts w:ascii="Constantia" w:hAnsi="Constantia"/>
                <w:b w:val="0"/>
                <w:color w:val="243040"/>
                <w:sz w:val="19"/>
              </w:rPr>
              <w:t>)², the tenth power is not a second assumption. It is one forward pass through the five-dimensional observer state and one return.</w:t>
            </w:r>
          </w:p>
          <w:p>
            <w:pPr>
              <w:spacing w:after="0" w:line="283" w:lineRule="auto"/>
              <w:jc w:val="both"/>
            </w:pPr>
            <w:r>
              <w:rPr>
                <w:rFonts w:ascii="Constantia" w:hAnsi="Constantia"/>
                <w:b w:val="0"/>
                <w:color w:val="243040"/>
                <w:sz w:val="19"/>
              </w:rPr>
              <w:t xml:space="preserve">That is the helix, stated in retention rather than in geometry: </w:t>
            </w:r>
            <w:r>
              <w:rPr>
                <w:rFonts w:ascii="Constantia" w:hAnsi="Constantia"/>
                <w:b/>
                <w:color w:val="243040"/>
                <w:sz w:val="19"/>
              </w:rPr>
              <w:t>the phase comes back and the height does not.</w:t>
            </w:r>
            <w:r>
              <w:rPr>
                <w:rFonts w:ascii="Constantia" w:hAnsi="Constantia"/>
                <w:b w:val="0"/>
                <w:color w:val="243040"/>
                <w:sz w:val="19"/>
              </w:rPr>
              <w:t xml:space="preserve"> The forward branch and the inverse branch are the two things the record coordinate exists to distinguish, and C</w:t>
            </w:r>
            <w:r>
              <w:rPr>
                <w:rFonts w:ascii="Constantia" w:hAnsi="Constantia"/>
                <w:b w:val="0"/>
                <w:color w:val="243040"/>
                <w:sz w:val="19"/>
                <w:vertAlign w:val="subscript"/>
              </w:rPr>
              <w:t>5</w:t>
            </w:r>
            <w:r>
              <w:rPr>
                <w:rFonts w:ascii="Constantia" w:hAnsi="Constantia"/>
                <w:b w:val="0"/>
                <w:color w:val="243040"/>
                <w:sz w:val="19"/>
              </w:rPr>
              <w:t xml:space="preserve"> is precisely their imbalance.</w:t>
            </w:r>
          </w:p>
        </w:tc>
      </w:tr>
    </w:tbl>
    <w:p>
      <w:pPr>
        <w:keepNext w:val="0"/>
        <w:spacing w:before="0" w:after="80" w:line="293" w:lineRule="auto"/>
        <w:jc w:val="both"/>
      </w:pPr>
    </w:p>
    <w:p>
      <w:pPr>
        <w:keepNext w:val="0"/>
        <w:spacing w:before="20" w:after="200" w:line="264" w:lineRule="auto"/>
        <w:ind w:left="317"/>
        <w:jc w:val="both"/>
      </w:pPr>
      <w:r>
        <w:rPr>
          <w:rFonts w:ascii="Constantia" w:hAnsi="Constantia" w:eastAsia="Constantia"/>
          <w:b w:val="0"/>
          <w:i/>
          <w:color w:val="5B6B7A"/>
          <w:sz w:val="18"/>
        </w:rPr>
        <w:t>The five is therefore derived, not posited. The operator follows from the observer-state dimension, which follows from the theorem. No step in that chain is free.</w:t>
      </w:r>
    </w:p>
    <w:p>
      <w:pPr>
        <w:keepNext/>
        <w:spacing w:before="440" w:after="40" w:line="293" w:lineRule="auto"/>
        <w:jc w:val="left"/>
      </w:pPr>
      <w:r>
        <w:rPr>
          <w:rFonts w:ascii="Constantia" w:hAnsi="Constantia" w:eastAsia="Constantia"/>
          <w:b/>
          <w:i w:val="0"/>
          <w:caps/>
          <w:color w:val="B48A2E"/>
          <w:sz w:val="21"/>
        </w:rPr>
        <w:t>Section three</w:t>
      </w:r>
    </w:p>
    <w:p>
      <w:pPr>
        <w:keepNext/>
        <w:spacing w:before="0" w:after="160" w:line="293" w:lineRule="auto"/>
        <w:jc w:val="left"/>
        <w:pBdr>
          <w:bottom w:val="single" w:sz="6" w:space="4" w:color="B48A2E"/>
        </w:pBdr>
      </w:pPr>
      <w:r>
        <w:rPr>
          <w:rFonts w:ascii="Constantia" w:hAnsi="Constantia" w:eastAsia="Constantia"/>
          <w:b/>
          <w:i w:val="0"/>
          <w:color w:val="102A43"/>
          <w:sz w:val="30"/>
        </w:rPr>
        <w:t>Making it invariant</w:t>
      </w:r>
    </w:p>
    <w:p>
      <w:pPr>
        <w:keepNext/>
        <w:spacing w:before="80" w:after="200" w:line="293" w:lineRule="auto"/>
        <w:jc w:val="left"/>
      </w:pPr>
      <w:r>
        <w:rPr>
          <w:rFonts w:ascii="Constantia" w:hAnsi="Constantia" w:eastAsia="Constantia"/>
          <w:b w:val="0"/>
          <w:i/>
          <w:color w:val="5B6B7A"/>
          <w:sz w:val="20"/>
        </w:rPr>
        <w:t>Two open questions were the same question, and answering it once answers both.</w:t>
      </w:r>
    </w:p>
    <w:p>
      <w:pPr>
        <w:keepNext w:val="0"/>
        <w:spacing w:before="0" w:after="140" w:line="293" w:lineRule="auto"/>
        <w:jc w:val="both"/>
      </w:pPr>
      <w:r>
        <w:rPr>
          <w:rFonts w:ascii="Constantia" w:hAnsi="Constantia" w:eastAsia="Constantia"/>
          <w:b w:val="0"/>
          <w:i w:val="0"/>
          <w:color w:val="243040"/>
          <w:sz w:val="21"/>
        </w:rPr>
        <w:t xml:space="preserve">The decimal-lift form carries a real problem, and the document that introduced it flagged it. The residual is not approximately proportional to the declared unit, it </w:t>
      </w:r>
      <w:r>
        <w:rPr>
          <w:rFonts w:ascii="Constantia" w:hAnsi="Constantia" w:eastAsia="Constantia"/>
          <w:b/>
          <w:i w:val="0"/>
          <w:color w:val="243040"/>
          <w:sz w:val="21"/>
        </w:rPr>
        <w:t>is</w:t>
      </w:r>
      <w:r>
        <w:rPr>
          <w:rFonts w:ascii="Constantia" w:hAnsi="Constantia" w:eastAsia="Constantia"/>
          <w:b w:val="0"/>
          <w:i w:val="0"/>
          <w:color w:val="243040"/>
          <w:sz w:val="21"/>
        </w:rPr>
        <w:t xml:space="preserve"> the declared unit:</w:t>
      </w:r>
    </w:p>
    <w:p>
      <w:pPr>
        <w:keepNext w:val="0"/>
        <w:spacing w:before="140" w:after="180" w:line="240" w:lineRule="auto"/>
        <w:jc w:val="center"/>
      </w:pPr>
      <w:r>
        <w:rPr>
          <w:rFonts w:ascii="Cambria Math" w:hAnsi="Cambria Math" w:eastAsia="Cambria Math"/>
          <w:b/>
          <w:i w:val="0"/>
          <w:color w:val="102A43"/>
          <w:sz w:val="24"/>
        </w:rPr>
        <w:t>ε  =  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(λq/q</w:t>
      </w:r>
      <w:r>
        <w:rPr>
          <w:rFonts w:ascii="Cambria Math" w:hAnsi="Cambria Math" w:eastAsia="Cambria Math"/>
          <w:b/>
          <w:i w:val="0"/>
          <w:color w:val="102A43"/>
          <w:sz w:val="24"/>
          <w:vertAlign w:val="subscript"/>
        </w:rPr>
        <w:t>0</w:t>
      </w:r>
      <w:r>
        <w:rPr>
          <w:rFonts w:ascii="Cambria Math" w:hAnsi="Cambria Math" w:eastAsia="Cambria Math"/>
          <w:b/>
          <w:i w:val="0"/>
          <w:color w:val="102A43"/>
          <w:sz w:val="24"/>
        </w:rPr>
        <w:t>) − 1  ≈  − 5 q</w:t>
      </w:r>
      <w:r>
        <w:rPr>
          <w:rFonts w:ascii="Cambria Math" w:hAnsi="Cambria Math" w:eastAsia="Cambria Math"/>
          <w:b/>
          <w:i w:val="0"/>
          <w:color w:val="102A43"/>
          <w:sz w:val="24"/>
          <w:vertAlign w:val="subscript"/>
        </w:rPr>
        <w:t>0</w:t>
      </w:r>
      <w:r>
        <w:rPr>
          <w:rFonts w:ascii="Cambria Math" w:hAnsi="Cambria Math" w:eastAsia="Cambria Math"/>
          <w:b/>
          <w:i w:val="0"/>
          <w:color w:val="102A43"/>
          <w:sz w:val="24"/>
        </w:rPr>
        <w:t xml:space="preserve"> / (λ q)</w:t>
      </w:r>
    </w:p>
    <w:p>
      <w:pPr>
        <w:keepNext w:val="0"/>
        <w:spacing w:before="0" w:after="140" w:line="293" w:lineRule="auto"/>
        <w:jc w:val="both"/>
      </w:pPr>
      <w:r>
        <w:rPr>
          <w:rFonts w:ascii="Constantia" w:hAnsi="Constantia" w:eastAsia="Constantia"/>
          <w:b w:val="0"/>
          <w:i w:val="0"/>
          <w:color w:val="243040"/>
          <w:sz w:val="21"/>
        </w:rPr>
        <w:t>Verified numerically against the exact operator to four decimal places. Which means the same operator on the same body returns whatever the unit chooses:</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2664"/>
        <w:gridCol w:w="3816"/>
        <w:gridCol w:w="3513"/>
      </w:tblGrid>
      <w:tr>
        <w:trPr>
          <w:tblHeader/>
          <w:cantSplit/>
        </w:trPr>
        <w:tc>
          <w:tcPr>
            <w:tcW w:type="dxa" w:w="266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Declared unit q</w:t>
            </w:r>
            <w:r>
              <w:rPr>
                <w:rFonts w:ascii="Constantia" w:hAnsi="Constantia"/>
                <w:b/>
                <w:i w:val="0"/>
                <w:color w:val="102A43"/>
                <w:sz w:val="17"/>
                <w:vertAlign w:val="subscript"/>
              </w:rPr>
              <w:t>0</w:t>
            </w:r>
          </w:p>
        </w:tc>
        <w:tc>
          <w:tcPr>
            <w:tcW w:type="dxa" w:w="3816"/>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Jupiter surface gravity, λ = 10</w:t>
            </w:r>
          </w:p>
        </w:tc>
        <w:tc>
          <w:tcPr>
            <w:tcW w:type="dxa" w:w="351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Residual ε</w:t>
            </w:r>
          </w:p>
        </w:tc>
      </w:tr>
      <w:tr>
        <w:trPr>
          <w:cantSplit/>
        </w:trPr>
        <w:tc>
          <w:tcPr>
            <w:tcW w:type="dxa" w:w="266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1 m/s²</w:t>
            </w:r>
          </w:p>
        </w:tc>
        <w:tc>
          <w:tcPr>
            <w:tcW w:type="dxa" w:w="381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u = 247.9</w:t>
            </w:r>
          </w:p>
        </w:tc>
        <w:tc>
          <w:tcPr>
            <w:tcW w:type="dxa" w:w="3514"/>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−2.013%</w:t>
            </w:r>
          </w:p>
        </w:tc>
      </w:tr>
      <w:tr>
        <w:trPr>
          <w:cantSplit/>
        </w:trPr>
        <w:tc>
          <w:tcPr>
            <w:tcW w:type="dxa" w:w="266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1 ft/s²</w:t>
            </w:r>
          </w:p>
        </w:tc>
        <w:tc>
          <w:tcPr>
            <w:tcW w:type="dxa" w:w="381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u = 813.3</w:t>
            </w:r>
          </w:p>
        </w:tc>
        <w:tc>
          <w:tcPr>
            <w:tcW w:type="dxa" w:w="3514"/>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−0.614%</w:t>
            </w:r>
          </w:p>
        </w:tc>
      </w:tr>
      <w:tr>
        <w:trPr>
          <w:cantSplit/>
        </w:trPr>
        <w:tc>
          <w:tcPr>
            <w:tcW w:type="dxa" w:w="266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1 cm/s²</w:t>
            </w:r>
          </w:p>
        </w:tc>
        <w:tc>
          <w:tcPr>
            <w:tcW w:type="dxa" w:w="381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u = 24 790</w:t>
            </w:r>
          </w:p>
        </w:tc>
        <w:tc>
          <w:tcPr>
            <w:tcW w:type="dxa" w:w="3514"/>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−0.020%</w:t>
            </w:r>
          </w:p>
        </w:tc>
      </w:tr>
      <w:tr>
        <w:trPr>
          <w:cantSplit/>
        </w:trPr>
        <w:tc>
          <w:tcPr>
            <w:tcW w:type="dxa" w:w="266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1 g (Earth)</w:t>
            </w:r>
          </w:p>
        </w:tc>
        <w:tc>
          <w:tcPr>
            <w:tcW w:type="dxa" w:w="3816"/>
            <w:tcMar>
              <w:top w:w="60" w:type="dxa"/>
              <w:start w:w="90" w:type="dxa"/>
              <w:bottom w:w="60" w:type="dxa"/>
              <w:end w:w="90" w:type="dxa"/>
            </w:tcMar>
          </w:tcPr>
          <w:p>
            <w:pPr>
              <w:keepNext/>
              <w:spacing w:after="0" w:line="269" w:lineRule="auto"/>
              <w:jc w:val="left"/>
            </w:pPr>
            <w:r/>
            <w:r>
              <w:rPr>
                <w:rFonts w:ascii="Cambria Math" w:hAnsi="Cambria Math"/>
                <w:b w:val="0"/>
                <w:i w:val="0"/>
                <w:color w:val="243040"/>
                <w:sz w:val="18"/>
              </w:rPr>
              <w:t>u = 25.28</w:t>
            </w:r>
          </w:p>
        </w:tc>
        <w:tc>
          <w:tcPr>
            <w:tcW w:type="dxa" w:w="3514"/>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−19.16%</w:t>
            </w:r>
          </w:p>
        </w:tc>
      </w:tr>
      <w:tr>
        <w:trPr>
          <w:cantSplit/>
        </w:trPr>
        <w:tc>
          <w:tcPr>
            <w:tcW w:type="dxa" w:w="2664"/>
            <w:tcMar>
              <w:top w:w="60" w:type="dxa"/>
              <w:start w:w="90" w:type="dxa"/>
              <w:bottom w:w="60" w:type="dxa"/>
              <w:end w:w="90" w:type="dxa"/>
            </w:tcMar>
          </w:tcPr>
          <w:p>
            <w:pPr>
              <w:spacing w:after="0" w:line="269" w:lineRule="auto"/>
              <w:jc w:val="left"/>
            </w:pPr>
            <w:r/>
            <w:r>
              <w:rPr>
                <w:rFonts w:ascii="Constantia" w:hAnsi="Constantia"/>
                <w:b w:val="0"/>
                <w:i w:val="0"/>
                <w:color w:val="243040"/>
                <w:sz w:val="18"/>
              </w:rPr>
              <w:t>1 km/s²</w:t>
            </w:r>
          </w:p>
        </w:tc>
        <w:tc>
          <w:tcPr>
            <w:tcW w:type="dxa" w:w="3816"/>
            <w:tcMar>
              <w:top w:w="60" w:type="dxa"/>
              <w:start w:w="90" w:type="dxa"/>
              <w:bottom w:w="60" w:type="dxa"/>
              <w:end w:w="90" w:type="dxa"/>
            </w:tcMar>
          </w:tcPr>
          <w:p>
            <w:pPr>
              <w:spacing w:after="0" w:line="269" w:lineRule="auto"/>
              <w:jc w:val="left"/>
            </w:pPr>
            <w:r/>
            <w:r>
              <w:rPr>
                <w:rFonts w:ascii="Cambria Math" w:hAnsi="Cambria Math"/>
                <w:b w:val="0"/>
                <w:i w:val="0"/>
                <w:color w:val="243040"/>
                <w:sz w:val="18"/>
              </w:rPr>
              <w:t>u = 0.2479</w:t>
            </w:r>
          </w:p>
        </w:tc>
        <w:tc>
          <w:tcPr>
            <w:tcW w:type="dxa" w:w="3514"/>
            <w:tcMar>
              <w:top w:w="60" w:type="dxa"/>
              <w:start w:w="90" w:type="dxa"/>
              <w:bottom w:w="60" w:type="dxa"/>
              <w:end w:w="90" w:type="dxa"/>
            </w:tcMar>
          </w:tcPr>
          <w:p>
            <w:pPr>
              <w:spacing w:after="0" w:line="269" w:lineRule="auto"/>
              <w:jc w:val="center"/>
            </w:pPr>
            <w:r/>
            <w:r>
              <w:rPr>
                <w:rFonts w:ascii="Constantia" w:hAnsi="Constantia"/>
                <w:b w:val="0"/>
                <w:i w:val="0"/>
                <w:color w:val="243040"/>
                <w:sz w:val="18"/>
              </w:rPr>
              <w:t>−99.99998%</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So the Jupiter number is a statement about the metre and the second. It cannot be set beside a relativistic residual, because the two are not answering the same question.</w:t>
      </w:r>
    </w:p>
    <w:p>
      <w:pPr>
        <w:keepNext w:val="0"/>
        <w:spacing w:before="0" w:after="140" w:line="293" w:lineRule="auto"/>
        <w:jc w:val="both"/>
      </w:pPr>
      <w:r>
        <w:rPr>
          <w:rFonts w:ascii="Constantia" w:hAnsi="Constantia" w:eastAsia="Constantia"/>
          <w:b/>
          <w:i w:val="0"/>
          <w:color w:val="243040"/>
          <w:sz w:val="21"/>
        </w:rPr>
        <w:t>The fix is already in the document, one subsection earlier.</w:t>
      </w:r>
      <w:r>
        <w:rPr>
          <w:rFonts w:ascii="Constantia" w:hAnsi="Constantia" w:eastAsia="Constantia"/>
          <w:b w:val="0"/>
          <w:i w:val="0"/>
          <w:color w:val="243040"/>
          <w:sz w:val="21"/>
        </w:rPr>
        <w:t xml:space="preserve"> The fixed-resolution form carries exact scale covariance, and the proof is the fourth proposition:</w:t>
      </w:r>
    </w:p>
    <w:p>
      <w:pPr>
        <w:keepNext w:val="0"/>
        <w:spacing w:before="140" w:after="180" w:line="240" w:lineRule="auto"/>
        <w:jc w:val="center"/>
      </w:pPr>
      <w:r>
        <w:rPr>
          <w:rFonts w:ascii="Cambria Math" w:hAnsi="Cambria Math" w:eastAsia="Cambria Math"/>
          <w:b/>
          <w:i w:val="0"/>
          <w:color w:val="102A43"/>
          <w:sz w:val="24"/>
        </w:rPr>
        <w:t>q</w:t>
      </w:r>
      <w:r>
        <w:rPr>
          <w:rFonts w:ascii="Cambria Math" w:hAnsi="Cambria Math" w:eastAsia="Cambria Math"/>
          <w:b/>
          <w:i w:val="0"/>
          <w:color w:val="102A43"/>
          <w:sz w:val="24"/>
          <w:vertAlign w:val="subscript"/>
        </w:rPr>
        <w:t>P</w:t>
      </w:r>
      <w:r>
        <w:rPr>
          <w:rFonts w:ascii="Cambria Math" w:hAnsi="Cambria Math" w:eastAsia="Cambria Math"/>
          <w:b/>
          <w:i w:val="0"/>
          <w:color w:val="102A43"/>
          <w:sz w:val="24"/>
        </w:rPr>
        <w:t>R(αq, N) = α · q</w:t>
      </w:r>
      <w:r>
        <w:rPr>
          <w:rFonts w:ascii="Cambria Math" w:hAnsi="Cambria Math" w:eastAsia="Cambria Math"/>
          <w:b/>
          <w:i w:val="0"/>
          <w:color w:val="102A43"/>
          <w:sz w:val="24"/>
          <w:vertAlign w:val="subscript"/>
        </w:rPr>
        <w:t>P</w:t>
      </w:r>
      <w:r>
        <w:rPr>
          <w:rFonts w:ascii="Cambria Math" w:hAnsi="Cambria Math" w:eastAsia="Cambria Math"/>
          <w:b/>
          <w:i w:val="0"/>
          <w:color w:val="102A43"/>
          <w:sz w:val="24"/>
        </w:rPr>
        <w:t>R(q, N)</w:t>
      </w:r>
    </w:p>
    <w:p>
      <w:pPr>
        <w:keepNext w:val="0"/>
        <w:spacing w:before="0" w:after="140" w:line="293" w:lineRule="auto"/>
        <w:jc w:val="both"/>
      </w:pPr>
      <w:r>
        <w:rPr>
          <w:rFonts w:ascii="Constantia" w:hAnsi="Constantia" w:eastAsia="Constantia"/>
          <w:b w:val="0"/>
          <w:i w:val="0"/>
          <w:color w:val="243040"/>
          <w:sz w:val="21"/>
        </w:rPr>
        <w:t>That form is invariant. It is invariant because N does not depend on the magnitude of q. So the whole difficulty reduces to one question: what is N, physically, rather than numerically. And there is one answer that is unit-free by construction.</w:t>
      </w: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INVARIANT DEFINITION OF RESOLUTION</w:t>
            </w:r>
          </w:p>
          <w:p>
            <w:pPr>
              <w:spacing w:after="120" w:line="283" w:lineRule="auto"/>
              <w:jc w:val="both"/>
            </w:pPr>
            <w:r>
              <w:rPr>
                <w:rFonts w:ascii="Constantia" w:hAnsi="Constantia"/>
                <w:b/>
                <w:color w:val="243040"/>
                <w:sz w:val="19"/>
              </w:rPr>
              <w:t>N = q / δq.</w:t>
            </w:r>
            <w:r>
              <w:rPr>
                <w:rFonts w:ascii="Constantia" w:hAnsi="Constantia"/>
                <w:b w:val="0"/>
                <w:color w:val="243040"/>
                <w:sz w:val="19"/>
              </w:rPr>
              <w:t xml:space="preserve"> The quantity divided by its own uncertainty. The number of distinguishable levels the observer actually holds.</w:t>
            </w:r>
          </w:p>
          <w:p>
            <w:pPr>
              <w:spacing w:after="120" w:line="283" w:lineRule="auto"/>
              <w:jc w:val="both"/>
            </w:pPr>
            <w:r>
              <w:rPr>
                <w:rFonts w:ascii="Constantia" w:hAnsi="Constantia"/>
                <w:b w:val="0"/>
                <w:color w:val="243040"/>
                <w:sz w:val="19"/>
              </w:rPr>
              <w:t>This is invariant because a unit change scales q and δq together, so their ratio is untouched. It is physical rather than declared, because δq is a property of the measurement and not of the notation. And it makes the sampling depth literal: σ = log</w:t>
            </w:r>
            <w:r>
              <w:rPr>
                <w:rFonts w:ascii="Constantia" w:hAnsi="Constantia"/>
                <w:b w:val="0"/>
                <w:color w:val="243040"/>
                <w:sz w:val="19"/>
                <w:vertAlign w:val="subscript"/>
              </w:rPr>
              <w:t>10</w:t>
            </w:r>
            <w:r>
              <w:rPr>
                <w:rFonts w:ascii="Constantia" w:hAnsi="Constantia"/>
                <w:b w:val="0"/>
                <w:color w:val="243040"/>
                <w:sz w:val="19"/>
              </w:rPr>
              <w:t>(q/δq) is the number of significant digits, so a tenfold lift really is one more digit.</w:t>
            </w:r>
          </w:p>
          <w:p>
            <w:pPr>
              <w:spacing w:after="0" w:line="283" w:lineRule="auto"/>
              <w:jc w:val="both"/>
            </w:pPr>
            <w:r>
              <w:rPr>
                <w:rFonts w:ascii="Constantia" w:hAnsi="Constantia"/>
                <w:b w:val="0"/>
                <w:color w:val="243040"/>
                <w:sz w:val="19"/>
              </w:rPr>
              <w:t xml:space="preserve">The unresolved fraction then reads </w:t>
            </w:r>
            <w:r>
              <w:rPr>
                <w:rFonts w:ascii="Constantia" w:hAnsi="Constantia"/>
                <w:b/>
                <w:color w:val="243040"/>
                <w:sz w:val="19"/>
              </w:rPr>
              <w:t>5 δq / q, five times the relative uncertainty.</w:t>
            </w:r>
            <w:r>
              <w:rPr>
                <w:rFonts w:ascii="Constantia" w:hAnsi="Constantia"/>
                <w:b w:val="0"/>
                <w:color w:val="243040"/>
                <w:sz w:val="19"/>
              </w:rPr>
              <w:t xml:space="preserve"> Five, because five observer coordinates. A quantity known to one part in a thousand carries a deficit of half a per cent.</w:t>
            </w:r>
          </w:p>
        </w:tc>
      </w:tr>
    </w:tbl>
    <w:p>
      <w:pPr>
        <w:keepNext w:val="0"/>
        <w:spacing w:before="0" w:after="80" w:line="293" w:lineRule="auto"/>
        <w:jc w:val="both"/>
      </w:pPr>
    </w:p>
    <w:p>
      <w:pPr>
        <w:keepNext w:val="0"/>
        <w:spacing w:before="20" w:after="200" w:line="264" w:lineRule="auto"/>
        <w:ind w:left="317"/>
        <w:jc w:val="both"/>
      </w:pPr>
      <w:r>
        <w:rPr>
          <w:rFonts w:ascii="Constantia" w:hAnsi="Constantia" w:eastAsia="Constantia"/>
          <w:b w:val="0"/>
          <w:i/>
          <w:color w:val="5B6B7A"/>
          <w:sz w:val="18"/>
        </w:rPr>
        <w:t>This answers the first open question, on the physical definition of N, and the fourth, on the reference scale that makes the operator unit invariant. They were one question. The reference scale is the uncertainty, and the resolution is the reciprocal of the relative uncertainty.</w:t>
      </w:r>
    </w:p>
    <w:p>
      <w:pPr>
        <w:keepNext w:val="0"/>
        <w:spacing w:before="0" w:after="140" w:line="293" w:lineRule="auto"/>
        <w:jc w:val="both"/>
      </w:pPr>
      <w:r>
        <w:rPr>
          <w:rFonts w:ascii="Constantia" w:hAnsi="Constantia" w:eastAsia="Constantia"/>
          <w:b w:val="0"/>
          <w:i w:val="0"/>
          <w:color w:val="243040"/>
          <w:sz w:val="21"/>
        </w:rPr>
        <w:t>It also disposes of λ. Once N is q/δq there is no lift to choose: the operator is evaluated at the resolution the measurement actually has. The pair of free choices collapses to none.</w:t>
      </w:r>
    </w:p>
    <w:p>
      <w:pPr>
        <w:keepNext/>
        <w:spacing w:before="440" w:after="40" w:line="293" w:lineRule="auto"/>
        <w:jc w:val="left"/>
      </w:pPr>
      <w:r>
        <w:rPr>
          <w:rFonts w:ascii="Constantia" w:hAnsi="Constantia" w:eastAsia="Constantia"/>
          <w:b/>
          <w:i w:val="0"/>
          <w:caps/>
          <w:color w:val="B48A2E"/>
          <w:sz w:val="21"/>
        </w:rPr>
        <w:t>Section four</w:t>
      </w:r>
    </w:p>
    <w:p>
      <w:pPr>
        <w:keepNext/>
        <w:spacing w:before="0" w:after="160" w:line="293" w:lineRule="auto"/>
        <w:jc w:val="left"/>
        <w:pBdr>
          <w:bottom w:val="single" w:sz="6" w:space="4" w:color="B48A2E"/>
        </w:pBdr>
      </w:pPr>
      <w:r>
        <w:rPr>
          <w:rFonts w:ascii="Constantia" w:hAnsi="Constantia" w:eastAsia="Constantia"/>
          <w:b/>
          <w:i w:val="0"/>
          <w:color w:val="102A43"/>
          <w:sz w:val="30"/>
        </w:rPr>
        <w:t>Where the operator is allowed to speak</w:t>
      </w:r>
    </w:p>
    <w:p>
      <w:pPr>
        <w:keepNext/>
        <w:spacing w:before="80" w:after="200" w:line="293" w:lineRule="auto"/>
        <w:jc w:val="left"/>
      </w:pPr>
      <w:r>
        <w:rPr>
          <w:rFonts w:ascii="Constantia" w:hAnsi="Constantia" w:eastAsia="Constantia"/>
          <w:b w:val="0"/>
          <w:i/>
          <w:color w:val="5B6B7A"/>
          <w:sz w:val="20"/>
        </w:rPr>
        <w:t>H</w:t>
      </w:r>
      <w:r>
        <w:rPr>
          <w:rFonts w:ascii="Constantia" w:hAnsi="Constantia" w:eastAsia="Constantia"/>
          <w:b w:val="0"/>
          <w:i/>
          <w:color w:val="5B6B7A"/>
          <w:sz w:val="20"/>
          <w:vertAlign w:val="subscript"/>
        </w:rPr>
        <w:t>5</w:t>
      </w:r>
      <w:r>
        <w:rPr>
          <w:rFonts w:ascii="Constantia" w:hAnsi="Constantia" w:eastAsia="Constantia"/>
          <w:b w:val="0"/>
          <w:i/>
          <w:color w:val="5B6B7A"/>
          <w:sz w:val="20"/>
        </w:rPr>
        <w:t xml:space="preserve"> is a correction only in the large-N regime. Below that it is a suppression.</w:t>
      </w:r>
    </w:p>
    <w:p>
      <w:pPr>
        <w:keepNext w:val="0"/>
        <w:spacing w:before="0" w:after="140" w:line="293" w:lineRule="auto"/>
        <w:jc w:val="both"/>
      </w:pPr>
      <w:r>
        <w:rPr>
          <w:rFonts w:ascii="Constantia" w:hAnsi="Constantia" w:eastAsia="Constantia"/>
          <w:b w:val="0"/>
          <w:i w:val="0"/>
          <w:color w:val="243040"/>
          <w:sz w:val="21"/>
        </w:rPr>
        <w:t>The retention is not a small adjustment across its whole domain, and the protocol has to say where it applies:</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224"/>
        <w:gridCol w:w="2088"/>
        <w:gridCol w:w="1800"/>
        <w:gridCol w:w="4881"/>
      </w:tblGrid>
      <w:tr>
        <w:trPr>
          <w:tblHeader/>
          <w:cantSplit/>
        </w:trPr>
        <w:tc>
          <w:tcPr>
            <w:tcW w:type="dxa" w:w="122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N</w:t>
            </w:r>
          </w:p>
        </w:tc>
        <w:tc>
          <w:tcPr>
            <w:tcW w:type="dxa" w:w="2088"/>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H</w:t>
            </w:r>
            <w:r>
              <w:rPr>
                <w:rFonts w:ascii="Constantia" w:hAnsi="Constantia"/>
                <w:b/>
                <w:i w:val="0"/>
                <w:color w:val="102A43"/>
                <w:sz w:val="17"/>
                <w:vertAlign w:val="subscript"/>
              </w:rPr>
              <w:t>5</w:t>
            </w:r>
            <w:r>
              <w:rPr>
                <w:rFonts w:ascii="Constantia" w:hAnsi="Constantia"/>
                <w:b/>
                <w:i w:val="0"/>
                <w:color w:val="102A43"/>
                <w:sz w:val="17"/>
              </w:rPr>
              <w:t>(N)</w:t>
            </w:r>
          </w:p>
        </w:tc>
        <w:tc>
          <w:tcPr>
            <w:tcW w:type="dxa" w:w="180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Deficit</w:t>
            </w:r>
          </w:p>
        </w:tc>
        <w:tc>
          <w:tcPr>
            <w:tcW w:type="dxa" w:w="488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Regime</w:t>
            </w:r>
          </w:p>
        </w:tc>
      </w:tr>
      <w:tr>
        <w:trPr>
          <w:cantSplit/>
        </w:trPr>
        <w:tc>
          <w:tcPr>
            <w:tcW w:type="dxa" w:w="122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1</w:t>
            </w:r>
          </w:p>
        </w:tc>
        <w:tc>
          <w:tcPr>
            <w:tcW w:type="dxa" w:w="208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0.001951</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−99.8%</w:t>
            </w:r>
          </w:p>
        </w:tc>
        <w:tc>
          <w:tcPr>
            <w:tcW w:type="dxa" w:w="488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annihilation, not correction</w:t>
            </w:r>
          </w:p>
        </w:tc>
      </w:tr>
      <w:tr>
        <w:trPr>
          <w:cantSplit/>
        </w:trPr>
        <w:tc>
          <w:tcPr>
            <w:tcW w:type="dxa" w:w="122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5</w:t>
            </w:r>
          </w:p>
        </w:tc>
        <w:tc>
          <w:tcPr>
            <w:tcW w:type="dxa" w:w="208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0.278097</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−72.19%</w:t>
            </w:r>
          </w:p>
        </w:tc>
        <w:tc>
          <w:tcPr>
            <w:tcW w:type="dxa" w:w="488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suppression</w:t>
            </w:r>
          </w:p>
        </w:tc>
      </w:tr>
      <w:tr>
        <w:trPr>
          <w:cantSplit/>
        </w:trPr>
        <w:tc>
          <w:tcPr>
            <w:tcW w:type="dxa" w:w="122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10</w:t>
            </w:r>
          </w:p>
        </w:tc>
        <w:tc>
          <w:tcPr>
            <w:tcW w:type="dxa" w:w="208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0.556523</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−44.35%</w:t>
            </w:r>
          </w:p>
        </w:tc>
        <w:tc>
          <w:tcPr>
            <w:tcW w:type="dxa" w:w="488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suppression</w:t>
            </w:r>
          </w:p>
        </w:tc>
      </w:tr>
      <w:tr>
        <w:trPr>
          <w:cantSplit/>
        </w:trPr>
        <w:tc>
          <w:tcPr>
            <w:tcW w:type="dxa" w:w="122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50</w:t>
            </w:r>
          </w:p>
        </w:tc>
        <w:tc>
          <w:tcPr>
            <w:tcW w:type="dxa" w:w="208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0.901309</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−9.87%</w:t>
            </w:r>
          </w:p>
        </w:tc>
        <w:tc>
          <w:tcPr>
            <w:tcW w:type="dxa" w:w="488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onset of the correction regime</w:t>
            </w:r>
          </w:p>
        </w:tc>
      </w:tr>
      <w:tr>
        <w:trPr>
          <w:cantSplit/>
        </w:trPr>
        <w:tc>
          <w:tcPr>
            <w:tcW w:type="dxa" w:w="122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169.44</w:t>
            </w:r>
          </w:p>
        </w:tc>
        <w:tc>
          <w:tcPr>
            <w:tcW w:type="dxa" w:w="208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0.970587</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−2.94%</w:t>
            </w:r>
          </w:p>
        </w:tc>
        <w:tc>
          <w:tcPr>
            <w:tcW w:type="dxa" w:w="4882"/>
            <w:tcMar>
              <w:top w:w="60" w:type="dxa"/>
              <w:start w:w="90" w:type="dxa"/>
              <w:bottom w:w="60" w:type="dxa"/>
              <w:end w:w="90" w:type="dxa"/>
            </w:tcMar>
          </w:tcPr>
          <w:p>
            <w:pPr>
              <w:keepNext/>
              <w:spacing w:after="0" w:line="269" w:lineRule="auto"/>
              <w:jc w:val="left"/>
            </w:pPr>
            <w:r/>
            <w:r>
              <w:rPr>
                <w:rFonts w:ascii="Constantia" w:hAnsi="Constantia"/>
                <w:b/>
                <w:i w:val="0"/>
                <w:color w:val="243040"/>
                <w:sz w:val="18"/>
              </w:rPr>
              <w:t>the floor. see section five</w:t>
            </w:r>
          </w:p>
        </w:tc>
      </w:tr>
      <w:tr>
        <w:trPr>
          <w:cantSplit/>
        </w:trPr>
        <w:tc>
          <w:tcPr>
            <w:tcW w:type="dxa" w:w="122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1 000</w:t>
            </w:r>
          </w:p>
        </w:tc>
        <w:tc>
          <w:tcPr>
            <w:tcW w:type="dxa" w:w="208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0.995003</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−0.500%</w:t>
            </w:r>
          </w:p>
        </w:tc>
        <w:tc>
          <w:tcPr>
            <w:tcW w:type="dxa" w:w="488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correction</w:t>
            </w:r>
          </w:p>
        </w:tc>
      </w:tr>
      <w:tr>
        <w:trPr>
          <w:cantSplit/>
        </w:trPr>
        <w:tc>
          <w:tcPr>
            <w:tcW w:type="dxa" w:w="1224"/>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10⁴</w:t>
            </w:r>
          </w:p>
        </w:tc>
        <w:tc>
          <w:tcPr>
            <w:tcW w:type="dxa" w:w="2088"/>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0.999500</w:t>
            </w:r>
          </w:p>
        </w:tc>
        <w:tc>
          <w:tcPr>
            <w:tcW w:type="dxa" w:w="1800"/>
            <w:tcMar>
              <w:top w:w="60" w:type="dxa"/>
              <w:start w:w="90" w:type="dxa"/>
              <w:bottom w:w="60" w:type="dxa"/>
              <w:end w:w="90" w:type="dxa"/>
            </w:tcMar>
          </w:tcPr>
          <w:p>
            <w:pPr>
              <w:keepNext/>
              <w:spacing w:after="0" w:line="269" w:lineRule="auto"/>
              <w:jc w:val="center"/>
            </w:pPr>
            <w:r/>
            <w:r>
              <w:rPr>
                <w:rFonts w:ascii="Cambria Math" w:hAnsi="Cambria Math"/>
                <w:b w:val="0"/>
                <w:i w:val="0"/>
                <w:color w:val="243040"/>
                <w:sz w:val="18"/>
              </w:rPr>
              <w:t>−0.050%</w:t>
            </w:r>
          </w:p>
        </w:tc>
        <w:tc>
          <w:tcPr>
            <w:tcW w:type="dxa" w:w="488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correction</w:t>
            </w:r>
          </w:p>
        </w:tc>
      </w:tr>
      <w:tr>
        <w:trPr>
          <w:cantSplit/>
        </w:trPr>
        <w:tc>
          <w:tcPr>
            <w:tcW w:type="dxa" w:w="1224"/>
            <w:tcMar>
              <w:top w:w="60" w:type="dxa"/>
              <w:start w:w="90" w:type="dxa"/>
              <w:bottom w:w="60" w:type="dxa"/>
              <w:end w:w="90" w:type="dxa"/>
            </w:tcMar>
          </w:tcPr>
          <w:p>
            <w:pPr>
              <w:spacing w:after="0" w:line="269" w:lineRule="auto"/>
              <w:jc w:val="center"/>
            </w:pPr>
            <w:r/>
            <w:r>
              <w:rPr>
                <w:rFonts w:ascii="Cambria Math" w:hAnsi="Cambria Math"/>
                <w:b w:val="0"/>
                <w:i w:val="0"/>
                <w:color w:val="243040"/>
                <w:sz w:val="18"/>
              </w:rPr>
              <w:t>10⁶</w:t>
            </w:r>
          </w:p>
        </w:tc>
        <w:tc>
          <w:tcPr>
            <w:tcW w:type="dxa" w:w="2088"/>
            <w:tcMar>
              <w:top w:w="60" w:type="dxa"/>
              <w:start w:w="90" w:type="dxa"/>
              <w:bottom w:w="60" w:type="dxa"/>
              <w:end w:w="90" w:type="dxa"/>
            </w:tcMar>
          </w:tcPr>
          <w:p>
            <w:pPr>
              <w:spacing w:after="0" w:line="269" w:lineRule="auto"/>
              <w:jc w:val="center"/>
            </w:pPr>
            <w:r/>
            <w:r>
              <w:rPr>
                <w:rFonts w:ascii="Cambria Math" w:hAnsi="Cambria Math"/>
                <w:b w:val="0"/>
                <w:i w:val="0"/>
                <w:color w:val="243040"/>
                <w:sz w:val="18"/>
              </w:rPr>
              <w:t>0.999995</w:t>
            </w:r>
          </w:p>
        </w:tc>
        <w:tc>
          <w:tcPr>
            <w:tcW w:type="dxa" w:w="1800"/>
            <w:tcMar>
              <w:top w:w="60" w:type="dxa"/>
              <w:start w:w="90" w:type="dxa"/>
              <w:bottom w:w="60" w:type="dxa"/>
              <w:end w:w="90" w:type="dxa"/>
            </w:tcMar>
          </w:tcPr>
          <w:p>
            <w:pPr>
              <w:spacing w:after="0" w:line="269" w:lineRule="auto"/>
              <w:jc w:val="center"/>
            </w:pPr>
            <w:r/>
            <w:r>
              <w:rPr>
                <w:rFonts w:ascii="Cambria Math" w:hAnsi="Cambria Math"/>
                <w:b w:val="0"/>
                <w:i w:val="0"/>
                <w:color w:val="243040"/>
                <w:sz w:val="18"/>
              </w:rPr>
              <w:t>−0.0005%</w:t>
            </w:r>
          </w:p>
        </w:tc>
        <w:tc>
          <w:tcPr>
            <w:tcW w:type="dxa" w:w="4882"/>
            <w:tcMar>
              <w:top w:w="60" w:type="dxa"/>
              <w:start w:w="90" w:type="dxa"/>
              <w:bottom w:w="60" w:type="dxa"/>
              <w:end w:w="90" w:type="dxa"/>
            </w:tcMar>
          </w:tcPr>
          <w:p>
            <w:pPr>
              <w:spacing w:after="0" w:line="269" w:lineRule="auto"/>
              <w:jc w:val="left"/>
            </w:pPr>
            <w:r/>
            <w:r>
              <w:rPr>
                <w:rFonts w:ascii="Constantia" w:hAnsi="Constantia"/>
                <w:b w:val="0"/>
                <w:i w:val="0"/>
                <w:color w:val="243040"/>
                <w:sz w:val="18"/>
              </w:rPr>
              <w:t>identity to five places</w:t>
            </w:r>
          </w:p>
        </w:tc>
      </w:tr>
    </w:tbl>
    <w:p>
      <w:pPr>
        <w:keepNext w:val="0"/>
        <w:spacing w:before="0" w:after="8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A ROW OF THE PROTOCOL THAT DOES NOT SURVIVE</w:t>
            </w:r>
          </w:p>
          <w:p>
            <w:pPr>
              <w:spacing w:after="120" w:line="283" w:lineRule="auto"/>
              <w:jc w:val="both"/>
            </w:pPr>
            <w:r>
              <w:rPr>
                <w:rFonts w:ascii="Constantia" w:hAnsi="Constantia"/>
                <w:b w:val="0"/>
                <w:color w:val="243040"/>
                <w:sz w:val="19"/>
              </w:rPr>
              <w:t xml:space="preserve">The comparison table proposed applying the operator to Jupiter's compactness, 2GM/Rc². That quantity is 4.03 × 10⁻⁸, so at λ = 10 the operator returns </w:t>
            </w:r>
            <w:r>
              <w:rPr>
                <w:rFonts w:ascii="Constantia" w:hAnsi="Constantia"/>
                <w:b/>
                <w:color w:val="243040"/>
                <w:sz w:val="19"/>
              </w:rPr>
              <w:t>H</w:t>
            </w:r>
            <w:r>
              <w:rPr>
                <w:rFonts w:ascii="Constantia" w:hAnsi="Constantia"/>
                <w:b/>
                <w:color w:val="243040"/>
                <w:sz w:val="19"/>
                <w:vertAlign w:val="subscript"/>
              </w:rPr>
              <w:t>5</w:t>
            </w:r>
            <w:r>
              <w:rPr>
                <w:rFonts w:ascii="Constantia" w:hAnsi="Constantia"/>
                <w:b/>
                <w:color w:val="243040"/>
                <w:sz w:val="19"/>
              </w:rPr>
              <w:t xml:space="preserve"> = 2.3 × 10⁻⁶⁴</w:t>
            </w:r>
            <w:r>
              <w:rPr>
                <w:rFonts w:ascii="Constantia" w:hAnsi="Constantia"/>
                <w:b w:val="0"/>
                <w:color w:val="243040"/>
                <w:sz w:val="19"/>
              </w:rPr>
              <w:t>, which is not a residual, it is an erasure.</w:t>
            </w:r>
          </w:p>
          <w:p>
            <w:pPr>
              <w:spacing w:after="0" w:line="283" w:lineRule="auto"/>
              <w:jc w:val="both"/>
            </w:pPr>
            <w:r>
              <w:rPr>
                <w:rFonts w:ascii="Constantia" w:hAnsi="Constantia"/>
                <w:b w:val="0"/>
                <w:color w:val="243040"/>
                <w:sz w:val="19"/>
              </w:rPr>
              <w:t xml:space="preserve">The idea is fine and the normalisation is not. A small dimensionless quantity has to be expressed as its own resolution before the operator sees it, and under N = q/δq it is: compactness known to three digits gives N = 10³ and a deficit of 0.5 per cent, regardless of how small the compactness itself is. </w:t>
            </w:r>
            <w:r>
              <w:rPr>
                <w:rFonts w:ascii="Constantia" w:hAnsi="Constantia"/>
                <w:b/>
                <w:color w:val="243040"/>
                <w:sz w:val="19"/>
              </w:rPr>
              <w:t>The operator should be fed resolutions, never magnitudes.</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Section five</w:t>
      </w:r>
    </w:p>
    <w:p>
      <w:pPr>
        <w:keepNext/>
        <w:spacing w:before="0" w:after="160" w:line="293" w:lineRule="auto"/>
        <w:jc w:val="left"/>
        <w:pBdr>
          <w:bottom w:val="single" w:sz="6" w:space="4" w:color="B48A2E"/>
        </w:pBdr>
      </w:pPr>
      <w:r>
        <w:rPr>
          <w:rFonts w:ascii="Constantia" w:hAnsi="Constantia" w:eastAsia="Constantia"/>
          <w:b/>
          <w:i w:val="0"/>
          <w:color w:val="102A43"/>
          <w:sz w:val="30"/>
        </w:rPr>
        <w:t>The join point</w:t>
      </w:r>
    </w:p>
    <w:p>
      <w:pPr>
        <w:keepNext/>
        <w:spacing w:before="80" w:after="200" w:line="293" w:lineRule="auto"/>
        <w:jc w:val="left"/>
      </w:pPr>
      <w:r>
        <w:rPr>
          <w:rFonts w:ascii="Constantia" w:hAnsi="Constantia" w:eastAsia="Constantia"/>
          <w:b w:val="0"/>
          <w:i/>
          <w:color w:val="5B6B7A"/>
          <w:sz w:val="20"/>
        </w:rPr>
        <w:t>One resolution where Personal Relativity's deficit equals the corpus floor, in closed form.</w:t>
      </w:r>
    </w:p>
    <w:p>
      <w:pPr>
        <w:keepNext w:val="0"/>
        <w:spacing w:before="0" w:after="140" w:line="293" w:lineRule="auto"/>
        <w:jc w:val="both"/>
      </w:pPr>
      <w:r>
        <w:rPr>
          <w:rFonts w:ascii="Constantia" w:hAnsi="Constantia" w:eastAsia="Constantia"/>
          <w:b w:val="0"/>
          <w:i w:val="0"/>
          <w:color w:val="243040"/>
          <w:sz w:val="21"/>
        </w:rPr>
        <w:t>The corpus carries an irreducible cost per completed traversal, the floor r³ = 0.0295085. The operator carries an unresolved fraction 5/N. Those are the same kind of quantity, so they can be set equal, and the resolution that does it is exact:</w:t>
      </w:r>
    </w:p>
    <w:p>
      <w:pPr>
        <w:keepNext w:val="0"/>
        <w:spacing w:before="140" w:after="180" w:line="240" w:lineRule="auto"/>
        <w:jc w:val="center"/>
      </w:pPr>
      <w:r>
        <w:rPr>
          <w:rFonts w:ascii="Cambria Math" w:hAnsi="Cambria Math" w:eastAsia="Cambria Math"/>
          <w:b/>
          <w:i w:val="0"/>
          <w:color w:val="102A43"/>
          <w:sz w:val="24"/>
        </w:rPr>
        <w:t>5 / N  =  r³        ⟹        N† = 5 / r³ = 40 φ³ = 169.4427</w:t>
      </w:r>
    </w:p>
    <w:p>
      <w:pPr>
        <w:keepNext w:val="0"/>
        <w:spacing w:before="20" w:after="200" w:line="264" w:lineRule="auto"/>
        <w:ind w:left="317"/>
        <w:jc w:val="both"/>
      </w:pPr>
      <w:r>
        <w:rPr>
          <w:rFonts w:ascii="Constantia" w:hAnsi="Constantia" w:eastAsia="Constantia"/>
          <w:b w:val="0"/>
          <w:i/>
          <w:color w:val="5B6B7A"/>
          <w:sz w:val="18"/>
        </w:rPr>
        <w:t>Exact. Since r³ = 1/(8φ³), the ratio 5/r³ is 40φ³ with no residue. σ† = log₁₀ N† = 2.2290, so the join sits a little over two decades of resolution, or between two and three significant digits.</w:t>
      </w:r>
    </w:p>
    <w:p>
      <w:pPr>
        <w:keepNext w:val="0"/>
        <w:spacing w:before="0" w:after="140" w:line="293" w:lineRule="auto"/>
        <w:jc w:val="both"/>
      </w:pPr>
      <w:r>
        <w:rPr>
          <w:rFonts w:ascii="Constantia" w:hAnsi="Constantia" w:eastAsia="Constantia"/>
          <w:b w:val="0"/>
          <w:i w:val="0"/>
          <w:color w:val="243040"/>
          <w:sz w:val="21"/>
        </w:rPr>
        <w:t>The join point is not decoration. It divides the operator's domain into two regions with different standing:</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1944"/>
        <w:gridCol w:w="2520"/>
        <w:gridCol w:w="5529"/>
      </w:tblGrid>
      <w:tr>
        <w:trPr>
          <w:tblHeader/>
          <w:cantSplit/>
        </w:trPr>
        <w:tc>
          <w:tcPr>
            <w:tcW w:type="dxa" w:w="194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Region</w:t>
            </w:r>
          </w:p>
        </w:tc>
        <w:tc>
          <w:tcPr>
            <w:tcW w:type="dxa" w:w="252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Condition</w:t>
            </w:r>
          </w:p>
        </w:tc>
        <w:tc>
          <w:tcPr>
            <w:tcW w:type="dxa" w:w="553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What the operator may claim</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Above the join</w:t>
            </w:r>
          </w:p>
        </w:tc>
        <w:tc>
          <w:tcPr>
            <w:tcW w:type="dxa" w:w="25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N &gt; 169.44, deficit &lt; r³</w:t>
            </w:r>
          </w:p>
        </w:tc>
        <w:tc>
          <w:tcPr>
            <w:tcW w:type="dxa" w:w="553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Nothing. The output is quieter than the framework's own noise, so it cannot be offered as a prediction.</w:t>
            </w:r>
          </w:p>
        </w:tc>
      </w:tr>
      <w:tr>
        <w:trPr>
          <w:cantSplit/>
        </w:trPr>
        <w:tc>
          <w:tcPr>
            <w:tcW w:type="dxa" w:w="194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At the join</w:t>
            </w:r>
          </w:p>
        </w:tc>
        <w:tc>
          <w:tcPr>
            <w:tcW w:type="dxa" w:w="252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N = 40φ³ exactly</w:t>
            </w:r>
          </w:p>
        </w:tc>
        <w:tc>
          <w:tcPr>
            <w:tcW w:type="dxa" w:w="553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The two frameworks agree on the size of the unresolved fraction. This is the only resolution at which they speak with one voice.</w:t>
            </w:r>
          </w:p>
        </w:tc>
      </w:tr>
      <w:tr>
        <w:trPr>
          <w:cantSplit/>
        </w:trPr>
        <w:tc>
          <w:tcPr>
            <w:tcW w:type="dxa" w:w="1944"/>
            <w:tcMar>
              <w:top w:w="60" w:type="dxa"/>
              <w:start w:w="90" w:type="dxa"/>
              <w:bottom w:w="60" w:type="dxa"/>
              <w:end w:w="90" w:type="dxa"/>
            </w:tcMar>
          </w:tcPr>
          <w:p>
            <w:pPr>
              <w:spacing w:after="0" w:line="269" w:lineRule="auto"/>
              <w:jc w:val="left"/>
            </w:pPr>
            <w:r/>
            <w:r>
              <w:rPr>
                <w:rFonts w:ascii="Constantia" w:hAnsi="Constantia"/>
                <w:b w:val="0"/>
                <w:i w:val="0"/>
                <w:color w:val="243040"/>
                <w:sz w:val="18"/>
              </w:rPr>
              <w:t>Below the join</w:t>
            </w:r>
          </w:p>
        </w:tc>
        <w:tc>
          <w:tcPr>
            <w:tcW w:type="dxa" w:w="2520"/>
            <w:tcMar>
              <w:top w:w="60" w:type="dxa"/>
              <w:start w:w="90" w:type="dxa"/>
              <w:bottom w:w="60" w:type="dxa"/>
              <w:end w:w="90" w:type="dxa"/>
            </w:tcMar>
          </w:tcPr>
          <w:p>
            <w:pPr>
              <w:spacing w:after="0" w:line="269" w:lineRule="auto"/>
              <w:jc w:val="left"/>
            </w:pPr>
            <w:r/>
            <w:r>
              <w:rPr>
                <w:rFonts w:ascii="Constantia" w:hAnsi="Constantia"/>
                <w:b w:val="0"/>
                <w:i w:val="0"/>
                <w:color w:val="243040"/>
                <w:sz w:val="18"/>
              </w:rPr>
              <w:t>N &lt; 169.44, deficit &gt; r³</w:t>
            </w:r>
          </w:p>
        </w:tc>
        <w:tc>
          <w:tcPr>
            <w:tcW w:type="dxa" w:w="5530"/>
            <w:tcMar>
              <w:top w:w="60" w:type="dxa"/>
              <w:start w:w="90" w:type="dxa"/>
              <w:bottom w:w="60" w:type="dxa"/>
              <w:end w:w="90" w:type="dxa"/>
            </w:tcMar>
          </w:tcPr>
          <w:p>
            <w:pPr>
              <w:spacing w:after="0" w:line="269" w:lineRule="auto"/>
              <w:jc w:val="left"/>
            </w:pPr>
            <w:r/>
            <w:r>
              <w:rPr>
                <w:rFonts w:ascii="Constantia" w:hAnsi="Constantia"/>
                <w:b w:val="0"/>
                <w:i w:val="0"/>
                <w:color w:val="243040"/>
                <w:sz w:val="18"/>
              </w:rPr>
              <w:t>A claim above the floor, and therefore testable. This is where the empirical programme has to live.</w:t>
            </w:r>
          </w:p>
        </w:tc>
      </w:tr>
    </w:tbl>
    <w:p>
      <w:pPr>
        <w:keepNext w:val="0"/>
        <w:spacing w:before="0" w:after="8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WHAT THIS DOES TO THE JUPITER FIGURE</w:t>
            </w:r>
          </w:p>
          <w:p>
            <w:pPr>
              <w:spacing w:after="120" w:line="283" w:lineRule="auto"/>
              <w:jc w:val="both"/>
            </w:pPr>
            <w:r>
              <w:rPr>
                <w:rFonts w:ascii="Constantia" w:hAnsi="Constantia"/>
                <w:b w:val="0"/>
                <w:color w:val="243040"/>
                <w:sz w:val="19"/>
              </w:rPr>
              <w:t>Jupiter's surface gravity at λ = 10 and q</w:t>
            </w:r>
            <w:r>
              <w:rPr>
                <w:rFonts w:ascii="Constantia" w:hAnsi="Constantia"/>
                <w:b w:val="0"/>
                <w:color w:val="243040"/>
                <w:sz w:val="19"/>
                <w:vertAlign w:val="subscript"/>
              </w:rPr>
              <w:t>0</w:t>
            </w:r>
            <w:r>
              <w:rPr>
                <w:rFonts w:ascii="Constantia" w:hAnsi="Constantia"/>
                <w:b w:val="0"/>
                <w:color w:val="243040"/>
                <w:sz w:val="19"/>
              </w:rPr>
              <w:t xml:space="preserve"> = 1 m/s² gives N = 247.9, which is </w:t>
            </w:r>
            <w:r>
              <w:rPr>
                <w:rFonts w:ascii="Constantia" w:hAnsi="Constantia"/>
                <w:b/>
                <w:color w:val="243040"/>
                <w:sz w:val="19"/>
              </w:rPr>
              <w:t>above the join</w:t>
            </w:r>
            <w:r>
              <w:rPr>
                <w:rFonts w:ascii="Constantia" w:hAnsi="Constantia"/>
                <w:b w:val="0"/>
                <w:color w:val="243040"/>
                <w:sz w:val="19"/>
              </w:rPr>
              <w:t>. Its deficit of 2.013 per cent is smaller than the framework's own floor of 2.951 per cent.</w:t>
            </w:r>
          </w:p>
          <w:p>
            <w:pPr>
              <w:spacing w:after="0" w:line="283" w:lineRule="auto"/>
              <w:jc w:val="both"/>
            </w:pPr>
            <w:r>
              <w:rPr>
                <w:rFonts w:ascii="Constantia" w:hAnsi="Constantia"/>
                <w:b w:val="0"/>
                <w:color w:val="243040"/>
                <w:sz w:val="19"/>
              </w:rPr>
              <w:t xml:space="preserve">So the framework cannot claim it. Not because the arithmetic is wrong, it is exactly right, but because the framework's own resolution limit is coarser than the effect. </w:t>
            </w:r>
            <w:r>
              <w:rPr>
                <w:rFonts w:ascii="Constantia" w:hAnsi="Constantia"/>
                <w:b/>
                <w:color w:val="243040"/>
                <w:sz w:val="19"/>
              </w:rPr>
              <w:t>To make a claim the corpus licenses, the protocol needs N below 169.</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Section six</w:t>
      </w:r>
    </w:p>
    <w:p>
      <w:pPr>
        <w:keepNext/>
        <w:spacing w:before="0" w:after="160" w:line="293" w:lineRule="auto"/>
        <w:jc w:val="left"/>
        <w:pBdr>
          <w:bottom w:val="single" w:sz="6" w:space="4" w:color="B48A2E"/>
        </w:pBdr>
      </w:pPr>
      <w:r>
        <w:rPr>
          <w:rFonts w:ascii="Constantia" w:hAnsi="Constantia" w:eastAsia="Constantia"/>
          <w:b/>
          <w:i w:val="0"/>
          <w:color w:val="102A43"/>
          <w:sz w:val="30"/>
        </w:rPr>
        <w:t>What the operator actually is, and two things it is not</w:t>
      </w:r>
    </w:p>
    <w:p>
      <w:pPr>
        <w:keepNext/>
        <w:spacing w:before="80" w:after="200" w:line="293" w:lineRule="auto"/>
        <w:jc w:val="left"/>
      </w:pPr>
      <w:r>
        <w:rPr>
          <w:rFonts w:ascii="Constantia" w:hAnsi="Constantia" w:eastAsia="Constantia"/>
          <w:b w:val="0"/>
          <w:i/>
          <w:color w:val="5B6B7A"/>
          <w:sz w:val="20"/>
        </w:rPr>
        <w:t>One structural identity worth having, and two apparent contacts that do not survive inspection.</w:t>
      </w:r>
    </w:p>
    <w:p>
      <w:pPr>
        <w:keepNext w:val="0"/>
        <w:spacing w:before="0" w:after="140" w:line="293" w:lineRule="auto"/>
        <w:jc w:val="both"/>
      </w:pPr>
      <w:r>
        <w:rPr>
          <w:rFonts w:ascii="Constantia" w:hAnsi="Constantia" w:eastAsia="Constantia"/>
          <w:b w:val="0"/>
          <w:i w:val="0"/>
          <w:color w:val="243040"/>
          <w:sz w:val="21"/>
        </w:rPr>
        <w:t>The operator has a closed form that is far more revealing than the ratio of tenth powers, and it is exact:</w:t>
      </w:r>
    </w:p>
    <w:p>
      <w:pPr>
        <w:keepNext w:val="0"/>
        <w:spacing w:before="140" w:after="180" w:line="240" w:lineRule="auto"/>
        <w:jc w:val="center"/>
      </w:pPr>
      <w:r>
        <w:rPr>
          <w:rFonts w:ascii="Cambria Math" w:hAnsi="Cambria Math" w:eastAsia="Cambria Math"/>
          <w:b/>
          <w:i w:val="0"/>
          <w:color w:val="102A43"/>
          <w:sz w:val="24"/>
        </w:rPr>
        <w:t>H</w:t>
      </w:r>
      <w:r>
        <w:rPr>
          <w:rFonts w:ascii="Cambria Math" w:hAnsi="Cambria Math" w:eastAsia="Cambria Math"/>
          <w:b/>
          <w:i w:val="0"/>
          <w:color w:val="102A43"/>
          <w:sz w:val="24"/>
          <w:vertAlign w:val="subscript"/>
        </w:rPr>
        <w:t>5</w:t>
      </w:r>
      <w:r>
        <w:rPr>
          <w:rFonts w:ascii="Cambria Math" w:hAnsi="Cambria Math" w:eastAsia="Cambria Math"/>
          <w:b/>
          <w:i w:val="0"/>
          <w:color w:val="102A43"/>
          <w:sz w:val="24"/>
        </w:rPr>
        <w:t>(N)  =  1 + tanh(5 ln s</w:t>
      </w:r>
      <w:r>
        <w:rPr>
          <w:rFonts w:ascii="Cambria Math" w:hAnsi="Cambria Math" w:eastAsia="Cambria Math"/>
          <w:b/>
          <w:i w:val="0"/>
          <w:color w:val="102A43"/>
          <w:sz w:val="24"/>
          <w:vertAlign w:val="subscript"/>
        </w:rPr>
        <w:t>N</w:t>
      </w:r>
      <w:r>
        <w:rPr>
          <w:rFonts w:ascii="Cambria Math" w:hAnsi="Cambria Math" w:eastAsia="Cambria Math"/>
          <w:b/>
          <w:i w:val="0"/>
          <w:color w:val="102A43"/>
          <w:sz w:val="24"/>
        </w:rPr>
        <w:t>)  =  2 · logistic(10 ln s</w:t>
      </w:r>
      <w:r>
        <w:rPr>
          <w:rFonts w:ascii="Cambria Math" w:hAnsi="Cambria Math" w:eastAsia="Cambria Math"/>
          <w:b/>
          <w:i w:val="0"/>
          <w:color w:val="102A43"/>
          <w:sz w:val="24"/>
          <w:vertAlign w:val="subscript"/>
        </w:rPr>
        <w:t>N</w:t>
      </w:r>
      <w:r>
        <w:rPr>
          <w:rFonts w:ascii="Cambria Math" w:hAnsi="Cambria Math" w:eastAsia="Cambria Math"/>
          <w:b/>
          <w:i w:val="0"/>
          <w:color w:val="102A43"/>
          <w:sz w:val="24"/>
        </w:rPr>
        <w:t>)</w:t>
      </w:r>
    </w:p>
    <w:p>
      <w:pPr>
        <w:keepNext w:val="0"/>
        <w:spacing w:before="20" w:after="200" w:line="264" w:lineRule="auto"/>
        <w:ind w:left="317"/>
        <w:jc w:val="both"/>
      </w:pPr>
      <w:r>
        <w:rPr>
          <w:rFonts w:ascii="Constantia" w:hAnsi="Constantia" w:eastAsia="Constantia"/>
          <w:b w:val="0"/>
          <w:i/>
          <w:color w:val="5B6B7A"/>
          <w:sz w:val="18"/>
        </w:rPr>
        <w:t>Exact, verified to 2 × 10⁻¹⁶ across four decades of N. The hyperbolic tangent form follows immediately once C</w:t>
      </w:r>
      <w:r>
        <w:rPr>
          <w:rFonts w:ascii="Constantia" w:hAnsi="Constantia" w:eastAsia="Constantia"/>
          <w:b w:val="0"/>
          <w:i/>
          <w:color w:val="5B6B7A"/>
          <w:sz w:val="18"/>
          <w:vertAlign w:val="subscript"/>
        </w:rPr>
        <w:t>5</w:t>
      </w:r>
      <w:r>
        <w:rPr>
          <w:rFonts w:ascii="Constantia" w:hAnsi="Constantia" w:eastAsia="Constantia"/>
          <w:b w:val="0"/>
          <w:i/>
          <w:color w:val="5B6B7A"/>
          <w:sz w:val="18"/>
        </w:rPr>
        <w:t xml:space="preserve"> is recognised as tanh of five times the log-retention of one coordinate.</w:t>
      </w:r>
    </w:p>
    <w:p>
      <w:pPr>
        <w:keepNext w:val="0"/>
        <w:spacing w:before="0" w:after="140" w:line="293" w:lineRule="auto"/>
        <w:jc w:val="both"/>
      </w:pPr>
      <w:r>
        <w:rPr>
          <w:rFonts w:ascii="Constantia" w:hAnsi="Constantia" w:eastAsia="Constantia"/>
          <w:b w:val="0"/>
          <w:i w:val="0"/>
          <w:color w:val="243040"/>
          <w:sz w:val="21"/>
        </w:rPr>
        <w:t xml:space="preserve">This is the identity to keep, because it says what kind of object the operator is. </w:t>
      </w:r>
      <w:r>
        <w:rPr>
          <w:rFonts w:ascii="Constantia" w:hAnsi="Constantia" w:eastAsia="Constantia"/>
          <w:b/>
          <w:i w:val="0"/>
          <w:color w:val="243040"/>
          <w:sz w:val="21"/>
        </w:rPr>
        <w:t>A hyperbolic tangent is what a bounded quantity always becomes when it is set by the competition between a forward rate and a reverse rate.</w:t>
      </w:r>
      <w:r>
        <w:rPr>
          <w:rFonts w:ascii="Constantia" w:hAnsi="Constantia" w:eastAsia="Constantia"/>
          <w:b w:val="0"/>
          <w:i w:val="0"/>
          <w:color w:val="243040"/>
          <w:sz w:val="21"/>
        </w:rPr>
        <w:t xml:space="preserve"> The operator is therefore a saturating response in log-retention space, five coordinates deep, and the exponent ten is the round trip. It was written down as a statement about how numbers divide over distance and it came out as the canonical form for exactly that situation.</w:t>
      </w: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TWO COINCIDENCES, DEMOTED</w:t>
            </w:r>
          </w:p>
          <w:p>
            <w:pPr>
              <w:spacing w:after="120" w:line="283" w:lineRule="auto"/>
              <w:jc w:val="both"/>
            </w:pPr>
            <w:r>
              <w:rPr>
                <w:rFonts w:ascii="Constantia" w:hAnsi="Constantia"/>
                <w:b w:val="0"/>
                <w:color w:val="243040"/>
                <w:sz w:val="19"/>
              </w:rPr>
              <w:t xml:space="preserve">The single-coordinate retention equals r at N = 1/√5, and equals the Born coefficient 2r at N = φ. Both are exact. </w:t>
            </w:r>
            <w:r>
              <w:rPr>
                <w:rFonts w:ascii="Constantia" w:hAnsi="Constantia"/>
                <w:b/>
                <w:color w:val="243040"/>
                <w:sz w:val="19"/>
              </w:rPr>
              <w:t>Neither is evidence.</w:t>
            </w:r>
          </w:p>
          <w:p>
            <w:pPr>
              <w:spacing w:after="120" w:line="283" w:lineRule="auto"/>
              <w:jc w:val="both"/>
            </w:pPr>
            <w:r>
              <w:rPr>
                <w:rFonts w:ascii="Constantia" w:hAnsi="Constantia"/>
                <w:b w:val="0"/>
                <w:color w:val="243040"/>
                <w:sz w:val="19"/>
              </w:rPr>
              <w:t>For any value of r whatsoever, s</w:t>
            </w:r>
            <w:r>
              <w:rPr>
                <w:rFonts w:ascii="Constantia" w:hAnsi="Constantia"/>
                <w:b w:val="0"/>
                <w:color w:val="243040"/>
                <w:sz w:val="19"/>
                <w:vertAlign w:val="subscript"/>
              </w:rPr>
              <w:t>N</w:t>
            </w:r>
            <w:r>
              <w:rPr>
                <w:rFonts w:ascii="Constantia" w:hAnsi="Constantia"/>
                <w:b w:val="0"/>
                <w:color w:val="243040"/>
                <w:sz w:val="19"/>
              </w:rPr>
              <w:t xml:space="preserve"> = r at N = r/(1−r). So the first statement carries no information about the operator; its whole content is that r/(1−r) = 1/√5, which is a property of the golden ratio standing alone. The second is the same situation, resting only on φ + 1 = φ². Any map of the form x/(x+1) reproduces both.</w:t>
            </w:r>
          </w:p>
          <w:p>
            <w:pPr>
              <w:spacing w:after="0" w:line="283" w:lineRule="auto"/>
              <w:jc w:val="both"/>
            </w:pPr>
            <w:r>
              <w:rPr>
                <w:rFonts w:ascii="Constantia" w:hAnsi="Constantia"/>
                <w:b w:val="0"/>
                <w:color w:val="243040"/>
                <w:sz w:val="19"/>
              </w:rPr>
              <w:t>They are recorded here because they look like contacts between the two frameworks and they are not. The reason is arithmetic and nothing else: an identity that holds for every value of a constant tells you nothing about that constant.</w:t>
            </w:r>
          </w:p>
        </w:tc>
      </w:tr>
    </w:tbl>
    <w:p>
      <w:pPr>
        <w:keepNext w:val="0"/>
        <w:spacing w:before="0" w:after="8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AND ONE MORE, RECORDED AS A NON-RESULT</w:t>
            </w:r>
          </w:p>
          <w:p>
            <w:pPr>
              <w:spacing w:after="120" w:line="283" w:lineRule="auto"/>
              <w:jc w:val="both"/>
            </w:pPr>
            <w:r>
              <w:rPr>
                <w:rFonts w:ascii="Constantia" w:hAnsi="Constantia"/>
                <w:b w:val="0"/>
                <w:color w:val="243040"/>
                <w:sz w:val="19"/>
              </w:rPr>
              <w:t xml:space="preserve">The resolution of maximum informational leverage, where one further decade changes the retention most, sits at </w:t>
            </w:r>
            <w:r>
              <w:rPr>
                <w:rFonts w:ascii="Constantia" w:hAnsi="Constantia"/>
                <w:b/>
                <w:color w:val="243040"/>
                <w:sz w:val="19"/>
              </w:rPr>
              <w:t>N* = 6.2825413</w:t>
            </w:r>
            <w:r>
              <w:rPr>
                <w:rFonts w:ascii="Constantia" w:hAnsi="Constantia"/>
                <w:b w:val="0"/>
                <w:color w:val="243040"/>
                <w:sz w:val="19"/>
              </w:rPr>
              <w:t>. That is one part in ten thousand from 2π = 6.2831853, and it is not 2π.</w:t>
            </w:r>
          </w:p>
          <w:p>
            <w:pPr>
              <w:spacing w:after="0" w:line="283" w:lineRule="auto"/>
              <w:jc w:val="both"/>
            </w:pPr>
            <w:r>
              <w:rPr>
                <w:rFonts w:ascii="Constantia" w:hAnsi="Constantia"/>
                <w:b w:val="0"/>
                <w:color w:val="243040"/>
                <w:sz w:val="19"/>
              </w:rPr>
              <w:t xml:space="preserve">A smooth maximum landing that close to a famous constant is the kind of thing that costs a week, and the week is not worth spending. </w:t>
            </w:r>
            <w:r>
              <w:rPr>
                <w:rFonts w:ascii="Constantia" w:hAnsi="Constantia"/>
                <w:b/>
                <w:color w:val="243040"/>
                <w:sz w:val="19"/>
              </w:rPr>
              <w:t>Coincidence, logged.</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What survives is the part that does not need the operator to have a pedigree: the exponent follows from the Passage and Record theorem, the invariant form is N = q/δq with deficit 5δq/q, and the join at 40φ³ is exact. None of those three depend on where the operator came from.</w:t>
      </w:r>
    </w:p>
    <w:p>
      <w:pPr>
        <w:keepNext w:val="0"/>
        <w:spacing w:before="0" w:after="40" w:line="293" w:lineRule="auto"/>
        <w:jc w:val="both"/>
      </w:pPr>
    </w:p>
    <w:tbl>
      <w:tblPr>
        <w:tblW w:type="dxa" w:w="9993"/>
        <w:jc w:val="center"/>
        <w:tblLook w:firstColumn="1" w:firstRow="1" w:lastColumn="0" w:lastRow="0" w:noHBand="0" w:noVBand="1" w:val="04A0"/>
        <w:tblBorders>
          <w:top w:val="single" w:sz="2" w:color="EEF2F5" w:space="0"/>
          <w:start w:val="single" w:sz="2" w:color="EEF2F5" w:space="0"/>
          <w:bottom w:val="single" w:sz="2" w:color="EEF2F5" w:space="0"/>
          <w:end w:val="single" w:sz="2" w:color="EEF2F5" w:space="0"/>
          <w:insideH w:val="single" w:sz="2" w:color="EEF2F5" w:space="0"/>
          <w:insideV w:val="single" w:sz="2" w:color="EEF2F5" w:space="0"/>
        </w:tblBorders>
        <w:tblLayout w:type="fixed"/>
      </w:tblPr>
      <w:tblGrid>
        <w:gridCol w:w="9993"/>
      </w:tblGrid>
      <w:tr>
        <w:tc>
          <w:tcPr>
            <w:tcW w:type="dxa" w:w="9994"/>
            <w:shd w:val="clear" w:fill="EEF2F5"/>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RECORDED AS A NON-RESULT</w:t>
            </w:r>
          </w:p>
          <w:p>
            <w:pPr>
              <w:spacing w:after="120" w:line="283" w:lineRule="auto"/>
              <w:jc w:val="both"/>
            </w:pPr>
            <w:r>
              <w:rPr>
                <w:rFonts w:ascii="Constantia" w:hAnsi="Constantia"/>
                <w:b w:val="0"/>
                <w:color w:val="243040"/>
                <w:sz w:val="19"/>
              </w:rPr>
              <w:t xml:space="preserve">The resolution of maximum informational leverage, where one further decade changes the retention most, sits at </w:t>
            </w:r>
            <w:r>
              <w:rPr>
                <w:rFonts w:ascii="Constantia" w:hAnsi="Constantia"/>
                <w:b/>
                <w:color w:val="243040"/>
                <w:sz w:val="19"/>
              </w:rPr>
              <w:t>N* = 6.2825413</w:t>
            </w:r>
            <w:r>
              <w:rPr>
                <w:rFonts w:ascii="Constantia" w:hAnsi="Constantia"/>
                <w:b w:val="0"/>
                <w:color w:val="243040"/>
                <w:sz w:val="19"/>
              </w:rPr>
              <w:t>. That is one part in ten thousand from 2π = 6.2831853, and it is not 2π.</w:t>
            </w:r>
          </w:p>
          <w:p>
            <w:pPr>
              <w:spacing w:after="0" w:line="283" w:lineRule="auto"/>
              <w:jc w:val="both"/>
            </w:pPr>
            <w:r>
              <w:rPr>
                <w:rFonts w:ascii="Constantia" w:hAnsi="Constantia"/>
                <w:b w:val="0"/>
                <w:color w:val="243040"/>
                <w:sz w:val="19"/>
              </w:rPr>
              <w:t xml:space="preserve">It is written down here so that it stays written down. A smooth maximum landing that close to a famous constant is the kind of thing that costs a week, and the week is not worth spending. </w:t>
            </w:r>
            <w:r>
              <w:rPr>
                <w:rFonts w:ascii="Constantia" w:hAnsi="Constantia"/>
                <w:b/>
                <w:color w:val="243040"/>
                <w:sz w:val="19"/>
              </w:rPr>
              <w:t>Coincidence, logged.</w:t>
            </w:r>
          </w:p>
        </w:tc>
      </w:tr>
    </w:tbl>
    <w:p>
      <w:pPr>
        <w:keepNext w:val="0"/>
        <w:spacing w:before="0" w:after="80" w:line="293" w:lineRule="auto"/>
        <w:jc w:val="both"/>
      </w:pPr>
    </w:p>
    <w:p>
      <w:pPr>
        <w:keepNext/>
        <w:spacing w:before="440" w:after="40" w:line="293" w:lineRule="auto"/>
        <w:jc w:val="left"/>
      </w:pPr>
      <w:r>
        <w:rPr>
          <w:rFonts w:ascii="Constantia" w:hAnsi="Constantia" w:eastAsia="Constantia"/>
          <w:b/>
          <w:i w:val="0"/>
          <w:caps/>
          <w:color w:val="B48A2E"/>
          <w:sz w:val="21"/>
        </w:rPr>
        <w:t>Section seven</w:t>
      </w:r>
    </w:p>
    <w:p>
      <w:pPr>
        <w:keepNext/>
        <w:spacing w:before="0" w:after="160" w:line="293" w:lineRule="auto"/>
        <w:jc w:val="left"/>
        <w:pBdr>
          <w:bottom w:val="single" w:sz="6" w:space="4" w:color="B48A2E"/>
        </w:pBdr>
      </w:pPr>
      <w:r>
        <w:rPr>
          <w:rFonts w:ascii="Constantia" w:hAnsi="Constantia" w:eastAsia="Constantia"/>
          <w:b/>
          <w:i w:val="0"/>
          <w:color w:val="102A43"/>
          <w:sz w:val="30"/>
        </w:rPr>
        <w:t>What is now open, and what closed</w:t>
      </w:r>
    </w:p>
    <w:p>
      <w:pPr>
        <w:keepNext/>
        <w:spacing w:before="80" w:after="200" w:line="293" w:lineRule="auto"/>
        <w:jc w:val="left"/>
      </w:pPr>
      <w:r>
        <w:rPr>
          <w:rFonts w:ascii="Constantia" w:hAnsi="Constantia" w:eastAsia="Constantia"/>
          <w:b w:val="0"/>
          <w:i/>
          <w:color w:val="5B6B7A"/>
          <w:sz w:val="20"/>
        </w:rPr>
        <w:t>Four of the eight open questions are answered. The list is shorter and sharper.</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4104"/>
        <w:gridCol w:w="5889"/>
      </w:tblGrid>
      <w:tr>
        <w:trPr>
          <w:tblHeader/>
          <w:cantSplit/>
        </w:trPr>
        <w:tc>
          <w:tcPr>
            <w:tcW w:type="dxa" w:w="4104"/>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Open question, as posed</w:t>
            </w:r>
          </w:p>
        </w:tc>
        <w:tc>
          <w:tcPr>
            <w:tcW w:type="dxa" w:w="5890"/>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Status now</w:t>
            </w:r>
          </w:p>
        </w:tc>
      </w:tr>
      <w:tr>
        <w:trPr>
          <w:cantSplit/>
        </w:trPr>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The physical definition of resolution N</w:t>
            </w:r>
          </w:p>
        </w:tc>
        <w:tc>
          <w:tcPr>
            <w:tcW w:type="dxa" w:w="5890"/>
            <w:tcMar>
              <w:top w:w="60" w:type="dxa"/>
              <w:start w:w="90" w:type="dxa"/>
              <w:bottom w:w="60" w:type="dxa"/>
              <w:end w:w="90" w:type="dxa"/>
            </w:tcMar>
          </w:tcPr>
          <w:p>
            <w:pPr>
              <w:keepNext/>
              <w:spacing w:after="0" w:line="269" w:lineRule="auto"/>
              <w:jc w:val="left"/>
            </w:pPr>
            <w:r/>
            <w:r>
              <w:rPr>
                <w:rFonts w:ascii="Constantia" w:hAnsi="Constantia"/>
                <w:b/>
                <w:i w:val="0"/>
                <w:color w:val="243040"/>
                <w:sz w:val="18"/>
              </w:rPr>
              <w:t>Closed.</w:t>
            </w:r>
            <w:r>
              <w:rPr>
                <w:rFonts w:ascii="Constantia" w:hAnsi="Constantia"/>
                <w:b w:val="0"/>
                <w:i w:val="0"/>
                <w:color w:val="243040"/>
                <w:sz w:val="18"/>
              </w:rPr>
              <w:t xml:space="preserve"> N = q/δq, the quantity over its own uncertainty.</w:t>
            </w:r>
          </w:p>
        </w:tc>
      </w:tr>
      <w:tr>
        <w:trPr>
          <w:cantSplit/>
        </w:trPr>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Why the five components act as a fifth power</w:t>
            </w:r>
          </w:p>
        </w:tc>
        <w:tc>
          <w:tcPr>
            <w:tcW w:type="dxa" w:w="5890"/>
            <w:tcMar>
              <w:top w:w="60" w:type="dxa"/>
              <w:start w:w="90" w:type="dxa"/>
              <w:bottom w:w="60" w:type="dxa"/>
              <w:end w:w="90" w:type="dxa"/>
            </w:tcMar>
          </w:tcPr>
          <w:p>
            <w:pPr>
              <w:keepNext/>
              <w:spacing w:after="0" w:line="269" w:lineRule="auto"/>
              <w:jc w:val="left"/>
            </w:pPr>
            <w:r/>
            <w:r>
              <w:rPr>
                <w:rFonts w:ascii="Constantia" w:hAnsi="Constantia"/>
                <w:b/>
                <w:i w:val="0"/>
                <w:color w:val="243040"/>
                <w:sz w:val="18"/>
              </w:rPr>
              <w:t>Closed.</w:t>
            </w:r>
            <w:r>
              <w:rPr>
                <w:rFonts w:ascii="Constantia" w:hAnsi="Constantia"/>
                <w:b w:val="0"/>
                <w:i w:val="0"/>
                <w:color w:val="243040"/>
                <w:sz w:val="18"/>
              </w:rPr>
              <w:t xml:space="preserve"> The five is dim(O)</w:t>
            </w:r>
            <w:r>
              <w:rPr>
                <w:rFonts w:ascii="Constantia" w:hAnsi="Constantia"/>
                <w:b w:val="0"/>
                <w:i w:val="0"/>
                <w:color w:val="243040"/>
                <w:sz w:val="18"/>
                <w:vertAlign w:val="subscript"/>
              </w:rPr>
              <w:t>m</w:t>
            </w:r>
            <w:r>
              <w:rPr>
                <w:rFonts w:ascii="Constantia" w:hAnsi="Constantia"/>
                <w:b w:val="0"/>
                <w:i w:val="0"/>
                <w:color w:val="243040"/>
                <w:sz w:val="18"/>
              </w:rPr>
              <w:t>in from the Passage and Record theorem, and the tenth power is one out-and-back traversal.</w:t>
            </w:r>
          </w:p>
        </w:tc>
      </w:tr>
      <w:tr>
        <w:trPr>
          <w:cantSplit/>
        </w:trPr>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Which quantity the operator acts upon</w:t>
            </w:r>
          </w:p>
        </w:tc>
        <w:tc>
          <w:tcPr>
            <w:tcW w:type="dxa" w:w="5890"/>
            <w:tcMar>
              <w:top w:w="60" w:type="dxa"/>
              <w:start w:w="90" w:type="dxa"/>
              <w:bottom w:w="60" w:type="dxa"/>
              <w:end w:w="90" w:type="dxa"/>
            </w:tcMar>
          </w:tcPr>
          <w:p>
            <w:pPr>
              <w:keepNext/>
              <w:spacing w:after="0" w:line="269" w:lineRule="auto"/>
              <w:jc w:val="left"/>
            </w:pPr>
            <w:r/>
            <w:r>
              <w:rPr>
                <w:rFonts w:ascii="Constantia" w:hAnsi="Constantia"/>
                <w:b/>
                <w:i w:val="0"/>
                <w:color w:val="243040"/>
                <w:sz w:val="18"/>
              </w:rPr>
              <w:t>Closed.</w:t>
            </w:r>
            <w:r>
              <w:rPr>
                <w:rFonts w:ascii="Constantia" w:hAnsi="Constantia"/>
                <w:b w:val="0"/>
                <w:i w:val="0"/>
                <w:color w:val="243040"/>
                <w:sz w:val="18"/>
              </w:rPr>
              <w:t xml:space="preserve"> A resolution, never a magnitude. Section four.</w:t>
            </w:r>
          </w:p>
        </w:tc>
      </w:tr>
      <w:tr>
        <w:trPr>
          <w:cantSplit/>
        </w:trPr>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What reference scale q</w:t>
            </w:r>
            <w:r>
              <w:rPr>
                <w:rFonts w:ascii="Constantia" w:hAnsi="Constantia"/>
                <w:b w:val="0"/>
                <w:i w:val="0"/>
                <w:color w:val="243040"/>
                <w:sz w:val="18"/>
                <w:vertAlign w:val="subscript"/>
              </w:rPr>
              <w:t>0</w:t>
            </w:r>
            <w:r>
              <w:rPr>
                <w:rFonts w:ascii="Constantia" w:hAnsi="Constantia"/>
                <w:b w:val="0"/>
                <w:i w:val="0"/>
                <w:color w:val="243040"/>
                <w:sz w:val="18"/>
              </w:rPr>
              <w:t xml:space="preserve"> makes the operator unit invariant</w:t>
            </w:r>
          </w:p>
        </w:tc>
        <w:tc>
          <w:tcPr>
            <w:tcW w:type="dxa" w:w="5890"/>
            <w:tcMar>
              <w:top w:w="60" w:type="dxa"/>
              <w:start w:w="90" w:type="dxa"/>
              <w:bottom w:w="60" w:type="dxa"/>
              <w:end w:w="90" w:type="dxa"/>
            </w:tcMar>
          </w:tcPr>
          <w:p>
            <w:pPr>
              <w:keepNext/>
              <w:spacing w:after="0" w:line="269" w:lineRule="auto"/>
              <w:jc w:val="left"/>
            </w:pPr>
            <w:r/>
            <w:r>
              <w:rPr>
                <w:rFonts w:ascii="Constantia" w:hAnsi="Constantia"/>
                <w:b/>
                <w:i w:val="0"/>
                <w:color w:val="243040"/>
                <w:sz w:val="18"/>
              </w:rPr>
              <w:t>Closed.</w:t>
            </w:r>
            <w:r>
              <w:rPr>
                <w:rFonts w:ascii="Constantia" w:hAnsi="Constantia"/>
                <w:b w:val="0"/>
                <w:i w:val="0"/>
                <w:color w:val="243040"/>
                <w:sz w:val="18"/>
              </w:rPr>
              <w:t xml:space="preserve"> q</w:t>
            </w:r>
            <w:r>
              <w:rPr>
                <w:rFonts w:ascii="Constantia" w:hAnsi="Constantia"/>
                <w:b w:val="0"/>
                <w:i w:val="0"/>
                <w:color w:val="243040"/>
                <w:sz w:val="18"/>
                <w:vertAlign w:val="subscript"/>
              </w:rPr>
              <w:t>0</w:t>
            </w:r>
            <w:r>
              <w:rPr>
                <w:rFonts w:ascii="Constantia" w:hAnsi="Constantia"/>
                <w:b w:val="0"/>
                <w:i w:val="0"/>
                <w:color w:val="243040"/>
                <w:sz w:val="18"/>
              </w:rPr>
              <w:t xml:space="preserve"> = δq. Same answer as the first, same question.</w:t>
            </w:r>
          </w:p>
        </w:tc>
      </w:tr>
      <w:tr>
        <w:trPr>
          <w:cantSplit/>
        </w:trPr>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How the record H should be defined per observable</w:t>
            </w:r>
          </w:p>
        </w:tc>
        <w:tc>
          <w:tcPr>
            <w:tcW w:type="dxa" w:w="589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Open. Total variation is the natural candidate and is what the discrete update already implements.</w:t>
            </w:r>
          </w:p>
        </w:tc>
      </w:tr>
      <w:tr>
        <w:trPr>
          <w:cantSplit/>
        </w:trPr>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Whether κ(σ) and ℓ</w:t>
            </w:r>
            <w:r>
              <w:rPr>
                <w:rFonts w:ascii="Constantia" w:hAnsi="Constantia"/>
                <w:b w:val="0"/>
                <w:i w:val="0"/>
                <w:color w:val="243040"/>
                <w:sz w:val="18"/>
                <w:vertAlign w:val="subscript"/>
              </w:rPr>
              <w:t>σ</w:t>
            </w:r>
            <w:r>
              <w:rPr>
                <w:rFonts w:ascii="Constantia" w:hAnsi="Constantia"/>
                <w:b w:val="0"/>
                <w:i w:val="0"/>
                <w:color w:val="243040"/>
                <w:sz w:val="18"/>
              </w:rPr>
              <w:t xml:space="preserve"> follow from the operator</w:t>
            </w:r>
          </w:p>
        </w:tc>
        <w:tc>
          <w:tcPr>
            <w:tcW w:type="dxa" w:w="589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Open, and now sharper: the operator supplies the σ dependence, so the coefficients should be read off ∂H</w:t>
            </w:r>
            <w:r>
              <w:rPr>
                <w:rFonts w:ascii="Constantia" w:hAnsi="Constantia"/>
                <w:b w:val="0"/>
                <w:i w:val="0"/>
                <w:color w:val="243040"/>
                <w:sz w:val="18"/>
                <w:vertAlign w:val="subscript"/>
              </w:rPr>
              <w:t>5</w:t>
            </w:r>
            <w:r>
              <w:rPr>
                <w:rFonts w:ascii="Constantia" w:hAnsi="Constantia"/>
                <w:b w:val="0"/>
                <w:i w:val="0"/>
                <w:color w:val="243040"/>
                <w:sz w:val="18"/>
              </w:rPr>
              <w:t>/∂σ rather than introduced.</w:t>
            </w:r>
          </w:p>
        </w:tc>
      </w:tr>
      <w:tr>
        <w:trPr>
          <w:cantSplit/>
        </w:trPr>
        <w:tc>
          <w:tcPr>
            <w:tcW w:type="dxa" w:w="4104"/>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Whether the locked law gives useful residual structure across fields</w:t>
            </w:r>
          </w:p>
        </w:tc>
        <w:tc>
          <w:tcPr>
            <w:tcW w:type="dxa" w:w="5890"/>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Open, and testable only below the join. Section five.</w:t>
            </w:r>
          </w:p>
        </w:tc>
      </w:tr>
      <w:tr>
        <w:trPr>
          <w:cantSplit/>
        </w:trPr>
        <w:tc>
          <w:tcPr>
            <w:tcW w:type="dxa" w:w="4104"/>
            <w:tcMar>
              <w:top w:w="60" w:type="dxa"/>
              <w:start w:w="90" w:type="dxa"/>
              <w:bottom w:w="60" w:type="dxa"/>
              <w:end w:w="90" w:type="dxa"/>
            </w:tcMar>
          </w:tcPr>
          <w:p>
            <w:pPr>
              <w:spacing w:after="0" w:line="269" w:lineRule="auto"/>
              <w:jc w:val="left"/>
            </w:pPr>
            <w:r/>
            <w:r>
              <w:rPr>
                <w:rFonts w:ascii="Constantia" w:hAnsi="Constantia"/>
                <w:b w:val="0"/>
                <w:i w:val="0"/>
                <w:color w:val="243040"/>
                <w:sz w:val="18"/>
              </w:rPr>
              <w:t>Whether personal time can be predicted independently</w:t>
            </w:r>
          </w:p>
        </w:tc>
        <w:tc>
          <w:tcPr>
            <w:tcW w:type="dxa" w:w="5890"/>
            <w:tcMar>
              <w:top w:w="60" w:type="dxa"/>
              <w:start w:w="90" w:type="dxa"/>
              <w:bottom w:w="60" w:type="dxa"/>
              <w:end w:w="90" w:type="dxa"/>
            </w:tcMar>
          </w:tcPr>
          <w:p>
            <w:pPr>
              <w:spacing w:after="0" w:line="269" w:lineRule="auto"/>
              <w:jc w:val="left"/>
            </w:pPr>
            <w:r/>
            <w:r>
              <w:rPr>
                <w:rFonts w:ascii="Constantia" w:hAnsi="Constantia"/>
                <w:b w:val="0"/>
                <w:i w:val="0"/>
                <w:color w:val="243040"/>
                <w:sz w:val="18"/>
              </w:rPr>
              <w:t>Open. This remains the principal unfinished component.</w:t>
            </w:r>
          </w:p>
        </w:tc>
      </w:tr>
    </w:tbl>
    <w:p>
      <w:pPr>
        <w:keepNext w:val="0"/>
        <w:spacing w:before="0" w:after="80" w:line="293" w:lineRule="auto"/>
        <w:jc w:val="both"/>
      </w:pPr>
    </w:p>
    <w:p>
      <w:pPr>
        <w:keepNext w:val="0"/>
        <w:spacing w:before="0" w:after="140" w:line="293" w:lineRule="auto"/>
        <w:jc w:val="both"/>
      </w:pPr>
      <w:r>
        <w:rPr>
          <w:rFonts w:ascii="Constantia" w:hAnsi="Constantia" w:eastAsia="Constantia"/>
          <w:b w:val="0"/>
          <w:i w:val="0"/>
          <w:color w:val="243040"/>
          <w:sz w:val="21"/>
        </w:rPr>
        <w:t>The empirical programme changes shape as a result. It is no longer a matter of running the operator on bodies and reading residuals, because above the join those residuals are below the framework's own noise and below the join the normalisation has to be declared first. The programme is:</w:t>
      </w:r>
    </w:p>
    <w:tbl>
      <w:tblPr>
        <w:tblW w:type="dxa" w:w="9993"/>
        <w:jc w:val="center"/>
        <w:tblLook w:firstColumn="1" w:firstRow="1" w:lastColumn="0" w:lastRow="0" w:noHBand="0" w:noVBand="1" w:val="04A0"/>
        <w:tblBorders>
          <w:top w:val="single" w:sz="4" w:color="C7D3DE" w:space="0"/>
          <w:start w:val="single" w:sz="4" w:color="C7D3DE" w:space="0"/>
          <w:bottom w:val="single" w:sz="4" w:color="C7D3DE" w:space="0"/>
          <w:end w:val="single" w:sz="4" w:color="C7D3DE" w:space="0"/>
          <w:insideH w:val="single" w:sz="4" w:color="C7D3DE" w:space="0"/>
          <w:insideV w:val="single" w:sz="4" w:color="C7D3DE" w:space="0"/>
        </w:tblBorders>
        <w:tblLayout w:type="fixed"/>
      </w:tblPr>
      <w:tblGrid>
        <w:gridCol w:w="792"/>
        <w:gridCol w:w="9201"/>
      </w:tblGrid>
      <w:tr>
        <w:trPr>
          <w:tblHeader/>
          <w:cantSplit/>
        </w:trPr>
        <w:tc>
          <w:tcPr>
            <w:tcW w:type="dxa" w:w="79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Step</w:t>
            </w:r>
          </w:p>
        </w:tc>
        <w:tc>
          <w:tcPr>
            <w:tcW w:type="dxa" w:w="9202"/>
            <w:shd w:val="clear" w:fill="DDE5EC"/>
            <w:tcMar>
              <w:top w:w="70" w:type="dxa"/>
              <w:start w:w="90" w:type="dxa"/>
              <w:bottom w:w="70" w:type="dxa"/>
              <w:end w:w="90" w:type="dxa"/>
            </w:tcMar>
          </w:tcPr>
          <w:p>
            <w:pPr>
              <w:keepNext/>
              <w:spacing w:after="0" w:line="269" w:lineRule="auto"/>
              <w:jc w:val="center"/>
            </w:pPr>
            <w:r/>
            <w:r>
              <w:rPr>
                <w:rFonts w:ascii="Constantia" w:hAnsi="Constantia"/>
                <w:b/>
                <w:i w:val="0"/>
                <w:color w:val="102A43"/>
                <w:sz w:val="17"/>
              </w:rPr>
              <w:t>What it requires</w:t>
            </w:r>
          </w:p>
        </w:tc>
      </w:tr>
      <w:tr>
        <w:trPr>
          <w:cantSplit/>
        </w:trPr>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1</w:t>
            </w:r>
          </w:p>
        </w:tc>
        <w:tc>
          <w:tcPr>
            <w:tcW w:type="dxa" w:w="920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For each observable, state δq from the measurement, not from a unit. That fixes N with no freedom.</w:t>
            </w:r>
          </w:p>
        </w:tc>
      </w:tr>
      <w:tr>
        <w:trPr>
          <w:cantSplit/>
        </w:trPr>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2</w:t>
            </w:r>
          </w:p>
        </w:tc>
        <w:tc>
          <w:tcPr>
            <w:tcW w:type="dxa" w:w="920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Keep only observables whose N falls below 169.44, since only those carry a claim the corpus licenses.</w:t>
            </w:r>
          </w:p>
        </w:tc>
      </w:tr>
      <w:tr>
        <w:trPr>
          <w:cantSplit/>
        </w:trPr>
        <w:tc>
          <w:tcPr>
            <w:tcW w:type="dxa" w:w="792"/>
            <w:tcMar>
              <w:top w:w="60" w:type="dxa"/>
              <w:start w:w="90" w:type="dxa"/>
              <w:bottom w:w="60" w:type="dxa"/>
              <w:end w:w="90" w:type="dxa"/>
            </w:tcMar>
          </w:tcPr>
          <w:p>
            <w:pPr>
              <w:keepNext/>
              <w:spacing w:after="0" w:line="269" w:lineRule="auto"/>
              <w:jc w:val="center"/>
            </w:pPr>
            <w:r/>
            <w:r>
              <w:rPr>
                <w:rFonts w:ascii="Constantia" w:hAnsi="Constantia"/>
                <w:b w:val="0"/>
                <w:i w:val="0"/>
                <w:color w:val="243040"/>
                <w:sz w:val="18"/>
              </w:rPr>
              <w:t>3</w:t>
            </w:r>
          </w:p>
        </w:tc>
        <w:tc>
          <w:tcPr>
            <w:tcW w:type="dxa" w:w="9202"/>
            <w:tcMar>
              <w:top w:w="60" w:type="dxa"/>
              <w:start w:w="90" w:type="dxa"/>
              <w:bottom w:w="60" w:type="dxa"/>
              <w:end w:w="90" w:type="dxa"/>
            </w:tcMar>
          </w:tcPr>
          <w:p>
            <w:pPr>
              <w:keepNext/>
              <w:spacing w:after="0" w:line="269" w:lineRule="auto"/>
              <w:jc w:val="left"/>
            </w:pPr>
            <w:r/>
            <w:r>
              <w:rPr>
                <w:rFonts w:ascii="Constantia" w:hAnsi="Constantia"/>
                <w:b w:val="0"/>
                <w:i w:val="0"/>
                <w:color w:val="243040"/>
                <w:sz w:val="18"/>
              </w:rPr>
              <w:t>Compare the deficit 5δq/q against the observed discrepancy, with the operator locked across every body.</w:t>
            </w:r>
          </w:p>
        </w:tc>
      </w:tr>
      <w:tr>
        <w:trPr>
          <w:cantSplit/>
        </w:trPr>
        <w:tc>
          <w:tcPr>
            <w:tcW w:type="dxa" w:w="792"/>
            <w:tcMar>
              <w:top w:w="60" w:type="dxa"/>
              <w:start w:w="90" w:type="dxa"/>
              <w:bottom w:w="60" w:type="dxa"/>
              <w:end w:w="90" w:type="dxa"/>
            </w:tcMar>
          </w:tcPr>
          <w:p>
            <w:pPr>
              <w:spacing w:after="0" w:line="269" w:lineRule="auto"/>
              <w:jc w:val="center"/>
            </w:pPr>
            <w:r/>
            <w:r>
              <w:rPr>
                <w:rFonts w:ascii="Constantia" w:hAnsi="Constantia"/>
                <w:b w:val="0"/>
                <w:i w:val="0"/>
                <w:color w:val="243040"/>
                <w:sz w:val="18"/>
              </w:rPr>
              <w:t>4</w:t>
            </w:r>
          </w:p>
        </w:tc>
        <w:tc>
          <w:tcPr>
            <w:tcW w:type="dxa" w:w="9202"/>
            <w:tcMar>
              <w:top w:w="60" w:type="dxa"/>
              <w:start w:w="90" w:type="dxa"/>
              <w:bottom w:w="60" w:type="dxa"/>
              <w:end w:w="90" w:type="dxa"/>
            </w:tcMar>
          </w:tcPr>
          <w:p>
            <w:pPr>
              <w:spacing w:after="0" w:line="269" w:lineRule="auto"/>
              <w:jc w:val="left"/>
            </w:pPr>
            <w:r/>
            <w:r>
              <w:rPr>
                <w:rFonts w:ascii="Constantia" w:hAnsi="Constantia"/>
                <w:b w:val="0"/>
                <w:i w:val="0"/>
                <w:color w:val="243040"/>
                <w:sz w:val="18"/>
              </w:rPr>
              <w:t>Record every failure. A residual that persists after N is raised is structure the operator does not explain, which is the outcome the operator is most useful for.</w:t>
            </w:r>
          </w:p>
        </w:tc>
      </w:tr>
    </w:tbl>
    <w:p>
      <w:pPr>
        <w:keepNext w:val="0"/>
        <w:spacing w:before="0" w:after="80" w:line="293" w:lineRule="auto"/>
        <w:jc w:val="both"/>
      </w:pPr>
    </w:p>
    <w:p>
      <w:pPr>
        <w:keepNext w:val="0"/>
        <w:spacing w:before="0" w:after="160" w:line="293" w:lineRule="auto"/>
        <w:jc w:val="both"/>
      </w:pPr>
    </w:p>
    <w:p>
      <w:pPr>
        <w:keepNext w:val="0"/>
        <w:spacing w:before="0" w:after="40" w:line="293" w:lineRule="auto"/>
        <w:jc w:val="both"/>
      </w:pPr>
    </w:p>
    <w:tbl>
      <w:tblPr>
        <w:tblW w:type="dxa" w:w="9993"/>
        <w:jc w:val="center"/>
        <w:tblLook w:firstColumn="1" w:firstRow="1" w:lastColumn="0" w:lastRow="0" w:noHBand="0" w:noVBand="1" w:val="04A0"/>
        <w:tblBorders>
          <w:top w:val="single" w:sz="2" w:color="F4F1E8" w:space="0"/>
          <w:start w:val="single" w:sz="2" w:color="F4F1E8" w:space="0"/>
          <w:bottom w:val="single" w:sz="2" w:color="F4F1E8" w:space="0"/>
          <w:end w:val="single" w:sz="2" w:color="F4F1E8" w:space="0"/>
          <w:insideH w:val="single" w:sz="2" w:color="F4F1E8" w:space="0"/>
          <w:insideV w:val="single" w:sz="2" w:color="F4F1E8" w:space="0"/>
        </w:tblBorders>
        <w:tblLayout w:type="fixed"/>
      </w:tblPr>
      <w:tblGrid>
        <w:gridCol w:w="9993"/>
      </w:tblGrid>
      <w:tr>
        <w:tc>
          <w:tcPr>
            <w:tcW w:type="dxa" w:w="9994"/>
            <w:shd w:val="clear" w:fill="F4F1E8"/>
            <w:tcMar>
              <w:top w:w="150" w:type="dxa"/>
              <w:start w:w="190" w:type="dxa"/>
              <w:bottom w:w="150" w:type="dxa"/>
              <w:end w:w="190" w:type="dxa"/>
            </w:tcMar>
            <w:tcBorders>
              <w:start w:val="single" w:sz="18" w:color="B48A2E" w:space="0"/>
            </w:tcBorders>
          </w:tcPr>
          <w:p>
            <w:pPr>
              <w:spacing w:after="80"/>
            </w:pPr>
            <w:r/>
            <w:r>
              <w:rPr>
                <w:rFonts w:ascii="Constantia" w:hAnsi="Constantia"/>
                <w:b/>
                <w:color w:val="B48A2E"/>
                <w:sz w:val="18"/>
              </w:rPr>
              <w:t>THE ONE-LINE VERSION</w:t>
            </w:r>
          </w:p>
          <w:p>
            <w:pPr>
              <w:spacing w:after="0" w:line="283" w:lineRule="auto"/>
              <w:jc w:val="both"/>
            </w:pPr>
            <w:r>
              <w:rPr>
                <w:rFonts w:ascii="Constantia" w:hAnsi="Constantia"/>
                <w:b w:val="0"/>
                <w:color w:val="243040"/>
                <w:sz w:val="19"/>
              </w:rPr>
              <w:t xml:space="preserve">A quantity known to a relative precision p carries an observer-state deficit of </w:t>
            </w:r>
            <w:r>
              <w:rPr>
                <w:rFonts w:ascii="Constantia" w:hAnsi="Constantia"/>
                <w:b/>
                <w:color w:val="243040"/>
                <w:sz w:val="19"/>
              </w:rPr>
              <w:t>5p</w:t>
            </w:r>
            <w:r>
              <w:rPr>
                <w:rFonts w:ascii="Constantia" w:hAnsi="Constantia"/>
                <w:b w:val="0"/>
                <w:color w:val="243040"/>
                <w:sz w:val="19"/>
              </w:rPr>
              <w:t>, where the five is the dimension of the observer state and nothing else. The deficit is unit-invariant, vanishes as the measurement improves, and is a claim the framework can defend only while it stays above the floor r³, which fixes the working resolution at 40φ³.</w:t>
            </w:r>
          </w:p>
        </w:tc>
      </w:tr>
    </w:tbl>
    <w:p>
      <w:pPr>
        <w:keepNext w:val="0"/>
        <w:spacing w:before="0" w:after="80" w:line="293" w:lineRule="auto"/>
        <w:jc w:val="both"/>
      </w:pPr>
    </w:p>
    <w:p>
      <w:pPr>
        <w:keepNext w:val="0"/>
        <w:spacing w:before="0" w:after="120" w:line="293" w:lineRule="auto"/>
        <w:jc w:val="both"/>
      </w:pPr>
    </w:p>
    <w:p>
      <w:pPr>
        <w:keepNext w:val="0"/>
        <w:spacing w:before="0" w:after="160" w:line="293" w:lineRule="auto"/>
        <w:jc w:val="center"/>
        <w:pBdr>
          <w:bottom w:val="single" w:sz="4" w:space="1" w:color="D8D8D8"/>
        </w:pBdr>
      </w:pPr>
    </w:p>
    <w:p>
      <w:pPr>
        <w:keepNext w:val="0"/>
        <w:spacing w:before="0" w:after="80" w:line="293" w:lineRule="auto"/>
        <w:jc w:val="left"/>
      </w:pPr>
      <w:r>
        <w:rPr>
          <w:rFonts w:ascii="Constantia" w:hAnsi="Constantia" w:eastAsia="Constantia"/>
          <w:b/>
          <w:i w:val="0"/>
          <w:color w:val="B48A2E"/>
          <w:sz w:val="18"/>
        </w:rPr>
        <w:t>PROVENANCE</w:t>
      </w:r>
    </w:p>
    <w:p>
      <w:pPr>
        <w:keepNext w:val="0"/>
        <w:spacing w:before="0" w:after="0" w:line="293" w:lineRule="auto"/>
        <w:jc w:val="both"/>
      </w:pPr>
      <w:r>
        <w:rPr>
          <w:rFonts w:ascii="Constantia" w:hAnsi="Constantia" w:eastAsia="Constantia"/>
          <w:b w:val="0"/>
          <w:i/>
          <w:color w:val="5B6B7A"/>
          <w:sz w:val="17"/>
        </w:rPr>
        <w:t>The operator H</w:t>
      </w:r>
      <w:r>
        <w:rPr>
          <w:rFonts w:ascii="Constantia" w:hAnsi="Constantia" w:eastAsia="Constantia"/>
          <w:b w:val="0"/>
          <w:i/>
          <w:color w:val="5B6B7A"/>
          <w:sz w:val="17"/>
          <w:vertAlign w:val="subscript"/>
        </w:rPr>
        <w:t>5</w:t>
      </w:r>
      <w:r>
        <w:rPr>
          <w:rFonts w:ascii="Constantia" w:hAnsi="Constantia" w:eastAsia="Constantia"/>
          <w:b w:val="0"/>
          <w:i/>
          <w:color w:val="5B6B7A"/>
          <w:sz w:val="17"/>
        </w:rPr>
        <w:t xml:space="preserve"> is Joseph Shields' own. It was written down first and its exponent was accounted for afterwards, which is the ordinary order of things and is recorded only because the order is worth knowing. This document supplies that account, the invariant definition of the resolution, the domain of validity, and the join point with the corpus floor. Every algebraic claim was verified symbolically. Personal Relativity Working Formalism, Draft 0.1, 30 July 2026.</w:t>
      </w:r>
    </w:p>
    <w:sectPr w:rsidR="00FC693F" w:rsidRPr="0006063C" w:rsidSect="00034616">
      <w:headerReference w:type="default" r:id="rId9"/>
      <w:footerReference w:type="default" r:id="rId10"/>
      <w:pgSz w:w="12240" w:h="15840"/>
      <w:pgMar w:top="979" w:right="1123" w:bottom="979" w:left="1123"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Constantia" w:hAnsi="Constantia"/>
          <w:sz w:val="17"/>
          <w:color w:val="5B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D8D8D8"/>
      </w:pBdr>
    </w:pPr>
    <w:r>
      <w:rPr>
        <w:rFonts w:ascii="Constantia" w:hAnsi="Constantia"/>
        <w:color w:val="B48A2E"/>
        <w:sz w:val="16"/>
      </w:rPr>
      <w:t>UNIFIED MECHANICS  ·  THE RESOLUTION OPERATOR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onstantia" w:hAnsi="Constantia" w:eastAsia="Constantia"/>
      <w:color w:val="24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