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600"/>
        <w:jc w:val="center"/>
      </w:pPr>
      <w:r>
        <w:rPr>
          <w:rFonts w:ascii="Constantia" w:cs="Constantia" w:eastAsia="Constantia" w:hAnsi="Constantia"/>
          <w:color w:val="B48A2E"/>
          <w:spacing w:val="54"/>
          <w:sz w:val="20"/>
          <w:szCs w:val="20"/>
        </w:rPr>
        <w:t xml:space="preserve">UNIFIED MECHANICS  ·  THE CORPUS</w:t>
      </w:r>
    </w:p>
    <w:p>
      <w:pPr>
        <w:spacing w:after="200"/>
        <w:jc w:val="center"/>
      </w:pPr>
      <w:r>
        <w:rPr>
          <w:rFonts w:ascii="Constantia" w:cs="Constantia" w:eastAsia="Constantia" w:hAnsi="Constantia"/>
          <w:b/>
          <w:bCs/>
          <w:color w:val="102A43"/>
          <w:sz w:val="44"/>
          <w:szCs w:val="44"/>
        </w:rPr>
        <w:t xml:space="preserve">The Papers Index</w:t>
      </w:r>
    </w:p>
    <w:p>
      <w:pPr>
        <w:pBdr>
          <w:top w:val="single" w:color="D8CBA8" w:sz="4" w:space="12"/>
        </w:pBdr>
        <w:spacing w:after="260"/>
        <w:ind w:left="1000" w:right="1000"/>
        <w:jc w:val="center"/>
      </w:pPr>
      <w:r>
        <w:rPr>
          <w:rFonts w:ascii="Constantia" w:cs="Constantia" w:eastAsia="Constantia" w:hAnsi="Constantia"/>
          <w:i/>
          <w:iCs/>
          <w:color w:val="5B6B7A"/>
          <w:sz w:val="24"/>
          <w:szCs w:val="24"/>
        </w:rPr>
        <w:t xml:space="preserve">Every issued paper, what it carries, what became of it, and an honest account of why the numbering looks the way it does.</w:t>
      </w:r>
    </w:p>
    <w:p>
      <w:pPr>
        <w:spacing w:after="40" w:before="500"/>
        <w:jc w:val="center"/>
      </w:pPr>
      <w:r>
        <w:rPr>
          <w:rFonts w:ascii="Constantia" w:cs="Constantia" w:eastAsia="Constantia" w:hAnsi="Constantia"/>
          <w:color w:val="102A43"/>
          <w:spacing w:val="46"/>
          <w:sz w:val="22"/>
          <w:szCs w:val="22"/>
        </w:rPr>
        <w:t xml:space="preserve">JOSEPH SHIELDS</w:t>
      </w:r>
    </w:p>
    <w:p>
      <w:pPr>
        <w:spacing w:after="500"/>
        <w:jc w:val="center"/>
      </w:pPr>
      <w:r>
        <w:rPr>
          <w:rFonts w:ascii="Constantia" w:cs="Constantia" w:eastAsia="Constantia" w:hAnsi="Constantia"/>
          <w:color w:val="B48A2E"/>
          <w:spacing w:val="34"/>
          <w:sz w:val="18"/>
          <w:szCs w:val="18"/>
        </w:rPr>
        <w:t xml:space="preserve">CORPUS EDITION  ·  2026  ·  FIFTH PRINTING</w:t>
      </w:r>
    </w:p>
    <w:p>
      <w:pPr>
        <w:keepNext/>
        <w:spacing w:after="60" w:before="460"/>
      </w:pPr>
      <w:r>
        <w:rPr>
          <w:rFonts w:ascii="Constantia" w:cs="Constantia" w:eastAsia="Constantia" w:hAnsi="Constantia"/>
          <w:b/>
          <w:bCs/>
          <w:color w:val="B48A2E"/>
          <w:spacing w:val="8"/>
          <w:sz w:val="22"/>
          <w:szCs w:val="22"/>
        </w:rPr>
        <w:t xml:space="preserve">ONE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How to read this sequence</w:t>
      </w:r>
    </w:p>
    <w:p>
      <w:pPr>
        <w:spacing w:after="160" w:line="296"/>
        <w:jc w:val="both"/>
      </w:pPr>
      <w:r>
        <w:rPr>
          <w:rFonts w:ascii="Constantia" w:cs="Constantia" w:eastAsia="Constantia" w:hAnsi="Constantia"/>
          <w:color w:val="243040"/>
          <w:sz w:val="21"/>
          <w:szCs w:val="21"/>
        </w:rPr>
        <w:t xml:space="preserve">The papers carry the full derivations behind the Monograph's movements. They are preserved as issued, which means they are not edited when the corpus moves on. Corrections belong in new printings and in this index, never in altered files, because a paper that changes silently after issue is not a record of anything.</w:t>
      </w:r>
    </w:p>
    <w:p>
      <w:pPr>
        <w:spacing w:after="160" w:line="296"/>
        <w:jc w:val="both"/>
      </w:pPr>
      <w:r>
        <w:rPr>
          <w:rFonts w:ascii="Constantia" w:cs="Constantia" w:eastAsia="Constantia" w:hAnsi="Constantia"/>
          <w:color w:val="243040"/>
          <w:sz w:val="21"/>
          <w:szCs w:val="21"/>
        </w:rPr>
        <w:t xml:space="preserve">Three consequences follow, and all three are visible below. Some papers are superseded in substance while remaining authoritative as provenance. Some were issued under titles the corpus no longer uses. And some cite movements by numbers that have since shifted, because the Fourth Printing inserted four movements. Part Nine of the Formal Register carries the concordance; use it whenever an issued paper names a movement number.</w:t>
      </w:r>
    </w:p>
    <w:p>
      <w:pPr>
        <w:keepNext/>
        <w:spacing w:after="60" w:before="460"/>
      </w:pPr>
      <w:r>
        <w:rPr>
          <w:rFonts w:ascii="Constantia" w:cs="Constantia" w:eastAsia="Constantia" w:hAnsi="Constantia"/>
          <w:b/>
          <w:bCs/>
          <w:color w:val="B48A2E"/>
          <w:spacing w:val="8"/>
          <w:sz w:val="22"/>
          <w:szCs w:val="22"/>
        </w:rPr>
        <w:t xml:space="preserve">TWO</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numbering, explained</w:t>
      </w:r>
    </w:p>
    <w:p>
      <w:pPr>
        <w:spacing w:after="160" w:line="296"/>
        <w:jc w:val="both"/>
      </w:pPr>
      <w:r>
        <w:rPr>
          <w:rFonts w:ascii="Constantia" w:cs="Constantia" w:eastAsia="Constantia" w:hAnsi="Constantia"/>
          <w:color w:val="243040"/>
          <w:sz w:val="21"/>
          <w:szCs w:val="21"/>
        </w:rPr>
        <w:t xml:space="preserve">The sequence begins at 04 and skips 06 and 07. Neither is an accident and neither is a missing file.</w:t>
      </w:r>
    </w:p>
    <w:p>
      <w:pPr>
        <w:spacing w:after="110" w:line="288"/>
        <w:ind w:left="300" w:hanging="300"/>
        <w:jc w:val="both"/>
      </w:pPr>
      <w:r>
        <w:rPr>
          <w:rFonts w:ascii="Constantia" w:cs="Constantia" w:eastAsia="Constantia" w:hAnsi="Constantia"/>
          <w:b/>
          <w:bCs/>
          <w:color w:val="B48A2E"/>
          <w:sz w:val="20"/>
          <w:szCs w:val="20"/>
        </w:rPr>
        <w:t xml:space="preserve">01, 02 and 03  </w:t>
      </w:r>
      <w:r>
        <w:rPr>
          <w:rFonts w:ascii="Constantia" w:cs="Constantia" w:eastAsia="Constantia" w:hAnsi="Constantia"/>
          <w:color w:val="243040"/>
          <w:sz w:val="20"/>
          <w:szCs w:val="20"/>
        </w:rPr>
        <w:t xml:space="preserve">Never issued. The technical sequence was fixed at the start of the Corpus Edition and began at 04. The material that would have occupied those numbers is carried by the opening movements of the Monograph and by Papers 04 and 05.</w:t>
      </w:r>
    </w:p>
    <w:p>
      <w:pPr>
        <w:spacing w:after="110" w:line="288"/>
        <w:ind w:left="300" w:hanging="300"/>
        <w:jc w:val="both"/>
      </w:pPr>
      <w:r>
        <w:rPr>
          <w:rFonts w:ascii="Constantia" w:cs="Constantia" w:eastAsia="Constantia" w:hAnsi="Constantia"/>
          <w:b/>
          <w:bCs/>
          <w:color w:val="B48A2E"/>
          <w:sz w:val="20"/>
          <w:szCs w:val="20"/>
        </w:rPr>
        <w:t xml:space="preserve">06 and 07  </w:t>
      </w:r>
      <w:r>
        <w:rPr>
          <w:rFonts w:ascii="Constantia" w:cs="Constantia" w:eastAsia="Constantia" w:hAnsi="Constantia"/>
          <w:color w:val="243040"/>
          <w:sz w:val="20"/>
          <w:szCs w:val="20"/>
        </w:rPr>
        <w:t xml:space="preserve">Not papers. Those numbers were used by the Companion works, which are teaching and interpretive surfaces rather than derivations. In this printing the Companion works are relabelled Companion 1 to 4 to end a genuine collision: under the old scheme, 08 and 09 each named two different objects, one paper and one interactive, in two different folders.</w:t>
      </w:r>
    </w:p>
    <w:p>
      <w:pPr>
        <w:spacing w:after="110" w:line="288"/>
        <w:ind w:left="300" w:hanging="300"/>
        <w:jc w:val="both"/>
      </w:pPr>
      <w:r>
        <w:rPr>
          <w:rFonts w:ascii="Constantia" w:cs="Constantia" w:eastAsia="Constantia" w:hAnsi="Constantia"/>
          <w:b/>
          <w:bCs/>
          <w:color w:val="B48A2E"/>
          <w:sz w:val="20"/>
          <w:szCs w:val="20"/>
        </w:rPr>
        <w:t xml:space="preserve">11 and 12  </w:t>
      </w:r>
      <w:r>
        <w:rPr>
          <w:rFonts w:ascii="Constantia" w:cs="Constantia" w:eastAsia="Constantia" w:hAnsi="Constantia"/>
          <w:color w:val="243040"/>
          <w:sz w:val="20"/>
          <w:szCs w:val="20"/>
        </w:rPr>
        <w:t xml:space="preserve">Issued against an earlier working-paper sequence offset by one. What the corpus calls Paper 11 was working paper 10, and Paper 12 was working paper 11. Both working originals are preserved in the Archive under their original names, which is why a reader browsing the Archive will find file numbers that do not match the issued ones.</w:t>
      </w:r>
    </w:p>
    <w:p>
      <w:pPr>
        <w:spacing w:after="110" w:line="288"/>
        <w:ind w:left="300" w:hanging="300"/>
        <w:jc w:val="both"/>
      </w:pPr>
      <w:r>
        <w:rPr>
          <w:rFonts w:ascii="Constantia" w:cs="Constantia" w:eastAsia="Constantia" w:hAnsi="Constantia"/>
          <w:b/>
          <w:bCs/>
          <w:color w:val="B48A2E"/>
          <w:sz w:val="20"/>
          <w:szCs w:val="20"/>
        </w:rPr>
        <w:t xml:space="preserve">13  </w:t>
      </w:r>
      <w:r>
        <w:rPr>
          <w:rFonts w:ascii="Constantia" w:cs="Constantia" w:eastAsia="Constantia" w:hAnsi="Constantia"/>
          <w:color w:val="243040"/>
          <w:sz w:val="20"/>
          <w:szCs w:val="20"/>
        </w:rPr>
        <w:t xml:space="preserve">Issued under the title Monograph II, The Logic of Physical Action. That title is historical. It is a technical source paper and it does not constitute a second volume of the corpus. The current hierarchy is in the Atlas.</w:t>
      </w:r>
    </w:p>
    <w:p>
      <w:pPr>
        <w:spacing w:after="110" w:line="288"/>
        <w:ind w:left="300" w:hanging="300"/>
        <w:jc w:val="both"/>
      </w:pPr>
      <w:r>
        <w:rPr>
          <w:rFonts w:ascii="Constantia" w:cs="Constantia" w:eastAsia="Constantia" w:hAnsi="Constantia"/>
          <w:b/>
          <w:bCs/>
          <w:color w:val="B48A2E"/>
          <w:sz w:val="20"/>
          <w:szCs w:val="20"/>
        </w:rPr>
        <w:t xml:space="preserve">19  </w:t>
      </w:r>
      <w:r>
        <w:rPr>
          <w:rFonts w:ascii="Constantia" w:cs="Constantia" w:eastAsia="Constantia" w:hAnsi="Constantia"/>
          <w:color w:val="243040"/>
          <w:sz w:val="20"/>
          <w:szCs w:val="20"/>
        </w:rPr>
        <w:t xml:space="preserve">Issued with the title The Five Coordinates and later renamed The Closing Ledger. The file carries the current name; the title page inside carries the issued one. That mismatch is deliberate and is recorded here rather than repaired, because repairing it would mean editing an issued object.</w:t>
      </w:r>
    </w:p>
    <w:p>
      <w:pPr>
        <w:keepNext/>
        <w:spacing w:after="60" w:before="460"/>
      </w:pPr>
      <w:r>
        <w:rPr>
          <w:rFonts w:ascii="Constantia" w:cs="Constantia" w:eastAsia="Constantia" w:hAnsi="Constantia"/>
          <w:b/>
          <w:bCs/>
          <w:color w:val="B48A2E"/>
          <w:spacing w:val="8"/>
          <w:sz w:val="22"/>
          <w:szCs w:val="22"/>
        </w:rPr>
        <w:t xml:space="preserve">THREE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papers</w:t>
      </w:r>
    </w:p>
    <w:p>
      <w:pPr>
        <w:spacing w:after="110" w:line="288"/>
        <w:ind w:left="300" w:hanging="300"/>
        <w:jc w:val="both"/>
      </w:pPr>
      <w:r>
        <w:rPr>
          <w:rFonts w:ascii="Constantia" w:cs="Constantia" w:eastAsia="Constantia" w:hAnsi="Constantia"/>
          <w:b/>
          <w:bCs/>
          <w:color w:val="B48A2E"/>
          <w:sz w:val="20"/>
          <w:szCs w:val="20"/>
        </w:rPr>
        <w:t xml:space="preserve">04  The Realisation and Self-Description Principle  </w:t>
      </w:r>
      <w:r>
        <w:rPr>
          <w:rFonts w:ascii="Constantia" w:cs="Constantia" w:eastAsia="Constantia" w:hAnsi="Constantia"/>
          <w:color w:val="243040"/>
          <w:sz w:val="20"/>
          <w:szCs w:val="20"/>
        </w:rPr>
        <w:t xml:space="preserve">The opening principle in technical form. Current as the foundational statement. Carries the ground beneath Movements One to Three.</w:t>
      </w:r>
    </w:p>
    <w:p>
      <w:pPr>
        <w:spacing w:after="110" w:line="288"/>
        <w:ind w:left="300" w:hanging="300"/>
        <w:jc w:val="both"/>
      </w:pPr>
      <w:r>
        <w:rPr>
          <w:rFonts w:ascii="Constantia" w:cs="Constantia" w:eastAsia="Constantia" w:hAnsi="Constantia"/>
          <w:b/>
          <w:bCs/>
          <w:color w:val="B48A2E"/>
          <w:sz w:val="20"/>
          <w:szCs w:val="20"/>
        </w:rPr>
        <w:t xml:space="preserve">05  The Snowflake Realisation Closure Theorem  </w:t>
      </w:r>
      <w:r>
        <w:rPr>
          <w:rFonts w:ascii="Constantia" w:cs="Constantia" w:eastAsia="Constantia" w:hAnsi="Constantia"/>
          <w:color w:val="243040"/>
          <w:sz w:val="20"/>
          <w:szCs w:val="20"/>
        </w:rPr>
        <w:t xml:space="preserve">The closure theorem in its original setting. Current as provenance; its content is carried forward by Papers 10 and 11.</w:t>
      </w:r>
    </w:p>
    <w:p>
      <w:pPr>
        <w:spacing w:after="110" w:line="288"/>
        <w:ind w:left="300" w:hanging="300"/>
        <w:jc w:val="both"/>
      </w:pPr>
      <w:r>
        <w:rPr>
          <w:rFonts w:ascii="Constantia" w:cs="Constantia" w:eastAsia="Constantia" w:hAnsi="Constantia"/>
          <w:b/>
          <w:bCs/>
          <w:color w:val="B48A2E"/>
          <w:sz w:val="20"/>
          <w:szCs w:val="20"/>
        </w:rPr>
        <w:t xml:space="preserve">08  Research Notes, The Self-Dual Carrier and the Silver Interface  </w:t>
      </w:r>
      <w:r>
        <w:rPr>
          <w:rFonts w:ascii="Constantia" w:cs="Constantia" w:eastAsia="Constantia" w:hAnsi="Constantia"/>
          <w:color w:val="243040"/>
          <w:sz w:val="20"/>
          <w:szCs w:val="20"/>
        </w:rPr>
        <w:t xml:space="preserve">The carrier's self-duality and the interface. Source treatment behind Movement Nine. Substantially superseded by Paper 20 on the descent, and by Paper 21 on what the carrier decays to.</w:t>
      </w:r>
    </w:p>
    <w:p>
      <w:pPr>
        <w:spacing w:after="110" w:line="288"/>
        <w:ind w:left="300" w:hanging="300"/>
        <w:jc w:val="both"/>
      </w:pPr>
      <w:r>
        <w:rPr>
          <w:rFonts w:ascii="Constantia" w:cs="Constantia" w:eastAsia="Constantia" w:hAnsi="Constantia"/>
          <w:b/>
          <w:bCs/>
          <w:color w:val="B48A2E"/>
          <w:sz w:val="20"/>
          <w:szCs w:val="20"/>
        </w:rPr>
        <w:t xml:space="preserve">09  Interpretations, The Golden Skeleton of E8  </w:t>
      </w:r>
      <w:r>
        <w:rPr>
          <w:rFonts w:ascii="Constantia" w:cs="Constantia" w:eastAsia="Constantia" w:hAnsi="Constantia"/>
          <w:color w:val="243040"/>
          <w:sz w:val="20"/>
          <w:szCs w:val="20"/>
        </w:rPr>
        <w:t xml:space="preserve">The golden ring pairing in the Coxeter plane, T12. Current. The numerical certificate reproduces from e8_golden_tests.py.</w:t>
      </w:r>
    </w:p>
    <w:p>
      <w:pPr>
        <w:spacing w:after="110" w:line="288"/>
        <w:ind w:left="300" w:hanging="300"/>
        <w:jc w:val="both"/>
      </w:pPr>
      <w:r>
        <w:rPr>
          <w:rFonts w:ascii="Constantia" w:cs="Constantia" w:eastAsia="Constantia" w:hAnsi="Constantia"/>
          <w:b/>
          <w:bCs/>
          <w:color w:val="B48A2E"/>
          <w:sz w:val="20"/>
          <w:szCs w:val="20"/>
        </w:rPr>
        <w:t xml:space="preserve">10  The Interface Work Integral, Settling the Root Three  </w:t>
      </w:r>
      <w:r>
        <w:rPr>
          <w:rFonts w:ascii="Constantia" w:cs="Constantia" w:eastAsia="Constantia" w:hAnsi="Constantia"/>
          <w:color w:val="243040"/>
          <w:sz w:val="20"/>
          <w:szCs w:val="20"/>
        </w:rPr>
        <w:t xml:space="preserve">Where the root three came from before it was derived. The derivation is now T11 in Paper 20, which identifies it as the root cell area rather than a fitted covolume. Current as provenance.</w:t>
      </w:r>
    </w:p>
    <w:p>
      <w:pPr>
        <w:spacing w:after="110" w:line="288"/>
        <w:ind w:left="300" w:hanging="300"/>
        <w:jc w:val="both"/>
      </w:pPr>
      <w:r>
        <w:rPr>
          <w:rFonts w:ascii="Constantia" w:cs="Constantia" w:eastAsia="Constantia" w:hAnsi="Constantia"/>
          <w:b/>
          <w:bCs/>
          <w:color w:val="B48A2E"/>
          <w:sz w:val="20"/>
          <w:szCs w:val="20"/>
        </w:rPr>
        <w:t xml:space="preserve">11  End-to-End Interface Closure, The Theorem Queue  </w:t>
      </w:r>
      <w:r>
        <w:rPr>
          <w:rFonts w:ascii="Constantia" w:cs="Constantia" w:eastAsia="Constantia" w:hAnsi="Constantia"/>
          <w:color w:val="243040"/>
          <w:sz w:val="20"/>
          <w:szCs w:val="20"/>
        </w:rPr>
        <w:t xml:space="preserve">The vacuum readout, four pi over root three times r to the two hundred and fortieth, with the Gauss-Bonnet argument for the four pi and the published failure mode if the observer boundary has nonzero genus. Current, and load-bearing for Paper 21 Section Nine.</w:t>
      </w:r>
    </w:p>
    <w:p>
      <w:pPr>
        <w:spacing w:after="110" w:line="288"/>
        <w:ind w:left="300" w:hanging="300"/>
        <w:jc w:val="both"/>
      </w:pPr>
      <w:r>
        <w:rPr>
          <w:rFonts w:ascii="Constantia" w:cs="Constantia" w:eastAsia="Constantia" w:hAnsi="Constantia"/>
          <w:b/>
          <w:bCs/>
          <w:color w:val="B48A2E"/>
          <w:sz w:val="20"/>
          <w:szCs w:val="20"/>
        </w:rPr>
        <w:t xml:space="preserve">12  Theorem Queue Proof Ledger  </w:t>
      </w:r>
      <w:r>
        <w:rPr>
          <w:rFonts w:ascii="Constantia" w:cs="Constantia" w:eastAsia="Constantia" w:hAnsi="Constantia"/>
          <w:color w:val="243040"/>
          <w:sz w:val="20"/>
          <w:szCs w:val="20"/>
        </w:rPr>
        <w:t xml:space="preserve">The proof ledger behind Paper 11, including its explicit stop conditions and counterexamples. Current, and the best short statement anywhere in the corpus of how the vacuum readout could fail.</w:t>
      </w:r>
    </w:p>
    <w:p>
      <w:pPr>
        <w:spacing w:after="110" w:line="288"/>
        <w:ind w:left="300" w:hanging="300"/>
        <w:jc w:val="both"/>
      </w:pPr>
      <w:r>
        <w:rPr>
          <w:rFonts w:ascii="Constantia" w:cs="Constantia" w:eastAsia="Constantia" w:hAnsi="Constantia"/>
          <w:b/>
          <w:bCs/>
          <w:color w:val="B48A2E"/>
          <w:sz w:val="20"/>
          <w:szCs w:val="20"/>
        </w:rPr>
        <w:t xml:space="preserve">13  The Logic of Physical Action  </w:t>
      </w:r>
      <w:r>
        <w:rPr>
          <w:rFonts w:ascii="Constantia" w:cs="Constantia" w:eastAsia="Constantia" w:hAnsi="Constantia"/>
          <w:color w:val="243040"/>
          <w:sz w:val="20"/>
          <w:szCs w:val="20"/>
        </w:rPr>
        <w:t xml:space="preserve">The major synthetic technical monograph, issued as Monograph II. Carries superposition, complex phase, the Born pricing and unitarity in full. Current, and the largest single technical source in the corpus.</w:t>
      </w:r>
    </w:p>
    <w:p>
      <w:pPr>
        <w:spacing w:after="110" w:line="288"/>
        <w:ind w:left="300" w:hanging="300"/>
        <w:jc w:val="both"/>
      </w:pPr>
      <w:r>
        <w:rPr>
          <w:rFonts w:ascii="Constantia" w:cs="Constantia" w:eastAsia="Constantia" w:hAnsi="Constantia"/>
          <w:b/>
          <w:bCs/>
          <w:color w:val="B48A2E"/>
          <w:sz w:val="20"/>
          <w:szCs w:val="20"/>
        </w:rPr>
        <w:t xml:space="preserve">14  Before the Form, Spencer-Brown and Traversal  </w:t>
      </w:r>
      <w:r>
        <w:rPr>
          <w:rFonts w:ascii="Constantia" w:cs="Constantia" w:eastAsia="Constantia" w:hAnsi="Constantia"/>
          <w:color w:val="243040"/>
          <w:sz w:val="20"/>
          <w:szCs w:val="20"/>
        </w:rPr>
        <w:t xml:space="preserve">Source treatment, substantially integrated into Paper 13. Retained for its standalone readability and its provenance.</w:t>
      </w:r>
    </w:p>
    <w:p>
      <w:pPr>
        <w:spacing w:after="110" w:line="288"/>
        <w:ind w:left="300" w:hanging="300"/>
        <w:jc w:val="both"/>
      </w:pPr>
      <w:r>
        <w:rPr>
          <w:rFonts w:ascii="Constantia" w:cs="Constantia" w:eastAsia="Constantia" w:hAnsi="Constantia"/>
          <w:b/>
          <w:bCs/>
          <w:color w:val="B48A2E"/>
          <w:sz w:val="20"/>
          <w:szCs w:val="20"/>
        </w:rPr>
        <w:t xml:space="preserve">15  Bounded Possibility  </w:t>
      </w:r>
      <w:r>
        <w:rPr>
          <w:rFonts w:ascii="Constantia" w:cs="Constantia" w:eastAsia="Constantia" w:hAnsi="Constantia"/>
          <w:color w:val="243040"/>
          <w:sz w:val="20"/>
          <w:szCs w:val="20"/>
        </w:rPr>
        <w:t xml:space="preserve">Source treatment, substantially integrated into Paper 13. Carries the probability layer.</w:t>
      </w:r>
    </w:p>
    <w:p>
      <w:pPr>
        <w:spacing w:after="110" w:line="288"/>
        <w:ind w:left="300" w:hanging="300"/>
        <w:jc w:val="both"/>
      </w:pPr>
      <w:r>
        <w:rPr>
          <w:rFonts w:ascii="Constantia" w:cs="Constantia" w:eastAsia="Constantia" w:hAnsi="Constantia"/>
          <w:b/>
          <w:bCs/>
          <w:color w:val="B48A2E"/>
          <w:sz w:val="20"/>
          <w:szCs w:val="20"/>
        </w:rPr>
        <w:t xml:space="preserve">16  Principles of Observation and Mechanical Observation  </w:t>
      </w:r>
      <w:r>
        <w:rPr>
          <w:rFonts w:ascii="Constantia" w:cs="Constantia" w:eastAsia="Constantia" w:hAnsi="Constantia"/>
          <w:color w:val="243040"/>
          <w:sz w:val="20"/>
          <w:szCs w:val="20"/>
        </w:rPr>
        <w:t xml:space="preserve">The three lenses and the mechanical observer, D12. Source treatment integrated into Paper 13, and independently important: this is where the instrument that opened the ledger in Paper 21 was defined.</w:t>
      </w:r>
    </w:p>
    <w:p>
      <w:pPr>
        <w:spacing w:after="110" w:line="288"/>
        <w:ind w:left="300" w:hanging="300"/>
        <w:jc w:val="both"/>
      </w:pPr>
      <w:r>
        <w:rPr>
          <w:rFonts w:ascii="Constantia" w:cs="Constantia" w:eastAsia="Constantia" w:hAnsi="Constantia"/>
          <w:b/>
          <w:bCs/>
          <w:color w:val="B48A2E"/>
          <w:sz w:val="20"/>
          <w:szCs w:val="20"/>
        </w:rPr>
        <w:t xml:space="preserve">17  Field Assembly and Lossless Transcription  </w:t>
      </w:r>
      <w:r>
        <w:rPr>
          <w:rFonts w:ascii="Constantia" w:cs="Constantia" w:eastAsia="Constantia" w:hAnsi="Constantia"/>
          <w:color w:val="243040"/>
          <w:sz w:val="20"/>
          <w:szCs w:val="20"/>
        </w:rPr>
        <w:t xml:space="preserve">Independent technical continuation. Current. Carries the formal layer behind the middle movements.</w:t>
      </w:r>
    </w:p>
    <w:p>
      <w:pPr>
        <w:spacing w:after="110" w:line="288"/>
        <w:ind w:left="300" w:hanging="300"/>
        <w:jc w:val="both"/>
      </w:pPr>
      <w:r>
        <w:rPr>
          <w:rFonts w:ascii="Constantia" w:cs="Constantia" w:eastAsia="Constantia" w:hAnsi="Constantia"/>
          <w:b/>
          <w:bCs/>
          <w:color w:val="B48A2E"/>
          <w:sz w:val="20"/>
          <w:szCs w:val="20"/>
        </w:rPr>
        <w:t xml:space="preserve">18  The Quantised Crossing and the Closure of the Open Ledger  </w:t>
      </w:r>
      <w:r>
        <w:rPr>
          <w:rFonts w:ascii="Constantia" w:cs="Constantia" w:eastAsia="Constantia" w:hAnsi="Constantia"/>
          <w:color w:val="243040"/>
          <w:sz w:val="20"/>
          <w:szCs w:val="20"/>
        </w:rPr>
        <w:t xml:space="preserve">The exactness of the traversal price, T6, and the record results T27 and T28. Current. Cites the Third Printing movement numbering.</w:t>
      </w:r>
    </w:p>
    <w:p>
      <w:pPr>
        <w:spacing w:after="110" w:line="288"/>
        <w:ind w:left="300" w:hanging="300"/>
        <w:jc w:val="both"/>
      </w:pPr>
      <w:r>
        <w:rPr>
          <w:rFonts w:ascii="Constantia" w:cs="Constantia" w:eastAsia="Constantia" w:hAnsi="Constantia"/>
          <w:b/>
          <w:bCs/>
          <w:color w:val="B48A2E"/>
          <w:sz w:val="20"/>
          <w:szCs w:val="20"/>
        </w:rPr>
        <w:t xml:space="preserve">19  The Closing Ledger  </w:t>
      </w:r>
      <w:r>
        <w:rPr>
          <w:rFonts w:ascii="Constantia" w:cs="Constantia" w:eastAsia="Constantia" w:hAnsi="Constantia"/>
          <w:color w:val="243040"/>
          <w:sz w:val="20"/>
          <w:szCs w:val="20"/>
        </w:rPr>
        <w:t xml:space="preserve">The five remaining ledger items attacked with the three lenses. Carries T18. Current. Issued as The Five Coordinates and cites the Third Printing movement numbering.</w:t>
      </w:r>
    </w:p>
    <w:p>
      <w:pPr>
        <w:spacing w:after="110" w:line="288"/>
        <w:ind w:left="300" w:hanging="300"/>
        <w:jc w:val="both"/>
      </w:pPr>
      <w:r>
        <w:rPr>
          <w:rFonts w:ascii="Constantia" w:cs="Constantia" w:eastAsia="Constantia" w:hAnsi="Constantia"/>
          <w:b/>
          <w:bCs/>
          <w:color w:val="B48A2E"/>
          <w:sz w:val="20"/>
          <w:szCs w:val="20"/>
        </w:rPr>
        <w:t xml:space="preserve">20  The Forward Closure  </w:t>
      </w:r>
      <w:r>
        <w:rPr>
          <w:rFonts w:ascii="Constantia" w:cs="Constantia" w:eastAsia="Constantia" w:hAnsi="Constantia"/>
          <w:color w:val="243040"/>
          <w:sz w:val="20"/>
          <w:szCs w:val="20"/>
        </w:rPr>
        <w:t xml:space="preserve">The derivation behind Movements Nine to Twenty: the carrier, the descent, what survives it, and the sorting of gravity, gauge, matter and mass by a single operator. Carries T10, T11, T13, T14, T24 and T25. Current, and uses the current movement numbering.</w:t>
      </w:r>
    </w:p>
    <w:p>
      <w:pPr>
        <w:spacing w:after="110" w:line="288"/>
        <w:ind w:left="300" w:hanging="300"/>
        <w:jc w:val="both"/>
      </w:pPr>
      <w:r>
        <w:rPr>
          <w:rFonts w:ascii="Constantia" w:cs="Constantia" w:eastAsia="Constantia" w:hAnsi="Constantia"/>
          <w:b/>
          <w:bCs/>
          <w:color w:val="B48A2E"/>
          <w:sz w:val="20"/>
          <w:szCs w:val="20"/>
        </w:rPr>
        <w:t xml:space="preserve">21  The Rank-Three Decay  </w:t>
      </w:r>
      <w:r>
        <w:rPr>
          <w:rFonts w:ascii="Constantia" w:cs="Constantia" w:eastAsia="Constantia" w:hAnsi="Constantia"/>
          <w:color w:val="243040"/>
          <w:sz w:val="20"/>
          <w:szCs w:val="20"/>
        </w:rPr>
        <w:t xml:space="preserve">New in this printing. Carries T29 to T32: that the spatial rank is the dimension of the surviving block, that E8 has exactly three rank-three subsystems, that two are forbidden by results the corpus already proves, and that a complete carrier closure exists. Answers or reduces five of the seven proof obligations. Uses the current movement numbering.</w:t>
      </w:r>
    </w:p>
    <w:p>
      <w:pPr>
        <w:keepNext/>
        <w:spacing w:after="60" w:before="460"/>
      </w:pPr>
      <w:r>
        <w:rPr>
          <w:rFonts w:ascii="Constantia" w:cs="Constantia" w:eastAsia="Constantia" w:hAnsi="Constantia"/>
          <w:b/>
          <w:bCs/>
          <w:color w:val="B48A2E"/>
          <w:spacing w:val="8"/>
          <w:sz w:val="22"/>
          <w:szCs w:val="22"/>
        </w:rPr>
        <w:t xml:space="preserve">FOUR</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The Companion works</w:t>
      </w:r>
    </w:p>
    <w:p>
      <w:pPr>
        <w:spacing w:after="160" w:line="296"/>
        <w:jc w:val="both"/>
      </w:pPr>
      <w:r>
        <w:rPr>
          <w:rFonts w:ascii="Constantia" w:cs="Constantia" w:eastAsia="Constantia" w:hAnsi="Constantia"/>
          <w:color w:val="243040"/>
          <w:sz w:val="21"/>
          <w:szCs w:val="21"/>
        </w:rPr>
        <w:t xml:space="preserve">Teaching and interpretive surfaces. None of them is a source for a formal claim, and none should be cited as one.</w:t>
      </w:r>
    </w:p>
    <w:p>
      <w:pPr>
        <w:spacing w:after="110" w:line="288"/>
        <w:ind w:left="300" w:hanging="300"/>
        <w:jc w:val="both"/>
      </w:pPr>
      <w:r>
        <w:rPr>
          <w:rFonts w:ascii="Constantia" w:cs="Constantia" w:eastAsia="Constantia" w:hAnsi="Constantia"/>
          <w:b/>
          <w:bCs/>
          <w:color w:val="B48A2E"/>
          <w:sz w:val="20"/>
          <w:szCs w:val="20"/>
        </w:rPr>
        <w:t xml:space="preserve">Companion 1  The Semantic Word System  </w:t>
      </w:r>
      <w:r>
        <w:rPr>
          <w:rFonts w:ascii="Constantia" w:cs="Constantia" w:eastAsia="Constantia" w:hAnsi="Constantia"/>
          <w:color w:val="243040"/>
          <w:sz w:val="20"/>
          <w:szCs w:val="20"/>
        </w:rPr>
        <w:t xml:space="preserve">Illustrative. The vocabulary laid out as a system.</w:t>
      </w:r>
    </w:p>
    <w:p>
      <w:pPr>
        <w:spacing w:after="110" w:line="288"/>
        <w:ind w:left="300" w:hanging="300"/>
        <w:jc w:val="both"/>
      </w:pPr>
      <w:r>
        <w:rPr>
          <w:rFonts w:ascii="Constantia" w:cs="Constantia" w:eastAsia="Constantia" w:hAnsi="Constantia"/>
          <w:b/>
          <w:bCs/>
          <w:color w:val="B48A2E"/>
          <w:sz w:val="20"/>
          <w:szCs w:val="20"/>
        </w:rPr>
        <w:t xml:space="preserve">Companion 2  The Snowflake Observatory  </w:t>
      </w:r>
      <w:r>
        <w:rPr>
          <w:rFonts w:ascii="Constantia" w:cs="Constantia" w:eastAsia="Constantia" w:hAnsi="Constantia"/>
          <w:color w:val="243040"/>
          <w:sz w:val="20"/>
          <w:szCs w:val="20"/>
        </w:rPr>
        <w:t xml:space="preserve">Explanatory, interactive. Shows the carrier geometry.</w:t>
      </w:r>
    </w:p>
    <w:p>
      <w:pPr>
        <w:spacing w:after="110" w:line="288"/>
        <w:ind w:left="300" w:hanging="300"/>
        <w:jc w:val="both"/>
      </w:pPr>
      <w:r>
        <w:rPr>
          <w:rFonts w:ascii="Constantia" w:cs="Constantia" w:eastAsia="Constantia" w:hAnsi="Constantia"/>
          <w:b/>
          <w:bCs/>
          <w:color w:val="B48A2E"/>
          <w:sz w:val="20"/>
          <w:szCs w:val="20"/>
        </w:rPr>
        <w:t xml:space="preserve">Companion 3  A Sentence Describing Itself  </w:t>
      </w:r>
      <w:r>
        <w:rPr>
          <w:rFonts w:ascii="Constantia" w:cs="Constantia" w:eastAsia="Constantia" w:hAnsi="Constantia"/>
          <w:color w:val="243040"/>
          <w:sz w:val="20"/>
          <w:szCs w:val="20"/>
        </w:rPr>
        <w:t xml:space="preserve">Explanatory, interactive. The opening argument, made playable.</w:t>
      </w:r>
    </w:p>
    <w:p>
      <w:pPr>
        <w:spacing w:after="110" w:line="288"/>
        <w:ind w:left="300" w:hanging="300"/>
        <w:jc w:val="both"/>
      </w:pPr>
      <w:r>
        <w:rPr>
          <w:rFonts w:ascii="Constantia" w:cs="Constantia" w:eastAsia="Constantia" w:hAnsi="Constantia"/>
          <w:b/>
          <w:bCs/>
          <w:color w:val="B48A2E"/>
          <w:sz w:val="20"/>
          <w:szCs w:val="20"/>
        </w:rPr>
        <w:t xml:space="preserve">Companion 4  A World of Distinctions, interactive monograph  </w:t>
      </w:r>
      <w:r>
        <w:rPr>
          <w:rFonts w:ascii="Constantia" w:cs="Constantia" w:eastAsia="Constantia" w:hAnsi="Constantia"/>
          <w:color w:val="243040"/>
          <w:sz w:val="20"/>
          <w:szCs w:val="20"/>
        </w:rPr>
        <w:t xml:space="preserve">Explanatory, interactive. The Monograph with its figures animated. It tracks the Fourth Printing text and has not been rebuilt for the Fifth; the printed Monograph governs.</w:t>
      </w:r>
    </w:p>
    <w:p>
      <w:pPr>
        <w:keepNext/>
        <w:spacing w:after="60" w:before="460"/>
      </w:pPr>
      <w:r>
        <w:rPr>
          <w:rFonts w:ascii="Constantia" w:cs="Constantia" w:eastAsia="Constantia" w:hAnsi="Constantia"/>
          <w:b/>
          <w:bCs/>
          <w:color w:val="B48A2E"/>
          <w:spacing w:val="8"/>
          <w:sz w:val="22"/>
          <w:szCs w:val="22"/>
        </w:rPr>
        <w:t xml:space="preserve">FIVE</w:t>
      </w:r>
    </w:p>
    <w:p>
      <w:pPr>
        <w:pStyle w:val="Heading1"/>
        <w:keepNext/>
        <w:pBdr>
          <w:bottom w:val="single" w:color="B48A2E" w:sz="8" w:space="6"/>
        </w:pBdr>
        <w:spacing w:after="200"/>
      </w:pPr>
      <w:r>
        <w:rPr>
          <w:rFonts w:ascii="Constantia" w:cs="Constantia" w:eastAsia="Constantia" w:hAnsi="Constantia"/>
          <w:b/>
          <w:bCs/>
          <w:color w:val="102A43"/>
          <w:sz w:val="28"/>
          <w:szCs w:val="28"/>
        </w:rPr>
        <w:t xml:space="preserve">What is superseded, and what that means</w:t>
      </w:r>
    </w:p>
    <w:p>
      <w:pPr>
        <w:spacing w:after="160" w:line="296"/>
        <w:jc w:val="both"/>
      </w:pPr>
      <w:r>
        <w:rPr>
          <w:rFonts w:ascii="Constantia" w:cs="Constantia" w:eastAsia="Constantia" w:hAnsi="Constantia"/>
          <w:color w:val="243040"/>
          <w:sz w:val="21"/>
          <w:szCs w:val="21"/>
        </w:rPr>
        <w:t xml:space="preserve">Superseded does not mean wrong and it does not mean withdrawn. It means a later object carries the same content with better grounding, and that the later object governs where the two differ. Every paper below remains available as issued and remains valid as a record of what was argued when.</w:t>
      </w:r>
    </w:p>
    <w:p>
      <w:pPr>
        <w:spacing w:after="40"/>
        <w:ind w:left="260"/>
      </w:pPr>
      <w:r>
        <w:rPr>
          <w:rFonts w:ascii="Consolas" w:cs="Consolas" w:eastAsia="Consolas" w:hAnsi="Consolas"/>
          <w:color w:val="243040"/>
          <w:sz w:val="17"/>
          <w:szCs w:val="17"/>
        </w:rPr>
        <w:t xml:space="preserve">paper  status              superseded in substance by</w:t>
      </w:r>
    </w:p>
    <w:p>
      <w:pPr>
        <w:spacing w:after="40"/>
        <w:ind w:left="260"/>
      </w:pPr>
      <w:r>
        <w:rPr>
          <w:rFonts w:ascii="Consolas" w:cs="Consolas" w:eastAsia="Consolas" w:hAnsi="Consolas"/>
          <w:color w:val="243040"/>
          <w:sz w:val="17"/>
          <w:szCs w:val="17"/>
        </w:rPr>
        <w:t xml:space="preserve">-----------------------------------------------------------------</w:t>
      </w:r>
    </w:p>
    <w:p>
      <w:pPr>
        <w:spacing w:after="40"/>
        <w:ind w:left="260"/>
      </w:pPr>
      <w:r>
        <w:rPr>
          <w:rFonts w:ascii="Consolas" w:cs="Consolas" w:eastAsia="Consolas" w:hAnsi="Consolas"/>
          <w:color w:val="243040"/>
          <w:sz w:val="17"/>
          <w:szCs w:val="17"/>
        </w:rPr>
        <w:t xml:space="preserve">05     current provenance  Papers 10 and 11</w:t>
      </w:r>
    </w:p>
    <w:p>
      <w:pPr>
        <w:spacing w:after="40"/>
        <w:ind w:left="260"/>
      </w:pPr>
      <w:r>
        <w:rPr>
          <w:rFonts w:ascii="Consolas" w:cs="Consolas" w:eastAsia="Consolas" w:hAnsi="Consolas"/>
          <w:color w:val="243040"/>
          <w:sz w:val="17"/>
          <w:szCs w:val="17"/>
        </w:rPr>
        <w:t xml:space="preserve">08     current provenance  Papers 20 and 21</w:t>
      </w:r>
    </w:p>
    <w:p>
      <w:pPr>
        <w:spacing w:after="40"/>
        <w:ind w:left="260"/>
      </w:pPr>
      <w:r>
        <w:rPr>
          <w:rFonts w:ascii="Consolas" w:cs="Consolas" w:eastAsia="Consolas" w:hAnsi="Consolas"/>
          <w:color w:val="243040"/>
          <w:sz w:val="17"/>
          <w:szCs w:val="17"/>
        </w:rPr>
        <w:t xml:space="preserve">10     current provenance  Paper 20, T11</w:t>
      </w:r>
    </w:p>
    <w:p>
      <w:pPr>
        <w:spacing w:after="40"/>
        <w:ind w:left="260"/>
      </w:pPr>
      <w:r>
        <w:rPr>
          <w:rFonts w:ascii="Consolas" w:cs="Consolas" w:eastAsia="Consolas" w:hAnsi="Consolas"/>
          <w:color w:val="243040"/>
          <w:sz w:val="17"/>
          <w:szCs w:val="17"/>
        </w:rPr>
        <w:t xml:space="preserve">14     integrated          Paper 13</w:t>
      </w:r>
    </w:p>
    <w:p>
      <w:pPr>
        <w:spacing w:after="40"/>
        <w:ind w:left="260"/>
      </w:pPr>
      <w:r>
        <w:rPr>
          <w:rFonts w:ascii="Consolas" w:cs="Consolas" w:eastAsia="Consolas" w:hAnsi="Consolas"/>
          <w:color w:val="243040"/>
          <w:sz w:val="17"/>
          <w:szCs w:val="17"/>
        </w:rPr>
        <w:t xml:space="preserve">15     integrated          Paper 13</w:t>
      </w:r>
    </w:p>
    <w:p>
      <w:pPr>
        <w:spacing w:after="40"/>
        <w:ind w:left="260"/>
      </w:pPr>
      <w:r>
        <w:rPr>
          <w:rFonts w:ascii="Consolas" w:cs="Consolas" w:eastAsia="Consolas" w:hAnsi="Consolas"/>
          <w:color w:val="243040"/>
          <w:sz w:val="17"/>
          <w:szCs w:val="17"/>
        </w:rPr>
        <w:t xml:space="preserve">16     integrated          Paper 13, but independently current for the lenses</w:t>
      </w:r>
    </w:p>
    <w:p>
      <w:pPr>
        <w:spacing w:after="40"/>
        <w:ind w:left="260"/>
      </w:pPr>
      <w:r>
        <w:rPr>
          <w:rFonts w:ascii="Consolas" w:cs="Consolas" w:eastAsia="Consolas" w:hAnsi="Consolas"/>
          <w:color w:val="243040"/>
          <w:sz w:val="17"/>
          <w:szCs w:val="17"/>
        </w:rPr>
        <w:t xml:space="preserve"/>
      </w:r>
    </w:p>
    <w:p>
      <w:pPr>
        <w:spacing w:after="40"/>
        <w:ind w:left="260"/>
      </w:pPr>
      <w:r>
        <w:rPr>
          <w:rFonts w:ascii="Consolas" w:cs="Consolas" w:eastAsia="Consolas" w:hAnsi="Consolas"/>
          <w:color w:val="243040"/>
          <w:sz w:val="17"/>
          <w:szCs w:val="17"/>
        </w:rPr>
        <w:t xml:space="preserve">all others: current, nothing supersedes them</w:t>
      </w:r>
    </w:p>
    <w:p>
      <w:pPr>
        <w:spacing w:after="160" w:line="296"/>
        <w:jc w:val="both"/>
      </w:pPr>
      <w:r>
        <w:rPr>
          <w:rFonts w:ascii="Constantia" w:cs="Constantia" w:eastAsia="Constantia" w:hAnsi="Constantia"/>
          <w:color w:val="243040"/>
          <w:sz w:val="21"/>
          <w:szCs w:val="21"/>
        </w:rPr>
        <w:t xml:space="preserve">One caution about counting. Papers 14, 15 and 16 are source treatments folded into Paper 13. A reader who counts them as three further independent stages of the argument will overcount the corpus. They are one stage, told once in Paper 13 and preserved three times for provenance.</w:t>
      </w:r>
    </w:p>
    <w:p>
      <w:pPr>
        <w:pBdr>
          <w:top w:val="single" w:color="D8CBA8" w:sz="4" w:space="14"/>
        </w:pBdr>
        <w:spacing w:before="600"/>
        <w:ind w:left="1400" w:right="1400"/>
        <w:jc w:val="center"/>
      </w:pPr>
      <w:r>
        <w:rPr>
          <w:rFonts w:ascii="Constantia" w:cs="Constantia" w:eastAsia="Constantia" w:hAnsi="Constantia"/>
          <w:color w:val="B48A2E"/>
          <w:spacing w:val="36"/>
          <w:sz w:val="16"/>
          <w:szCs w:val="16"/>
        </w:rPr>
        <w:t xml:space="preserve">UNIFIED MECHANICS  ·  THE PAPERS INDEX  ·  2026</w:t>
      </w:r>
    </w:p>
    <w:sectPr>
      <w:pgSz w:w="11906" w:h="16838" w:orient="portrait"/>
      <w:pgMar w:top="1134" w:right="1247" w:bottom="1020"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tantia" w:cs="Constantia" w:eastAsia="Constantia" w:hAnsi="Constantia"/>
        <w:color w:val="243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onstantia" w:cs="Constantia" w:eastAsia="Constantia" w:hAnsi="Constantia"/>
      <w:b/>
      <w:bCs/>
      <w:color w:val="102A43"/>
      <w:sz w:val="28"/>
      <w:szCs w:val="28"/>
    </w:rPr>
  </w:style>
  <w:style w:type="paragraph" w:styleId="Heading2">
    <w:name w:val="Heading 2"/>
    <w:basedOn w:val="Normal"/>
    <w:next w:val="Normal"/>
    <w:qFormat/>
    <w:rPr>
      <w:rFonts w:ascii="Constantia" w:cs="Constantia" w:eastAsia="Constantia" w:hAnsi="Constantia"/>
      <w:b/>
      <w:bCs/>
      <w:color w:val="102A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2026-07-27T05:25:38.900Z</dcterms:created>
  <dcterms:modified xsi:type="dcterms:W3CDTF">2026-07-27T05:25:38.902Z</dcterms:modified>
</cp:coreProperties>
</file>

<file path=docProps/custom.xml><?xml version="1.0" encoding="utf-8"?>
<Properties xmlns="http://schemas.openxmlformats.org/officeDocument/2006/custom-properties" xmlns:vt="http://schemas.openxmlformats.org/officeDocument/2006/docPropsVTypes"/>
</file>