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First.xml" ContentType="application/vnd.openxmlformats-officedocument.wordprocessingml.header+xml"/>
  <Override PartName="/word/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nstantia" w:hAnsi="Constantia"/>
          <w:b/>
          <w:color w:val="1F2D3D"/>
          <w:sz w:val="48"/>
        </w:rPr>
        <w:t>Theorem Queue Proof Ledger</w:t>
      </w:r>
    </w:p>
    <w:p>
      <w:pPr>
        <w:jc w:val="center"/>
      </w:pPr>
      <w:r>
        <w:rPr>
          <w:rFonts w:ascii="Constantia" w:hAnsi="Constantia"/>
          <w:i/>
          <w:color w:val="484848"/>
          <w:sz w:val="25"/>
        </w:rPr>
        <w:t>Definitions, assumptions, exit criteria, and kill conditions for the completed one-pass derivation</w:t>
      </w:r>
    </w:p>
    <w:p>
      <w:pPr>
        <w:jc w:val="center"/>
      </w:pPr>
      <w:r>
        <w:rPr>
          <w:rFonts w:ascii="Constantia" w:hAnsi="Constantia"/>
          <w:color w:val="5A5A5A"/>
          <w:sz w:val="20"/>
        </w:rPr>
        <w:t>Joseph Shields | Unified Mechanics Research Programme | 16 July 2026</w:t>
      </w:r>
    </w:p>
    <w:p/>
    <w:tbl>
      <w:tblPr>
        <w:tblW w:type="auto" w:w="0"/>
        <w:jc w:val="center"/>
        <w:tblLayout w:type="fixed"/>
        <w:tblLook w:firstColumn="1" w:firstRow="1" w:lastColumn="0" w:lastRow="0" w:noHBand="0" w:noVBand="1" w:val="04A0"/>
      </w:tblPr>
      <w:tblGrid>
        <w:gridCol w:w="9994"/>
      </w:tblGrid>
      <w:tr>
        <w:tc>
          <w:tcPr>
            <w:tcW w:type="dxa" w:w="9216"/>
            <w:shd w:fill="EEF2F5"/>
            <w:tcMar>
              <w:top w:w="180" w:type="dxa"/>
              <w:start w:w="220" w:type="dxa"/>
              <w:bottom w:w="180" w:type="dxa"/>
              <w:end w:w="220" w:type="dxa"/>
            </w:tcMar>
          </w:tcPr>
          <w:p>
            <w:r>
              <w:rPr>
                <w:rFonts w:ascii="Constantia" w:hAnsi="Constantia"/>
                <w:b/>
                <w:sz w:val="21"/>
              </w:rPr>
              <w:t>Abstract</w:t>
            </w:r>
          </w:p>
          <w:p>
            <w:pPr>
              <w:jc w:val="both"/>
            </w:pPr>
            <w:r>
              <w:rPr>
                <w:rFonts w:ascii="Constantia" w:hAnsi="Constantia"/>
                <w:sz w:val="20"/>
              </w:rPr>
              <w:t>This compact ledger accompanies the end-to-end closure paper. It records exactly which statements are theorems, which are representation conditions, which are computations, and which remain empirical tests. Its purpose is to prevent later summaries from collapsing distinct claim grades.</w:t>
            </w:r>
          </w:p>
          <w:p>
            <w:r>
              <w:rPr>
                <w:rFonts w:ascii="Constantia" w:hAnsi="Constantia"/>
                <w:b/>
                <w:sz w:val="19"/>
              </w:rPr>
              <w:t xml:space="preserve">Current status: </w:t>
            </w:r>
            <w:r>
              <w:rPr>
                <w:rFonts w:ascii="Constantia" w:hAnsi="Constantia"/>
                <w:i/>
                <w:sz w:val="19"/>
              </w:rPr>
              <w:t>Use this ledger as the controlling index when revising Volumes 08-10 and the final monograph.</w:t>
            </w:r>
          </w:p>
        </w:tc>
      </w:tr>
    </w:tbl>
    <w:p>
      <w:r>
        <w:br w:type="page"/>
      </w:r>
    </w:p>
    <w:p>
      <w:pPr>
        <w:pStyle w:val="Heading1"/>
      </w:pPr>
      <w:r>
        <w:t>1. Queue summary</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cantSplit/>
        </w:trPr>
        <w:tc>
          <w:tcPr>
            <w:tcW w:type="dxa" w:w="792"/>
            <w:shd w:fill="DDE5EC"/>
            <w:vAlign w:val="center"/>
          </w:tcPr>
          <w:p>
            <w:pPr>
              <w:jc w:val="center"/>
            </w:pPr>
            <w:r>
              <w:rPr>
                <w:rFonts w:ascii="Constantia" w:hAnsi="Constantia"/>
                <w:b/>
                <w:sz w:val="15"/>
              </w:rPr>
              <w:t>Priority</w:t>
            </w:r>
          </w:p>
        </w:tc>
        <w:tc>
          <w:tcPr>
            <w:tcW w:type="dxa" w:w="2448"/>
            <w:shd w:fill="DDE5EC"/>
            <w:vAlign w:val="center"/>
          </w:tcPr>
          <w:p>
            <w:pPr>
              <w:jc w:val="center"/>
            </w:pPr>
            <w:r>
              <w:rPr>
                <w:rFonts w:ascii="Constantia" w:hAnsi="Constantia"/>
                <w:b/>
                <w:sz w:val="15"/>
              </w:rPr>
              <w:t>Theorem target</w:t>
            </w:r>
          </w:p>
        </w:tc>
        <w:tc>
          <w:tcPr>
            <w:tcW w:type="dxa" w:w="4680"/>
            <w:shd w:fill="DDE5EC"/>
            <w:vAlign w:val="center"/>
          </w:tcPr>
          <w:p>
            <w:pPr>
              <w:jc w:val="center"/>
            </w:pPr>
            <w:r>
              <w:rPr>
                <w:rFonts w:ascii="Constantia" w:hAnsi="Constantia"/>
                <w:b/>
                <w:sz w:val="15"/>
              </w:rPr>
              <w:t>Exit result</w:t>
            </w:r>
          </w:p>
        </w:tc>
        <w:tc>
          <w:tcPr>
            <w:tcW w:type="dxa" w:w="1656"/>
            <w:shd w:fill="DDE5EC"/>
            <w:vAlign w:val="center"/>
          </w:tcPr>
          <w:p>
            <w:pPr>
              <w:jc w:val="center"/>
            </w:pPr>
            <w:r>
              <w:rPr>
                <w:rFonts w:ascii="Constantia" w:hAnsi="Constantia"/>
                <w:b/>
                <w:sz w:val="15"/>
              </w:rPr>
              <w:t>Grade</w:t>
            </w:r>
          </w:p>
        </w:tc>
      </w:tr>
      <w:tr>
        <w:trPr>
          <w:cantSplit/>
        </w:trPr>
        <w:tc>
          <w:tcPr>
            <w:tcW w:type="dxa" w:w="792"/>
            <w:vAlign w:val="top"/>
            <w:tcMar>
              <w:top w:w="70" w:type="dxa"/>
              <w:start w:w="80" w:type="dxa"/>
              <w:bottom w:w="70" w:type="dxa"/>
              <w:end w:w="80" w:type="dxa"/>
            </w:tcMar>
          </w:tcPr>
          <w:p>
            <w:r>
              <w:rPr>
                <w:rFonts w:ascii="Constantia" w:hAnsi="Constantia"/>
                <w:sz w:val="15"/>
              </w:rPr>
              <w:t>1</w:t>
            </w:r>
          </w:p>
        </w:tc>
        <w:tc>
          <w:tcPr>
            <w:tcW w:type="dxa" w:w="2448"/>
            <w:vAlign w:val="top"/>
            <w:tcMar>
              <w:top w:w="70" w:type="dxa"/>
              <w:start w:w="80" w:type="dxa"/>
              <w:bottom w:w="70" w:type="dxa"/>
              <w:end w:w="80" w:type="dxa"/>
            </w:tcMar>
          </w:tcPr>
          <w:p>
            <w:r>
              <w:rPr>
                <w:rFonts w:ascii="Constantia" w:hAnsi="Constantia"/>
                <w:sz w:val="15"/>
              </w:rPr>
              <w:t>Description-measure invariance</w:t>
            </w:r>
          </w:p>
        </w:tc>
        <w:tc>
          <w:tcPr>
            <w:tcW w:type="dxa" w:w="4680"/>
            <w:vAlign w:val="top"/>
            <w:tcMar>
              <w:top w:w="70" w:type="dxa"/>
              <w:start w:w="80" w:type="dxa"/>
              <w:bottom w:w="70" w:type="dxa"/>
              <w:end w:w="80" w:type="dxa"/>
            </w:tcMar>
          </w:tcPr>
          <w:p>
            <w:r>
              <w:rPr>
                <w:rFonts w:ascii="Constantia" w:hAnsi="Constantia"/>
                <w:sz w:val="15"/>
              </w:rPr>
              <w:t>Continuation automorphisms preserve the full continuation profile and its induced measure.</w:t>
            </w:r>
          </w:p>
        </w:tc>
        <w:tc>
          <w:tcPr>
            <w:tcW w:type="dxa" w:w="1656"/>
            <w:vAlign w:val="top"/>
            <w:tcMar>
              <w:top w:w="70" w:type="dxa"/>
              <w:start w:w="80" w:type="dxa"/>
              <w:bottom w:w="70" w:type="dxa"/>
              <w:end w:w="80" w:type="dxa"/>
            </w:tcMar>
          </w:tcPr>
          <w:p>
            <w:r>
              <w:rPr>
                <w:rFonts w:ascii="Constantia" w:hAnsi="Constantia"/>
                <w:sz w:val="15"/>
              </w:rPr>
              <w:t>PROVED</w:t>
            </w:r>
          </w:p>
        </w:tc>
      </w:tr>
      <w:tr>
        <w:trPr>
          <w:cantSplit/>
        </w:trPr>
        <w:tc>
          <w:tcPr>
            <w:tcW w:type="dxa" w:w="792"/>
            <w:vAlign w:val="top"/>
            <w:tcMar>
              <w:top w:w="70" w:type="dxa"/>
              <w:start w:w="80" w:type="dxa"/>
              <w:bottom w:w="70" w:type="dxa"/>
              <w:end w:w="80" w:type="dxa"/>
            </w:tcMar>
          </w:tcPr>
          <w:p>
            <w:r>
              <w:rPr>
                <w:rFonts w:ascii="Constantia" w:hAnsi="Constantia"/>
                <w:sz w:val="15"/>
              </w:rPr>
              <w:t>2</w:t>
            </w:r>
          </w:p>
        </w:tc>
        <w:tc>
          <w:tcPr>
            <w:tcW w:type="dxa" w:w="2448"/>
            <w:vAlign w:val="top"/>
            <w:tcMar>
              <w:top w:w="70" w:type="dxa"/>
              <w:start w:w="80" w:type="dxa"/>
              <w:bottom w:w="70" w:type="dxa"/>
              <w:end w:w="80" w:type="dxa"/>
            </w:tcMar>
          </w:tcPr>
          <w:p>
            <w:r>
              <w:rPr>
                <w:rFonts w:ascii="Constantia" w:hAnsi="Constantia"/>
                <w:sz w:val="15"/>
              </w:rPr>
              <w:t>Integral-record theorem</w:t>
            </w:r>
          </w:p>
        </w:tc>
        <w:tc>
          <w:tcPr>
            <w:tcW w:type="dxa" w:w="4680"/>
            <w:vAlign w:val="top"/>
            <w:tcMar>
              <w:top w:w="70" w:type="dxa"/>
              <w:start w:w="80" w:type="dxa"/>
              <w:bottom w:w="70" w:type="dxa"/>
              <w:end w:w="80" w:type="dxa"/>
            </w:tcMar>
          </w:tcPr>
          <w:p>
            <w:r>
              <w:rPr>
                <w:rFonts w:ascii="Constantia" w:hAnsi="Constantia"/>
                <w:sz w:val="15"/>
              </w:rPr>
              <w:t>Additive completed records extend to Lambda*; saturation and reciprocal pairing yield unimodularity.</w:t>
            </w:r>
          </w:p>
        </w:tc>
        <w:tc>
          <w:tcPr>
            <w:tcW w:type="dxa" w:w="1656"/>
            <w:vAlign w:val="top"/>
            <w:tcMar>
              <w:top w:w="70" w:type="dxa"/>
              <w:start w:w="80" w:type="dxa"/>
              <w:bottom w:w="70" w:type="dxa"/>
              <w:end w:w="80" w:type="dxa"/>
            </w:tcMar>
          </w:tcPr>
          <w:p>
            <w:r>
              <w:rPr>
                <w:rFonts w:ascii="Constantia" w:hAnsi="Constantia"/>
                <w:sz w:val="15"/>
              </w:rPr>
              <w:t>PROVED / representation-conditioned</w:t>
            </w:r>
          </w:p>
        </w:tc>
      </w:tr>
      <w:tr>
        <w:trPr>
          <w:cantSplit/>
        </w:trPr>
        <w:tc>
          <w:tcPr>
            <w:tcW w:type="dxa" w:w="792"/>
            <w:vAlign w:val="top"/>
            <w:tcMar>
              <w:top w:w="70" w:type="dxa"/>
              <w:start w:w="80" w:type="dxa"/>
              <w:bottom w:w="70" w:type="dxa"/>
              <w:end w:w="80" w:type="dxa"/>
            </w:tcMar>
          </w:tcPr>
          <w:p>
            <w:r>
              <w:rPr>
                <w:rFonts w:ascii="Constantia" w:hAnsi="Constantia"/>
                <w:sz w:val="15"/>
              </w:rPr>
              <w:t>3</w:t>
            </w:r>
          </w:p>
        </w:tc>
        <w:tc>
          <w:tcPr>
            <w:tcW w:type="dxa" w:w="2448"/>
            <w:vAlign w:val="top"/>
            <w:tcMar>
              <w:top w:w="70" w:type="dxa"/>
              <w:start w:w="80" w:type="dxa"/>
              <w:bottom w:w="70" w:type="dxa"/>
              <w:end w:w="80" w:type="dxa"/>
            </w:tcMar>
          </w:tcPr>
          <w:p>
            <w:r>
              <w:rPr>
                <w:rFonts w:ascii="Constantia" w:hAnsi="Constantia"/>
                <w:sz w:val="15"/>
              </w:rPr>
              <w:t>Canonical A2 quotient</w:t>
            </w:r>
          </w:p>
        </w:tc>
        <w:tc>
          <w:tcPr>
            <w:tcW w:type="dxa" w:w="4680"/>
            <w:vAlign w:val="top"/>
            <w:tcMar>
              <w:top w:w="70" w:type="dxa"/>
              <w:start w:w="80" w:type="dxa"/>
              <w:bottom w:w="70" w:type="dxa"/>
              <w:end w:w="80" w:type="dxa"/>
            </w:tcMar>
          </w:tcPr>
          <w:p>
            <w:r>
              <w:rPr>
                <w:rFonts w:ascii="Constantia" w:hAnsi="Constantia"/>
                <w:sz w:val="15"/>
              </w:rPr>
              <w:t>Equal reversible zero-sum three-channel closure forces A2 and covolume sqrt(3).</w:t>
            </w:r>
          </w:p>
        </w:tc>
        <w:tc>
          <w:tcPr>
            <w:tcW w:type="dxa" w:w="1656"/>
            <w:vAlign w:val="top"/>
            <w:tcMar>
              <w:top w:w="70" w:type="dxa"/>
              <w:start w:w="80" w:type="dxa"/>
              <w:bottom w:w="70" w:type="dxa"/>
              <w:end w:w="80" w:type="dxa"/>
            </w:tcMar>
          </w:tcPr>
          <w:p>
            <w:r>
              <w:rPr>
                <w:rFonts w:ascii="Constantia" w:hAnsi="Constantia"/>
                <w:sz w:val="15"/>
              </w:rPr>
              <w:t>PROVED</w:t>
            </w:r>
          </w:p>
        </w:tc>
      </w:tr>
      <w:tr>
        <w:trPr>
          <w:cantSplit/>
        </w:trPr>
        <w:tc>
          <w:tcPr>
            <w:tcW w:type="dxa" w:w="792"/>
            <w:vAlign w:val="top"/>
            <w:tcMar>
              <w:top w:w="70" w:type="dxa"/>
              <w:start w:w="80" w:type="dxa"/>
              <w:bottom w:w="70" w:type="dxa"/>
              <w:end w:w="80" w:type="dxa"/>
            </w:tcMar>
          </w:tcPr>
          <w:p>
            <w:r>
              <w:rPr>
                <w:rFonts w:ascii="Constantia" w:hAnsi="Constantia"/>
                <w:sz w:val="15"/>
              </w:rPr>
              <w:t>4</w:t>
            </w:r>
          </w:p>
        </w:tc>
        <w:tc>
          <w:tcPr>
            <w:tcW w:type="dxa" w:w="2448"/>
            <w:vAlign w:val="top"/>
            <w:tcMar>
              <w:top w:w="70" w:type="dxa"/>
              <w:start w:w="80" w:type="dxa"/>
              <w:bottom w:w="70" w:type="dxa"/>
              <w:end w:w="80" w:type="dxa"/>
            </w:tcMar>
          </w:tcPr>
          <w:p>
            <w:r>
              <w:rPr>
                <w:rFonts w:ascii="Constantia" w:hAnsi="Constantia"/>
                <w:sz w:val="15"/>
              </w:rPr>
              <w:t>Vacuum-stress variation</w:t>
            </w:r>
          </w:p>
        </w:tc>
        <w:tc>
          <w:tcPr>
            <w:tcW w:type="dxa" w:w="4680"/>
            <w:vAlign w:val="top"/>
            <w:tcMar>
              <w:top w:w="70" w:type="dxa"/>
              <w:start w:w="80" w:type="dxa"/>
              <w:bottom w:w="70" w:type="dxa"/>
              <w:end w:w="80" w:type="dxa"/>
            </w:tcMar>
          </w:tcPr>
          <w:p>
            <w:r>
              <w:rPr>
                <w:rFonts w:ascii="Constantia" w:hAnsi="Constantia"/>
                <w:sz w:val="15"/>
              </w:rPr>
              <w:t>Constant scalar record gives T_mn=-rho g_mn, conservation, and w=-1.</w:t>
            </w:r>
          </w:p>
        </w:tc>
        <w:tc>
          <w:tcPr>
            <w:tcW w:type="dxa" w:w="1656"/>
            <w:vAlign w:val="top"/>
            <w:tcMar>
              <w:top w:w="70" w:type="dxa"/>
              <w:start w:w="80" w:type="dxa"/>
              <w:bottom w:w="70" w:type="dxa"/>
              <w:end w:w="80" w:type="dxa"/>
            </w:tcMar>
          </w:tcPr>
          <w:p>
            <w:r>
              <w:rPr>
                <w:rFonts w:ascii="Constantia" w:hAnsi="Constantia"/>
                <w:sz w:val="15"/>
              </w:rPr>
              <w:t>PROVED form / model-defined units</w:t>
            </w:r>
          </w:p>
        </w:tc>
      </w:tr>
      <w:tr>
        <w:trPr>
          <w:cantSplit/>
        </w:trPr>
        <w:tc>
          <w:tcPr>
            <w:tcW w:type="dxa" w:w="792"/>
            <w:vAlign w:val="top"/>
            <w:tcMar>
              <w:top w:w="70" w:type="dxa"/>
              <w:start w:w="80" w:type="dxa"/>
              <w:bottom w:w="70" w:type="dxa"/>
              <w:end w:w="80" w:type="dxa"/>
            </w:tcMar>
          </w:tcPr>
          <w:p>
            <w:r>
              <w:rPr>
                <w:rFonts w:ascii="Constantia" w:hAnsi="Constantia"/>
                <w:sz w:val="15"/>
              </w:rPr>
              <w:t>5</w:t>
            </w:r>
          </w:p>
        </w:tc>
        <w:tc>
          <w:tcPr>
            <w:tcW w:type="dxa" w:w="2448"/>
            <w:vAlign w:val="top"/>
            <w:tcMar>
              <w:top w:w="70" w:type="dxa"/>
              <w:start w:w="80" w:type="dxa"/>
              <w:bottom w:w="70" w:type="dxa"/>
              <w:end w:w="80" w:type="dxa"/>
            </w:tcMar>
          </w:tcPr>
          <w:p>
            <w:r>
              <w:rPr>
                <w:rFonts w:ascii="Constantia" w:hAnsi="Constantia"/>
                <w:sz w:val="15"/>
              </w:rPr>
              <w:t>Scatter kernel</w:t>
            </w:r>
          </w:p>
        </w:tc>
        <w:tc>
          <w:tcPr>
            <w:tcW w:type="dxa" w:w="4680"/>
            <w:vAlign w:val="top"/>
            <w:tcMar>
              <w:top w:w="70" w:type="dxa"/>
              <w:start w:w="80" w:type="dxa"/>
              <w:bottom w:w="70" w:type="dxa"/>
              <w:end w:w="80" w:type="dxa"/>
            </w:tcMar>
          </w:tcPr>
          <w:p>
            <w:r>
              <w:rPr>
                <w:rFonts w:ascii="Constantia" w:hAnsi="Constantia"/>
                <w:sz w:val="15"/>
              </w:rPr>
              <w:t>A2 tight frame fixes restoring coefficient 3/2 and exponential clock kernel.</w:t>
            </w:r>
          </w:p>
        </w:tc>
        <w:tc>
          <w:tcPr>
            <w:tcW w:type="dxa" w:w="1656"/>
            <w:vAlign w:val="top"/>
            <w:tcMar>
              <w:top w:w="70" w:type="dxa"/>
              <w:start w:w="80" w:type="dxa"/>
              <w:bottom w:w="70" w:type="dxa"/>
              <w:end w:w="80" w:type="dxa"/>
            </w:tcMar>
          </w:tcPr>
          <w:p>
            <w:r>
              <w:rPr>
                <w:rFonts w:ascii="Constantia" w:hAnsi="Constantia"/>
                <w:sz w:val="15"/>
              </w:rPr>
              <w:t>PROVED structure / falsifiable model</w:t>
            </w:r>
          </w:p>
        </w:tc>
      </w:tr>
    </w:tbl>
    <w:p/>
    <w:p>
      <w:pPr>
        <w:pStyle w:val="Heading1"/>
      </w:pPr>
      <w:r>
        <w:t>2. Minimal assumptions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cantSplit/>
        </w:trPr>
        <w:tc>
          <w:tcPr>
            <w:tcW w:type="dxa" w:w="720"/>
            <w:shd w:fill="DDE5EC"/>
            <w:vAlign w:val="center"/>
          </w:tcPr>
          <w:p>
            <w:pPr>
              <w:jc w:val="center"/>
            </w:pPr>
            <w:r>
              <w:rPr>
                <w:rFonts w:ascii="Constantia" w:hAnsi="Constantia"/>
                <w:b/>
                <w:sz w:val="15"/>
              </w:rPr>
              <w:t>ID</w:t>
            </w:r>
          </w:p>
        </w:tc>
        <w:tc>
          <w:tcPr>
            <w:tcW w:type="dxa" w:w="2088"/>
            <w:shd w:fill="DDE5EC"/>
            <w:vAlign w:val="center"/>
          </w:tcPr>
          <w:p>
            <w:pPr>
              <w:jc w:val="center"/>
            </w:pPr>
            <w:r>
              <w:rPr>
                <w:rFonts w:ascii="Constantia" w:hAnsi="Constantia"/>
                <w:b/>
                <w:sz w:val="15"/>
              </w:rPr>
              <w:t>Name</w:t>
            </w:r>
          </w:p>
        </w:tc>
        <w:tc>
          <w:tcPr>
            <w:tcW w:type="dxa" w:w="5256"/>
            <w:shd w:fill="DDE5EC"/>
            <w:vAlign w:val="center"/>
          </w:tcPr>
          <w:p>
            <w:pPr>
              <w:jc w:val="center"/>
            </w:pPr>
            <w:r>
              <w:rPr>
                <w:rFonts w:ascii="Constantia" w:hAnsi="Constantia"/>
                <w:b/>
                <w:sz w:val="15"/>
              </w:rPr>
              <w:t>Exact statement</w:t>
            </w:r>
          </w:p>
        </w:tc>
        <w:tc>
          <w:tcPr>
            <w:tcW w:type="dxa" w:w="1728"/>
            <w:shd w:fill="DDE5EC"/>
            <w:vAlign w:val="center"/>
          </w:tcPr>
          <w:p>
            <w:pPr>
              <w:jc w:val="center"/>
            </w:pPr>
            <w:r>
              <w:rPr>
                <w:rFonts w:ascii="Constantia" w:hAnsi="Constantia"/>
                <w:b/>
                <w:sz w:val="15"/>
              </w:rPr>
              <w:t>Controls</w:t>
            </w:r>
          </w:p>
        </w:tc>
      </w:tr>
      <w:tr>
        <w:trPr>
          <w:cantSplit/>
        </w:trPr>
        <w:tc>
          <w:tcPr>
            <w:tcW w:type="dxa" w:w="720"/>
            <w:vAlign w:val="top"/>
            <w:tcMar>
              <w:top w:w="70" w:type="dxa"/>
              <w:start w:w="80" w:type="dxa"/>
              <w:bottom w:w="70" w:type="dxa"/>
              <w:end w:w="80" w:type="dxa"/>
            </w:tcMar>
          </w:tcPr>
          <w:p>
            <w:r>
              <w:rPr>
                <w:rFonts w:ascii="Constantia" w:hAnsi="Constantia"/>
                <w:sz w:val="15"/>
              </w:rPr>
              <w:t>A1</w:t>
            </w:r>
          </w:p>
        </w:tc>
        <w:tc>
          <w:tcPr>
            <w:tcW w:type="dxa" w:w="2088"/>
            <w:vAlign w:val="top"/>
            <w:tcMar>
              <w:top w:w="70" w:type="dxa"/>
              <w:start w:w="80" w:type="dxa"/>
              <w:bottom w:w="70" w:type="dxa"/>
              <w:end w:w="80" w:type="dxa"/>
            </w:tcMar>
          </w:tcPr>
          <w:p>
            <w:r>
              <w:rPr>
                <w:rFonts w:ascii="Constantia" w:hAnsi="Constantia"/>
                <w:sz w:val="15"/>
              </w:rPr>
              <w:t>Continuation automorphism</w:t>
            </w:r>
          </w:p>
        </w:tc>
        <w:tc>
          <w:tcPr>
            <w:tcW w:type="dxa" w:w="5256"/>
            <w:vAlign w:val="top"/>
            <w:tcMar>
              <w:top w:w="70" w:type="dxa"/>
              <w:start w:w="80" w:type="dxa"/>
              <w:bottom w:w="70" w:type="dxa"/>
              <w:end w:w="80" w:type="dxa"/>
            </w:tcMar>
          </w:tcPr>
          <w:p>
            <w:r>
              <w:rPr>
                <w:rFonts w:ascii="Constantia" w:hAnsi="Constantia"/>
                <w:sz w:val="15"/>
              </w:rPr>
              <w:t>Closed act-record cycle is bijective and preserves admissible continuations in both directions.</w:t>
            </w:r>
          </w:p>
        </w:tc>
        <w:tc>
          <w:tcPr>
            <w:tcW w:type="dxa" w:w="1728"/>
            <w:vAlign w:val="top"/>
            <w:tcMar>
              <w:top w:w="70" w:type="dxa"/>
              <w:start w:w="80" w:type="dxa"/>
              <w:bottom w:w="70" w:type="dxa"/>
              <w:end w:w="80" w:type="dxa"/>
            </w:tcMar>
          </w:tcPr>
          <w:p>
            <w:r>
              <w:rPr>
                <w:rFonts w:ascii="Constantia" w:hAnsi="Constantia"/>
                <w:sz w:val="15"/>
              </w:rPr>
              <w:t>Measure theorem</w:t>
            </w:r>
          </w:p>
        </w:tc>
      </w:tr>
      <w:tr>
        <w:trPr>
          <w:cantSplit/>
        </w:trPr>
        <w:tc>
          <w:tcPr>
            <w:tcW w:type="dxa" w:w="720"/>
            <w:vAlign w:val="top"/>
            <w:tcMar>
              <w:top w:w="70" w:type="dxa"/>
              <w:start w:w="80" w:type="dxa"/>
              <w:bottom w:w="70" w:type="dxa"/>
              <w:end w:w="80" w:type="dxa"/>
            </w:tcMar>
          </w:tcPr>
          <w:p>
            <w:r>
              <w:rPr>
                <w:rFonts w:ascii="Constantia" w:hAnsi="Constantia"/>
                <w:sz w:val="15"/>
              </w:rPr>
              <w:t>A2</w:t>
            </w:r>
          </w:p>
        </w:tc>
        <w:tc>
          <w:tcPr>
            <w:tcW w:type="dxa" w:w="2088"/>
            <w:vAlign w:val="top"/>
            <w:tcMar>
              <w:top w:w="70" w:type="dxa"/>
              <w:start w:w="80" w:type="dxa"/>
              <w:bottom w:w="70" w:type="dxa"/>
              <w:end w:w="80" w:type="dxa"/>
            </w:tcMar>
          </w:tcPr>
          <w:p>
            <w:r>
              <w:rPr>
                <w:rFonts w:ascii="Constantia" w:hAnsi="Constantia"/>
                <w:sz w:val="15"/>
              </w:rPr>
              <w:t>Primitive integral record</w:t>
            </w:r>
          </w:p>
        </w:tc>
        <w:tc>
          <w:tcPr>
            <w:tcW w:type="dxa" w:w="5256"/>
            <w:vAlign w:val="top"/>
            <w:tcMar>
              <w:top w:w="70" w:type="dxa"/>
              <w:start w:w="80" w:type="dxa"/>
              <w:bottom w:w="70" w:type="dxa"/>
              <w:end w:w="80" w:type="dxa"/>
            </w:tcMar>
          </w:tcPr>
          <w:p>
            <w:r>
              <w:rPr>
                <w:rFonts w:ascii="Constantia" w:hAnsi="Constantia"/>
                <w:sz w:val="15"/>
              </w:rPr>
              <w:t>One completed record unit exists; records add under gluing and reverse sign under orientation.</w:t>
            </w:r>
          </w:p>
        </w:tc>
        <w:tc>
          <w:tcPr>
            <w:tcW w:type="dxa" w:w="1728"/>
            <w:vAlign w:val="top"/>
            <w:tcMar>
              <w:top w:w="70" w:type="dxa"/>
              <w:start w:w="80" w:type="dxa"/>
              <w:bottom w:w="70" w:type="dxa"/>
              <w:end w:w="80" w:type="dxa"/>
            </w:tcMar>
          </w:tcPr>
          <w:p>
            <w:r>
              <w:rPr>
                <w:rFonts w:ascii="Constantia" w:hAnsi="Constantia"/>
                <w:sz w:val="15"/>
              </w:rPr>
              <w:t>Integral dual</w:t>
            </w:r>
          </w:p>
        </w:tc>
      </w:tr>
      <w:tr>
        <w:trPr>
          <w:cantSplit/>
        </w:trPr>
        <w:tc>
          <w:tcPr>
            <w:tcW w:type="dxa" w:w="720"/>
            <w:vAlign w:val="top"/>
            <w:tcMar>
              <w:top w:w="70" w:type="dxa"/>
              <w:start w:w="80" w:type="dxa"/>
              <w:bottom w:w="70" w:type="dxa"/>
              <w:end w:w="80" w:type="dxa"/>
            </w:tcMar>
          </w:tcPr>
          <w:p>
            <w:r>
              <w:rPr>
                <w:rFonts w:ascii="Constantia" w:hAnsi="Constantia"/>
                <w:sz w:val="15"/>
              </w:rPr>
              <w:t>A3</w:t>
            </w:r>
          </w:p>
        </w:tc>
        <w:tc>
          <w:tcPr>
            <w:tcW w:type="dxa" w:w="2088"/>
            <w:vAlign w:val="top"/>
            <w:tcMar>
              <w:top w:w="70" w:type="dxa"/>
              <w:start w:w="80" w:type="dxa"/>
              <w:bottom w:w="70" w:type="dxa"/>
              <w:end w:w="80" w:type="dxa"/>
            </w:tcMar>
          </w:tcPr>
          <w:p>
            <w:r>
              <w:rPr>
                <w:rFonts w:ascii="Constantia" w:hAnsi="Constantia"/>
                <w:sz w:val="15"/>
              </w:rPr>
              <w:t>Record saturation</w:t>
            </w:r>
          </w:p>
        </w:tc>
        <w:tc>
          <w:tcPr>
            <w:tcW w:type="dxa" w:w="5256"/>
            <w:vAlign w:val="top"/>
            <w:tcMar>
              <w:top w:w="70" w:type="dxa"/>
              <w:start w:w="80" w:type="dxa"/>
              <w:bottom w:w="70" w:type="dxa"/>
              <w:end w:w="80" w:type="dxa"/>
            </w:tcMar>
          </w:tcPr>
          <w:p>
            <w:r>
              <w:rPr>
                <w:rFonts w:ascii="Constantia" w:hAnsi="Constantia"/>
                <w:sz w:val="15"/>
              </w:rPr>
              <w:t>Primitive coordinate records form a dual basis and integer record composition is allowed.</w:t>
            </w:r>
          </w:p>
        </w:tc>
        <w:tc>
          <w:tcPr>
            <w:tcW w:type="dxa" w:w="1728"/>
            <w:vAlign w:val="top"/>
            <w:tcMar>
              <w:top w:w="70" w:type="dxa"/>
              <w:start w:w="80" w:type="dxa"/>
              <w:bottom w:w="70" w:type="dxa"/>
              <w:end w:w="80" w:type="dxa"/>
            </w:tcMar>
          </w:tcPr>
          <w:p>
            <w:r>
              <w:rPr>
                <w:rFonts w:ascii="Constantia" w:hAnsi="Constantia"/>
                <w:sz w:val="15"/>
              </w:rPr>
              <w:t>Lambda* exhaustion</w:t>
            </w:r>
          </w:p>
        </w:tc>
      </w:tr>
      <w:tr>
        <w:trPr>
          <w:cantSplit/>
        </w:trPr>
        <w:tc>
          <w:tcPr>
            <w:tcW w:type="dxa" w:w="720"/>
            <w:vAlign w:val="top"/>
            <w:tcMar>
              <w:top w:w="70" w:type="dxa"/>
              <w:start w:w="80" w:type="dxa"/>
              <w:bottom w:w="70" w:type="dxa"/>
              <w:end w:w="80" w:type="dxa"/>
            </w:tcMar>
          </w:tcPr>
          <w:p>
            <w:r>
              <w:rPr>
                <w:rFonts w:ascii="Constantia" w:hAnsi="Constantia"/>
                <w:sz w:val="15"/>
              </w:rPr>
              <w:t>A4</w:t>
            </w:r>
          </w:p>
        </w:tc>
        <w:tc>
          <w:tcPr>
            <w:tcW w:type="dxa" w:w="2088"/>
            <w:vAlign w:val="top"/>
            <w:tcMar>
              <w:top w:w="70" w:type="dxa"/>
              <w:start w:w="80" w:type="dxa"/>
              <w:bottom w:w="70" w:type="dxa"/>
              <w:end w:w="80" w:type="dxa"/>
            </w:tcMar>
          </w:tcPr>
          <w:p>
            <w:r>
              <w:rPr>
                <w:rFonts w:ascii="Constantia" w:hAnsi="Constantia"/>
                <w:sz w:val="15"/>
              </w:rPr>
              <w:t>Reciprocal pairing</w:t>
            </w:r>
          </w:p>
        </w:tc>
        <w:tc>
          <w:tcPr>
            <w:tcW w:type="dxa" w:w="5256"/>
            <w:vAlign w:val="top"/>
            <w:tcMar>
              <w:top w:w="70" w:type="dxa"/>
              <w:start w:w="80" w:type="dxa"/>
              <w:bottom w:w="70" w:type="dxa"/>
              <w:end w:w="80" w:type="dxa"/>
            </w:tcMar>
          </w:tcPr>
          <w:p>
            <w:r>
              <w:rPr>
                <w:rFonts w:ascii="Constantia" w:hAnsi="Constantia"/>
                <w:sz w:val="15"/>
              </w:rPr>
              <w:t>Every realised state has a reciprocal record and the state-record map is bijective.</w:t>
            </w:r>
          </w:p>
        </w:tc>
        <w:tc>
          <w:tcPr>
            <w:tcW w:type="dxa" w:w="1728"/>
            <w:vAlign w:val="top"/>
            <w:tcMar>
              <w:top w:w="70" w:type="dxa"/>
              <w:start w:w="80" w:type="dxa"/>
              <w:bottom w:w="70" w:type="dxa"/>
              <w:end w:w="80" w:type="dxa"/>
            </w:tcMar>
          </w:tcPr>
          <w:p>
            <w:r>
              <w:rPr>
                <w:rFonts w:ascii="Constantia" w:hAnsi="Constantia"/>
                <w:sz w:val="15"/>
              </w:rPr>
              <w:t>Unimodularity</w:t>
            </w:r>
          </w:p>
        </w:tc>
      </w:tr>
      <w:tr>
        <w:trPr>
          <w:cantSplit/>
        </w:trPr>
        <w:tc>
          <w:tcPr>
            <w:tcW w:type="dxa" w:w="720"/>
            <w:vAlign w:val="top"/>
            <w:tcMar>
              <w:top w:w="70" w:type="dxa"/>
              <w:start w:w="80" w:type="dxa"/>
              <w:bottom w:w="70" w:type="dxa"/>
              <w:end w:w="80" w:type="dxa"/>
            </w:tcMar>
          </w:tcPr>
          <w:p>
            <w:r>
              <w:rPr>
                <w:rFonts w:ascii="Constantia" w:hAnsi="Constantia"/>
                <w:sz w:val="15"/>
              </w:rPr>
              <w:t>A5</w:t>
            </w:r>
          </w:p>
        </w:tc>
        <w:tc>
          <w:tcPr>
            <w:tcW w:type="dxa" w:w="2088"/>
            <w:vAlign w:val="top"/>
            <w:tcMar>
              <w:top w:w="70" w:type="dxa"/>
              <w:start w:w="80" w:type="dxa"/>
              <w:bottom w:w="70" w:type="dxa"/>
              <w:end w:w="80" w:type="dxa"/>
            </w:tcMar>
          </w:tcPr>
          <w:p>
            <w:r>
              <w:rPr>
                <w:rFonts w:ascii="Constantia" w:hAnsi="Constantia"/>
                <w:sz w:val="15"/>
              </w:rPr>
              <w:t>Full outcome faithfulness</w:t>
            </w:r>
          </w:p>
        </w:tc>
        <w:tc>
          <w:tcPr>
            <w:tcW w:type="dxa" w:w="5256"/>
            <w:vAlign w:val="top"/>
            <w:tcMar>
              <w:top w:w="70" w:type="dxa"/>
              <w:start w:w="80" w:type="dxa"/>
              <w:bottom w:w="70" w:type="dxa"/>
              <w:end w:w="80" w:type="dxa"/>
            </w:tcMar>
          </w:tcPr>
          <w:p>
            <w:r>
              <w:rPr>
                <w:rFonts w:ascii="Constantia" w:hAnsi="Constantia"/>
                <w:sz w:val="15"/>
              </w:rPr>
              <w:t>The eight binary outcomes are independent regular record sectors.</w:t>
            </w:r>
          </w:p>
        </w:tc>
        <w:tc>
          <w:tcPr>
            <w:tcW w:type="dxa" w:w="1728"/>
            <w:vAlign w:val="top"/>
            <w:tcMar>
              <w:top w:w="70" w:type="dxa"/>
              <w:start w:w="80" w:type="dxa"/>
              <w:bottom w:w="70" w:type="dxa"/>
              <w:end w:w="80" w:type="dxa"/>
            </w:tcMar>
          </w:tcPr>
          <w:p>
            <w:r>
              <w:rPr>
                <w:rFonts w:ascii="Constantia" w:hAnsi="Constantia"/>
                <w:sz w:val="15"/>
              </w:rPr>
              <w:t>Rank eight</w:t>
            </w:r>
          </w:p>
        </w:tc>
      </w:tr>
      <w:tr>
        <w:trPr>
          <w:cantSplit/>
        </w:trPr>
        <w:tc>
          <w:tcPr>
            <w:tcW w:type="dxa" w:w="720"/>
            <w:vAlign w:val="top"/>
            <w:tcMar>
              <w:top w:w="70" w:type="dxa"/>
              <w:start w:w="80" w:type="dxa"/>
              <w:bottom w:w="70" w:type="dxa"/>
              <w:end w:w="80" w:type="dxa"/>
            </w:tcMar>
          </w:tcPr>
          <w:p>
            <w:r>
              <w:rPr>
                <w:rFonts w:ascii="Constantia" w:hAnsi="Constantia"/>
                <w:sz w:val="15"/>
              </w:rPr>
              <w:t>A6</w:t>
            </w:r>
          </w:p>
        </w:tc>
        <w:tc>
          <w:tcPr>
            <w:tcW w:type="dxa" w:w="2088"/>
            <w:vAlign w:val="top"/>
            <w:tcMar>
              <w:top w:w="70" w:type="dxa"/>
              <w:start w:w="80" w:type="dxa"/>
              <w:bottom w:w="70" w:type="dxa"/>
              <w:end w:w="80" w:type="dxa"/>
            </w:tcMar>
          </w:tcPr>
          <w:p>
            <w:r>
              <w:rPr>
                <w:rFonts w:ascii="Constantia" w:hAnsi="Constantia"/>
                <w:sz w:val="15"/>
              </w:rPr>
              <w:t>Paired positive norm</w:t>
            </w:r>
          </w:p>
        </w:tc>
        <w:tc>
          <w:tcPr>
            <w:tcW w:type="dxa" w:w="5256"/>
            <w:vAlign w:val="top"/>
            <w:tcMar>
              <w:top w:w="70" w:type="dxa"/>
              <w:start w:w="80" w:type="dxa"/>
              <w:bottom w:w="70" w:type="dxa"/>
              <w:end w:w="80" w:type="dxa"/>
            </w:tcMar>
          </w:tcPr>
          <w:p>
            <w:r>
              <w:rPr>
                <w:rFonts w:ascii="Constantia" w:hAnsi="Constantia"/>
                <w:sz w:val="15"/>
              </w:rPr>
              <w:t>Self-pairing counts orientation pairs and vanishes only for the null state.</w:t>
            </w:r>
          </w:p>
        </w:tc>
        <w:tc>
          <w:tcPr>
            <w:tcW w:type="dxa" w:w="1728"/>
            <w:vAlign w:val="top"/>
            <w:tcMar>
              <w:top w:w="70" w:type="dxa"/>
              <w:start w:w="80" w:type="dxa"/>
              <w:bottom w:w="70" w:type="dxa"/>
              <w:end w:w="80" w:type="dxa"/>
            </w:tcMar>
          </w:tcPr>
          <w:p>
            <w:r>
              <w:rPr>
                <w:rFonts w:ascii="Constantia" w:hAnsi="Constantia"/>
                <w:sz w:val="15"/>
              </w:rPr>
              <w:t>Even positivity</w:t>
            </w:r>
          </w:p>
        </w:tc>
      </w:tr>
      <w:tr>
        <w:trPr>
          <w:cantSplit/>
        </w:trPr>
        <w:tc>
          <w:tcPr>
            <w:tcW w:type="dxa" w:w="720"/>
            <w:vAlign w:val="top"/>
            <w:tcMar>
              <w:top w:w="70" w:type="dxa"/>
              <w:start w:w="80" w:type="dxa"/>
              <w:bottom w:w="70" w:type="dxa"/>
              <w:end w:w="80" w:type="dxa"/>
            </w:tcMar>
          </w:tcPr>
          <w:p>
            <w:r>
              <w:rPr>
                <w:rFonts w:ascii="Constantia" w:hAnsi="Constantia"/>
                <w:sz w:val="15"/>
              </w:rPr>
              <w:t>A7</w:t>
            </w:r>
          </w:p>
        </w:tc>
        <w:tc>
          <w:tcPr>
            <w:tcW w:type="dxa" w:w="2088"/>
            <w:vAlign w:val="top"/>
            <w:tcMar>
              <w:top w:w="70" w:type="dxa"/>
              <w:start w:w="80" w:type="dxa"/>
              <w:bottom w:w="70" w:type="dxa"/>
              <w:end w:w="80" w:type="dxa"/>
            </w:tcMar>
          </w:tcPr>
          <w:p>
            <w:r>
              <w:rPr>
                <w:rFonts w:ascii="Constantia" w:hAnsi="Constantia"/>
                <w:sz w:val="15"/>
              </w:rPr>
              <w:t>Indecomposable completion</w:t>
            </w:r>
          </w:p>
        </w:tc>
        <w:tc>
          <w:tcPr>
            <w:tcW w:type="dxa" w:w="5256"/>
            <w:vAlign w:val="top"/>
            <w:tcMar>
              <w:top w:w="70" w:type="dxa"/>
              <w:start w:w="80" w:type="dxa"/>
              <w:bottom w:w="70" w:type="dxa"/>
              <w:end w:w="80" w:type="dxa"/>
            </w:tcMar>
          </w:tcPr>
          <w:p>
            <w:r>
              <w:rPr>
                <w:rFonts w:ascii="Constantia" w:hAnsi="Constantia"/>
                <w:sz w:val="15"/>
              </w:rPr>
              <w:t>No proper orthogonal subcarrier retains all completion and record sectors.</w:t>
            </w:r>
          </w:p>
        </w:tc>
        <w:tc>
          <w:tcPr>
            <w:tcW w:type="dxa" w:w="1728"/>
            <w:vAlign w:val="top"/>
            <w:tcMar>
              <w:top w:w="70" w:type="dxa"/>
              <w:start w:w="80" w:type="dxa"/>
              <w:bottom w:w="70" w:type="dxa"/>
              <w:end w:w="80" w:type="dxa"/>
            </w:tcMar>
          </w:tcPr>
          <w:p>
            <w:r>
              <w:rPr>
                <w:rFonts w:ascii="Constantia" w:hAnsi="Constantia"/>
                <w:sz w:val="15"/>
              </w:rPr>
              <w:t>E8 selection</w:t>
            </w:r>
          </w:p>
        </w:tc>
      </w:tr>
      <w:tr>
        <w:trPr>
          <w:cantSplit/>
        </w:trPr>
        <w:tc>
          <w:tcPr>
            <w:tcW w:type="dxa" w:w="720"/>
            <w:vAlign w:val="top"/>
            <w:tcMar>
              <w:top w:w="70" w:type="dxa"/>
              <w:start w:w="80" w:type="dxa"/>
              <w:bottom w:w="70" w:type="dxa"/>
              <w:end w:w="80" w:type="dxa"/>
            </w:tcMar>
          </w:tcPr>
          <w:p>
            <w:r>
              <w:rPr>
                <w:rFonts w:ascii="Constantia" w:hAnsi="Constantia"/>
                <w:sz w:val="15"/>
              </w:rPr>
              <w:t>A8</w:t>
            </w:r>
          </w:p>
        </w:tc>
        <w:tc>
          <w:tcPr>
            <w:tcW w:type="dxa" w:w="2088"/>
            <w:vAlign w:val="top"/>
            <w:tcMar>
              <w:top w:w="70" w:type="dxa"/>
              <w:start w:w="80" w:type="dxa"/>
              <w:bottom w:w="70" w:type="dxa"/>
              <w:end w:w="80" w:type="dxa"/>
            </w:tcMar>
          </w:tcPr>
          <w:p>
            <w:r>
              <w:rPr>
                <w:rFonts w:ascii="Constantia" w:hAnsi="Constantia"/>
                <w:sz w:val="15"/>
              </w:rPr>
              <w:t>Equal three-channel closure</w:t>
            </w:r>
          </w:p>
        </w:tc>
        <w:tc>
          <w:tcPr>
            <w:tcW w:type="dxa" w:w="5256"/>
            <w:vAlign w:val="top"/>
            <w:tcMar>
              <w:top w:w="70" w:type="dxa"/>
              <w:start w:w="80" w:type="dxa"/>
              <w:bottom w:w="70" w:type="dxa"/>
              <w:end w:w="80" w:type="dxa"/>
            </w:tcMar>
          </w:tcPr>
          <w:p>
            <w:r>
              <w:rPr>
                <w:rFonts w:ascii="Constantia" w:hAnsi="Constantia"/>
                <w:sz w:val="15"/>
              </w:rPr>
              <w:t>Three observer vectors have equal norm, zero sum, and reversible orientation.</w:t>
            </w:r>
          </w:p>
        </w:tc>
        <w:tc>
          <w:tcPr>
            <w:tcW w:type="dxa" w:w="1728"/>
            <w:vAlign w:val="top"/>
            <w:tcMar>
              <w:top w:w="70" w:type="dxa"/>
              <w:start w:w="80" w:type="dxa"/>
              <w:bottom w:w="70" w:type="dxa"/>
              <w:end w:w="80" w:type="dxa"/>
            </w:tcMar>
          </w:tcPr>
          <w:p>
            <w:r>
              <w:rPr>
                <w:rFonts w:ascii="Constantia" w:hAnsi="Constantia"/>
                <w:sz w:val="15"/>
              </w:rPr>
              <w:t>A2 quotient</w:t>
            </w:r>
          </w:p>
        </w:tc>
      </w:tr>
      <w:tr>
        <w:trPr>
          <w:cantSplit/>
        </w:trPr>
        <w:tc>
          <w:tcPr>
            <w:tcW w:type="dxa" w:w="720"/>
            <w:vAlign w:val="top"/>
            <w:tcMar>
              <w:top w:w="70" w:type="dxa"/>
              <w:start w:w="80" w:type="dxa"/>
              <w:bottom w:w="70" w:type="dxa"/>
              <w:end w:w="80" w:type="dxa"/>
            </w:tcMar>
          </w:tcPr>
          <w:p>
            <w:r>
              <w:rPr>
                <w:rFonts w:ascii="Constantia" w:hAnsi="Constantia"/>
                <w:sz w:val="15"/>
              </w:rPr>
              <w:t>A9</w:t>
            </w:r>
          </w:p>
        </w:tc>
        <w:tc>
          <w:tcPr>
            <w:tcW w:type="dxa" w:w="2088"/>
            <w:vAlign w:val="top"/>
            <w:tcMar>
              <w:top w:w="70" w:type="dxa"/>
              <w:start w:w="80" w:type="dxa"/>
              <w:bottom w:w="70" w:type="dxa"/>
              <w:end w:w="80" w:type="dxa"/>
            </w:tcMar>
          </w:tcPr>
          <w:p>
            <w:r>
              <w:rPr>
                <w:rFonts w:ascii="Constantia" w:hAnsi="Constantia"/>
                <w:sz w:val="15"/>
              </w:rPr>
              <w:t>Minimal genus-zero boundary</w:t>
            </w:r>
          </w:p>
        </w:tc>
        <w:tc>
          <w:tcPr>
            <w:tcW w:type="dxa" w:w="5256"/>
            <w:vAlign w:val="top"/>
            <w:tcMar>
              <w:top w:w="70" w:type="dxa"/>
              <w:start w:w="80" w:type="dxa"/>
              <w:bottom w:w="70" w:type="dxa"/>
              <w:end w:w="80" w:type="dxa"/>
            </w:tcMar>
          </w:tcPr>
          <w:p>
            <w:r>
              <w:rPr>
                <w:rFonts w:ascii="Constantia" w:hAnsi="Constantia"/>
                <w:sz w:val="15"/>
              </w:rPr>
              <w:t>The completed observer boundary is connected, orientable, closed, and handle-free.</w:t>
            </w:r>
          </w:p>
        </w:tc>
        <w:tc>
          <w:tcPr>
            <w:tcW w:type="dxa" w:w="1728"/>
            <w:vAlign w:val="top"/>
            <w:tcMar>
              <w:top w:w="70" w:type="dxa"/>
              <w:start w:w="80" w:type="dxa"/>
              <w:bottom w:w="70" w:type="dxa"/>
              <w:end w:w="80" w:type="dxa"/>
            </w:tcMar>
          </w:tcPr>
          <w:p>
            <w:r>
              <w:rPr>
                <w:rFonts w:ascii="Constantia" w:hAnsi="Constantia"/>
                <w:sz w:val="15"/>
              </w:rPr>
              <w:t>4pi record</w:t>
            </w:r>
          </w:p>
        </w:tc>
      </w:tr>
      <w:tr>
        <w:trPr>
          <w:cantSplit/>
        </w:trPr>
        <w:tc>
          <w:tcPr>
            <w:tcW w:type="dxa" w:w="720"/>
            <w:vAlign w:val="top"/>
            <w:tcMar>
              <w:top w:w="70" w:type="dxa"/>
              <w:start w:w="80" w:type="dxa"/>
              <w:bottom w:w="70" w:type="dxa"/>
              <w:end w:w="80" w:type="dxa"/>
            </w:tcMar>
          </w:tcPr>
          <w:p>
            <w:r>
              <w:rPr>
                <w:rFonts w:ascii="Constantia" w:hAnsi="Constantia"/>
                <w:sz w:val="15"/>
              </w:rPr>
              <w:t>A10</w:t>
            </w:r>
          </w:p>
        </w:tc>
        <w:tc>
          <w:tcPr>
            <w:tcW w:type="dxa" w:w="2088"/>
            <w:vAlign w:val="top"/>
            <w:tcMar>
              <w:top w:w="70" w:type="dxa"/>
              <w:start w:w="80" w:type="dxa"/>
              <w:bottom w:w="70" w:type="dxa"/>
              <w:end w:w="80" w:type="dxa"/>
            </w:tcMar>
          </w:tcPr>
          <w:p>
            <w:r>
              <w:rPr>
                <w:rFonts w:ascii="Constantia" w:hAnsi="Constantia"/>
                <w:sz w:val="15"/>
              </w:rPr>
              <w:t>Constant scalar persistence</w:t>
            </w:r>
          </w:p>
        </w:tc>
        <w:tc>
          <w:tcPr>
            <w:tcW w:type="dxa" w:w="5256"/>
            <w:vAlign w:val="top"/>
            <w:tcMar>
              <w:top w:w="70" w:type="dxa"/>
              <w:start w:w="80" w:type="dxa"/>
              <w:bottom w:w="70" w:type="dxa"/>
              <w:end w:w="80" w:type="dxa"/>
            </w:tcMar>
          </w:tcPr>
          <w:p>
            <w:r>
              <w:rPr>
                <w:rFonts w:ascii="Constantia" w:hAnsi="Constantia"/>
                <w:sz w:val="15"/>
              </w:rPr>
              <w:t>The completed boundary record is spacetime constant in the background solution.</w:t>
            </w:r>
          </w:p>
        </w:tc>
        <w:tc>
          <w:tcPr>
            <w:tcW w:type="dxa" w:w="1728"/>
            <w:vAlign w:val="top"/>
            <w:tcMar>
              <w:top w:w="70" w:type="dxa"/>
              <w:start w:w="80" w:type="dxa"/>
              <w:bottom w:w="70" w:type="dxa"/>
              <w:end w:w="80" w:type="dxa"/>
            </w:tcMar>
          </w:tcPr>
          <w:p>
            <w:r>
              <w:rPr>
                <w:rFonts w:ascii="Constantia" w:hAnsi="Constantia"/>
                <w:sz w:val="15"/>
              </w:rPr>
              <w:t>Vacuum stress</w:t>
            </w:r>
          </w:p>
        </w:tc>
      </w:tr>
      <w:tr>
        <w:trPr>
          <w:cantSplit/>
        </w:trPr>
        <w:tc>
          <w:tcPr>
            <w:tcW w:type="dxa" w:w="720"/>
            <w:vAlign w:val="top"/>
            <w:tcMar>
              <w:top w:w="70" w:type="dxa"/>
              <w:start w:w="80" w:type="dxa"/>
              <w:bottom w:w="70" w:type="dxa"/>
              <w:end w:w="80" w:type="dxa"/>
            </w:tcMar>
          </w:tcPr>
          <w:p>
            <w:r>
              <w:rPr>
                <w:rFonts w:ascii="Constantia" w:hAnsi="Constantia"/>
                <w:sz w:val="15"/>
              </w:rPr>
              <w:t>A11</w:t>
            </w:r>
          </w:p>
        </w:tc>
        <w:tc>
          <w:tcPr>
            <w:tcW w:type="dxa" w:w="2088"/>
            <w:vAlign w:val="top"/>
            <w:tcMar>
              <w:top w:w="70" w:type="dxa"/>
              <w:start w:w="80" w:type="dxa"/>
              <w:bottom w:w="70" w:type="dxa"/>
              <w:end w:w="80" w:type="dxa"/>
            </w:tcMar>
          </w:tcPr>
          <w:p>
            <w:r>
              <w:rPr>
                <w:rFonts w:ascii="Constantia" w:hAnsi="Constantia"/>
                <w:sz w:val="15"/>
              </w:rPr>
              <w:t>Clock gradient flow</w:t>
            </w:r>
          </w:p>
        </w:tc>
        <w:tc>
          <w:tcPr>
            <w:tcW w:type="dxa" w:w="5256"/>
            <w:vAlign w:val="top"/>
            <w:tcMar>
              <w:top w:w="70" w:type="dxa"/>
              <w:start w:w="80" w:type="dxa"/>
              <w:bottom w:w="70" w:type="dxa"/>
              <w:end w:w="80" w:type="dxa"/>
            </w:tcMar>
          </w:tcPr>
          <w:p>
            <w:r>
              <w:rPr>
                <w:rFonts w:ascii="Constantia" w:hAnsi="Constantia"/>
                <w:sz w:val="15"/>
              </w:rPr>
              <w:t>Unresolved carrier perturbations relax by the A2 quadratic energy in d tau=Hdt.</w:t>
            </w:r>
          </w:p>
        </w:tc>
        <w:tc>
          <w:tcPr>
            <w:tcW w:type="dxa" w:w="1728"/>
            <w:vAlign w:val="top"/>
            <w:tcMar>
              <w:top w:w="70" w:type="dxa"/>
              <w:start w:w="80" w:type="dxa"/>
              <w:bottom w:w="70" w:type="dxa"/>
              <w:end w:w="80" w:type="dxa"/>
            </w:tcMar>
          </w:tcPr>
          <w:p>
            <w:r>
              <w:rPr>
                <w:rFonts w:ascii="Constantia" w:hAnsi="Constantia"/>
                <w:sz w:val="15"/>
              </w:rPr>
              <w:t>Scatter kernel</w:t>
            </w:r>
          </w:p>
        </w:tc>
      </w:tr>
    </w:tbl>
    <w:p/>
    <w:p>
      <w:pPr>
        <w:pStyle w:val="Heading1"/>
      </w:pPr>
      <w:r>
        <w:t>3. Theorem dependency map</w:t>
      </w:r>
    </w:p>
    <w:p>
      <w:pPr>
        <w:spacing w:before="80" w:after="100"/>
        <w:jc w:val="center"/>
      </w:pPr>
      <w:r>
        <w:rPr>
          <w:rFonts w:ascii="Cambria Math" w:hAnsi="Cambria Math"/>
          <w:sz w:val="22"/>
        </w:rPr>
        <w:t>A1 -&gt; mu invariance -&gt; J_R J_A = 1</w:t>
      </w:r>
    </w:p>
    <w:p>
      <w:pPr>
        <w:spacing w:before="80" w:after="100"/>
        <w:jc w:val="center"/>
      </w:pPr>
      <w:r>
        <w:rPr>
          <w:rFonts w:ascii="Cambria Math" w:hAnsi="Cambria Math"/>
          <w:sz w:val="22"/>
        </w:rPr>
        <w:t>A2 + A3 + A4 -&gt; Lambda ~= Lambda*</w:t>
      </w:r>
    </w:p>
    <w:p>
      <w:pPr>
        <w:spacing w:before="80" w:after="100"/>
        <w:jc w:val="center"/>
      </w:pPr>
      <w:r>
        <w:rPr>
          <w:rFonts w:ascii="Cambria Math" w:hAnsi="Cambria Math"/>
          <w:sz w:val="22"/>
        </w:rPr>
        <w:t>A5 + A6 + A7 + self-duality -&gt; E8</w:t>
      </w:r>
    </w:p>
    <w:p>
      <w:pPr>
        <w:spacing w:before="80" w:after="100"/>
        <w:jc w:val="center"/>
      </w:pPr>
      <w:r>
        <w:rPr>
          <w:rFonts w:ascii="Cambria Math" w:hAnsi="Cambria Math"/>
          <w:sz w:val="22"/>
        </w:rPr>
        <w:t>A8 -&gt; A2 -&gt; covolume sqrt(3) -&gt; (1/sqrt(3), sqrt(3))</w:t>
      </w:r>
    </w:p>
    <w:p>
      <w:pPr>
        <w:spacing w:before="80" w:after="100"/>
        <w:jc w:val="center"/>
      </w:pPr>
      <w:r>
        <w:rPr>
          <w:rFonts w:ascii="Cambria Math" w:hAnsi="Cambria Math"/>
          <w:sz w:val="22"/>
        </w:rPr>
        <w:t>A9 + r^240 -&gt; lambda_boundary = (4pi/sqrt(3))r^240</w:t>
      </w:r>
    </w:p>
    <w:p>
      <w:pPr>
        <w:spacing w:before="80" w:after="100"/>
        <w:jc w:val="center"/>
      </w:pPr>
      <w:r>
        <w:rPr>
          <w:rFonts w:ascii="Cambria Math" w:hAnsi="Cambria Math"/>
          <w:sz w:val="22"/>
        </w:rPr>
        <w:t>A10 -&gt; T_mn = -rho g_mn -&gt; w = -1</w:t>
      </w:r>
    </w:p>
    <w:p>
      <w:pPr>
        <w:spacing w:before="80" w:after="100"/>
        <w:jc w:val="center"/>
      </w:pPr>
      <w:r>
        <w:rPr>
          <w:rFonts w:ascii="Cambria Math" w:hAnsi="Cambria Math"/>
          <w:sz w:val="22"/>
        </w:rPr>
        <w:t>A8 + A11 -&gt; d xi/d tau = -(3/2)xi + forcing</w:t>
      </w:r>
    </w:p>
    <w:p>
      <w:pPr>
        <w:pStyle w:val="Heading1"/>
      </w:pPr>
      <w:r>
        <w:t>4. What is now closed and what is not</w:t>
      </w:r>
    </w:p>
    <w:tbl>
      <w:tblPr>
        <w:tblStyle w:val="TableGrid"/>
        <w:tblW w:type="auto" w:w="0"/>
        <w:jc w:val="center"/>
        <w:tblLayout w:type="autofit"/>
        <w:tblLook w:firstColumn="1" w:firstRow="1" w:lastColumn="0" w:lastRow="0" w:noHBand="0" w:noVBand="1" w:val="04A0"/>
      </w:tblPr>
      <w:tblGrid>
        <w:gridCol w:w="4997"/>
        <w:gridCol w:w="4997"/>
      </w:tblGrid>
      <w:tr>
        <w:trPr>
          <w:cantSplit/>
        </w:trPr>
        <w:tc>
          <w:tcPr>
            <w:tcW w:type="dxa" w:w="4320"/>
            <w:shd w:fill="DDE5EC"/>
            <w:vAlign w:val="center"/>
          </w:tcPr>
          <w:p>
            <w:pPr>
              <w:jc w:val="center"/>
            </w:pPr>
            <w:r>
              <w:rPr>
                <w:rFonts w:ascii="Constantia" w:hAnsi="Constantia"/>
                <w:b/>
                <w:sz w:val="16"/>
              </w:rPr>
              <w:t>Statement</w:t>
            </w:r>
          </w:p>
        </w:tc>
        <w:tc>
          <w:tcPr>
            <w:tcW w:type="dxa" w:w="5328"/>
            <w:shd w:fill="DDE5EC"/>
            <w:vAlign w:val="center"/>
          </w:tcPr>
          <w:p>
            <w:pPr>
              <w:jc w:val="center"/>
            </w:pPr>
            <w:r>
              <w:rPr>
                <w:rFonts w:ascii="Constantia" w:hAnsi="Constantia"/>
                <w:b/>
                <w:sz w:val="16"/>
              </w:rPr>
              <w:t>Current verdict</w:t>
            </w:r>
          </w:p>
        </w:tc>
      </w:tr>
      <w:tr>
        <w:trPr>
          <w:cantSplit/>
        </w:trPr>
        <w:tc>
          <w:tcPr>
            <w:tcW w:type="dxa" w:w="4320"/>
            <w:vAlign w:val="top"/>
            <w:tcMar>
              <w:top w:w="70" w:type="dxa"/>
              <w:start w:w="80" w:type="dxa"/>
              <w:bottom w:w="70" w:type="dxa"/>
              <w:end w:w="80" w:type="dxa"/>
            </w:tcMar>
          </w:tcPr>
          <w:p>
            <w:r>
              <w:rPr>
                <w:rFonts w:ascii="Constantia" w:hAnsi="Constantia"/>
                <w:sz w:val="16"/>
              </w:rPr>
              <w:t>There are 241 E8 roots</w:t>
            </w:r>
          </w:p>
        </w:tc>
        <w:tc>
          <w:tcPr>
            <w:tcW w:type="dxa" w:w="5328"/>
            <w:vAlign w:val="top"/>
            <w:tcMar>
              <w:top w:w="70" w:type="dxa"/>
              <w:start w:w="80" w:type="dxa"/>
              <w:bottom w:w="70" w:type="dxa"/>
              <w:end w:w="80" w:type="dxa"/>
            </w:tcMar>
          </w:tcPr>
          <w:p>
            <w:r>
              <w:rPr>
                <w:rFonts w:ascii="Constantia" w:hAnsi="Constantia"/>
                <w:sz w:val="16"/>
              </w:rPr>
              <w:t>FALSE. There are 240 roots. The +1 is a whole-boundary operation, not a root.</w:t>
            </w:r>
          </w:p>
        </w:tc>
      </w:tr>
      <w:tr>
        <w:trPr>
          <w:cantSplit/>
        </w:trPr>
        <w:tc>
          <w:tcPr>
            <w:tcW w:type="dxa" w:w="4320"/>
            <w:vAlign w:val="top"/>
            <w:tcMar>
              <w:top w:w="70" w:type="dxa"/>
              <w:start w:w="80" w:type="dxa"/>
              <w:bottom w:w="70" w:type="dxa"/>
              <w:end w:w="80" w:type="dxa"/>
            </w:tcMar>
          </w:tcPr>
          <w:p>
            <w:r>
              <w:rPr>
                <w:rFonts w:ascii="Constantia" w:hAnsi="Constantia"/>
                <w:sz w:val="16"/>
              </w:rPr>
              <w:t>The exponent must be 241</w:t>
            </w:r>
          </w:p>
        </w:tc>
        <w:tc>
          <w:tcPr>
            <w:tcW w:type="dxa" w:w="5328"/>
            <w:vAlign w:val="top"/>
            <w:tcMar>
              <w:top w:w="70" w:type="dxa"/>
              <w:start w:w="80" w:type="dxa"/>
              <w:bottom w:w="70" w:type="dxa"/>
              <w:end w:w="80" w:type="dxa"/>
            </w:tcMar>
          </w:tcPr>
          <w:p>
            <w:r>
              <w:rPr>
                <w:rFonts w:ascii="Constantia" w:hAnsi="Constantia"/>
                <w:sz w:val="16"/>
              </w:rPr>
              <w:t>NOT REQUIRED. The snowflake readout acts on r^240 by a geometric functional.</w:t>
            </w:r>
          </w:p>
        </w:tc>
      </w:tr>
      <w:tr>
        <w:trPr>
          <w:cantSplit/>
        </w:trPr>
        <w:tc>
          <w:tcPr>
            <w:tcW w:type="dxa" w:w="4320"/>
            <w:vAlign w:val="top"/>
            <w:tcMar>
              <w:top w:w="70" w:type="dxa"/>
              <w:start w:w="80" w:type="dxa"/>
              <w:bottom w:w="70" w:type="dxa"/>
              <w:end w:w="80" w:type="dxa"/>
            </w:tcMar>
          </w:tcPr>
          <w:p>
            <w:r>
              <w:rPr>
                <w:rFonts w:ascii="Constantia" w:hAnsi="Constantia"/>
                <w:sz w:val="16"/>
              </w:rPr>
              <w:t>A unique forty-cell partition must be proved</w:t>
            </w:r>
          </w:p>
        </w:tc>
        <w:tc>
          <w:tcPr>
            <w:tcW w:type="dxa" w:w="5328"/>
            <w:vAlign w:val="top"/>
            <w:tcMar>
              <w:top w:w="70" w:type="dxa"/>
              <w:start w:w="80" w:type="dxa"/>
              <w:bottom w:w="70" w:type="dxa"/>
              <w:end w:w="80" w:type="dxa"/>
            </w:tcMar>
          </w:tcPr>
          <w:p>
            <w:r>
              <w:rPr>
                <w:rFonts w:ascii="Constantia" w:hAnsi="Constantia"/>
                <w:sz w:val="16"/>
              </w:rPr>
              <w:t>NO. The quotient type A2 and its covolume are cover-independent; an exhaustive atlas must merely exist.</w:t>
            </w:r>
          </w:p>
        </w:tc>
      </w:tr>
      <w:tr>
        <w:trPr>
          <w:cantSplit/>
        </w:trPr>
        <w:tc>
          <w:tcPr>
            <w:tcW w:type="dxa" w:w="4320"/>
            <w:vAlign w:val="top"/>
            <w:tcMar>
              <w:top w:w="70" w:type="dxa"/>
              <w:start w:w="80" w:type="dxa"/>
              <w:bottom w:w="70" w:type="dxa"/>
              <w:end w:w="80" w:type="dxa"/>
            </w:tcMar>
          </w:tcPr>
          <w:p>
            <w:r>
              <w:rPr>
                <w:rFonts w:ascii="Constantia" w:hAnsi="Constantia"/>
                <w:sz w:val="16"/>
              </w:rPr>
              <w:t>Description measure needs a conservation postulate</w:t>
            </w:r>
          </w:p>
        </w:tc>
        <w:tc>
          <w:tcPr>
            <w:tcW w:type="dxa" w:w="5328"/>
            <w:vAlign w:val="top"/>
            <w:tcMar>
              <w:top w:w="70" w:type="dxa"/>
              <w:start w:w="80" w:type="dxa"/>
              <w:bottom w:w="70" w:type="dxa"/>
              <w:end w:w="80" w:type="dxa"/>
            </w:tcMar>
          </w:tcPr>
          <w:p>
            <w:r>
              <w:rPr>
                <w:rFonts w:ascii="Constantia" w:hAnsi="Constantia"/>
                <w:sz w:val="16"/>
              </w:rPr>
              <w:t>NO within the continuation model. Invariance follows from graph automorphism.</w:t>
            </w:r>
          </w:p>
        </w:tc>
      </w:tr>
      <w:tr>
        <w:trPr>
          <w:cantSplit/>
        </w:trPr>
        <w:tc>
          <w:tcPr>
            <w:tcW w:type="dxa" w:w="4320"/>
            <w:vAlign w:val="top"/>
            <w:tcMar>
              <w:top w:w="70" w:type="dxa"/>
              <w:start w:w="80" w:type="dxa"/>
              <w:bottom w:w="70" w:type="dxa"/>
              <w:end w:w="80" w:type="dxa"/>
            </w:tcMar>
          </w:tcPr>
          <w:p>
            <w:r>
              <w:rPr>
                <w:rFonts w:ascii="Constantia" w:hAnsi="Constantia"/>
                <w:sz w:val="16"/>
              </w:rPr>
              <w:t>Records-as-functionals automatically imply self-duality</w:t>
            </w:r>
          </w:p>
        </w:tc>
        <w:tc>
          <w:tcPr>
            <w:tcW w:type="dxa" w:w="5328"/>
            <w:vAlign w:val="top"/>
            <w:tcMar>
              <w:top w:w="70" w:type="dxa"/>
              <w:start w:w="80" w:type="dxa"/>
              <w:bottom w:w="70" w:type="dxa"/>
              <w:end w:w="80" w:type="dxa"/>
            </w:tcMar>
          </w:tcPr>
          <w:p>
            <w:r>
              <w:rPr>
                <w:rFonts w:ascii="Constantia" w:hAnsi="Constantia"/>
                <w:sz w:val="16"/>
              </w:rPr>
              <w:t>NO. A reciprocal saturated state-record pairing is additionally required.</w:t>
            </w:r>
          </w:p>
        </w:tc>
      </w:tr>
      <w:tr>
        <w:trPr>
          <w:cantSplit/>
        </w:trPr>
        <w:tc>
          <w:tcPr>
            <w:tcW w:type="dxa" w:w="4320"/>
            <w:vAlign w:val="top"/>
            <w:tcMar>
              <w:top w:w="70" w:type="dxa"/>
              <w:start w:w="80" w:type="dxa"/>
              <w:bottom w:w="70" w:type="dxa"/>
              <w:end w:w="80" w:type="dxa"/>
            </w:tcMar>
          </w:tcPr>
          <w:p>
            <w:r>
              <w:rPr>
                <w:rFonts w:ascii="Constantia" w:hAnsi="Constantia"/>
                <w:sz w:val="16"/>
              </w:rPr>
              <w:t>The vacuum stress form is derived</w:t>
            </w:r>
          </w:p>
        </w:tc>
        <w:tc>
          <w:tcPr>
            <w:tcW w:type="dxa" w:w="5328"/>
            <w:vAlign w:val="top"/>
            <w:tcMar>
              <w:top w:w="70" w:type="dxa"/>
              <w:start w:w="80" w:type="dxa"/>
              <w:bottom w:w="70" w:type="dxa"/>
              <w:end w:w="80" w:type="dxa"/>
            </w:tcMar>
          </w:tcPr>
          <w:p>
            <w:r>
              <w:rPr>
                <w:rFonts w:ascii="Constantia" w:hAnsi="Constantia"/>
                <w:sz w:val="16"/>
              </w:rPr>
              <w:t>YES under constant scalar, locality, and diffeomorphism invariance.</w:t>
            </w:r>
          </w:p>
        </w:tc>
      </w:tr>
      <w:tr>
        <w:trPr>
          <w:cantSplit/>
        </w:trPr>
        <w:tc>
          <w:tcPr>
            <w:tcW w:type="dxa" w:w="4320"/>
            <w:vAlign w:val="top"/>
            <w:tcMar>
              <w:top w:w="70" w:type="dxa"/>
              <w:start w:w="80" w:type="dxa"/>
              <w:bottom w:w="70" w:type="dxa"/>
              <w:end w:w="80" w:type="dxa"/>
            </w:tcMar>
          </w:tcPr>
          <w:p>
            <w:r>
              <w:rPr>
                <w:rFonts w:ascii="Constantia" w:hAnsi="Constantia"/>
                <w:sz w:val="16"/>
              </w:rPr>
              <w:t>The physical theory is independently established</w:t>
            </w:r>
          </w:p>
        </w:tc>
        <w:tc>
          <w:tcPr>
            <w:tcW w:type="dxa" w:w="5328"/>
            <w:vAlign w:val="top"/>
            <w:tcMar>
              <w:top w:w="70" w:type="dxa"/>
              <w:start w:w="80" w:type="dxa"/>
              <w:bottom w:w="70" w:type="dxa"/>
              <w:end w:w="80" w:type="dxa"/>
            </w:tcMar>
          </w:tcPr>
          <w:p>
            <w:r>
              <w:rPr>
                <w:rFonts w:ascii="Constantia" w:hAnsi="Constantia"/>
                <w:sz w:val="16"/>
              </w:rPr>
              <w:t>NO. Representation membership and empirical tests remain open.</w:t>
            </w:r>
          </w:p>
        </w:tc>
      </w:tr>
    </w:tbl>
    <w:p/>
    <w:p>
      <w:pPr>
        <w:pStyle w:val="Heading1"/>
      </w:pPr>
      <w:r>
        <w:t>5. Frozen predictions after the queue</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rPr>
        <w:tc>
          <w:tcPr>
            <w:tcW w:type="dxa" w:w="936"/>
            <w:shd w:fill="DDE5EC"/>
            <w:vAlign w:val="center"/>
          </w:tcPr>
          <w:p>
            <w:pPr>
              <w:jc w:val="center"/>
            </w:pPr>
            <w:r>
              <w:rPr>
                <w:rFonts w:ascii="Constantia" w:hAnsi="Constantia"/>
                <w:b/>
                <w:sz w:val="16"/>
              </w:rPr>
              <w:t>ID</w:t>
            </w:r>
          </w:p>
        </w:tc>
        <w:tc>
          <w:tcPr>
            <w:tcW w:type="dxa" w:w="4968"/>
            <w:shd w:fill="DDE5EC"/>
            <w:vAlign w:val="center"/>
          </w:tcPr>
          <w:p>
            <w:pPr>
              <w:jc w:val="center"/>
            </w:pPr>
            <w:r>
              <w:rPr>
                <w:rFonts w:ascii="Constantia" w:hAnsi="Constantia"/>
                <w:b/>
                <w:sz w:val="16"/>
              </w:rPr>
              <w:t>Prediction</w:t>
            </w:r>
          </w:p>
        </w:tc>
        <w:tc>
          <w:tcPr>
            <w:tcW w:type="dxa" w:w="3744"/>
            <w:shd w:fill="DDE5EC"/>
            <w:vAlign w:val="center"/>
          </w:tcPr>
          <w:p>
            <w:pPr>
              <w:jc w:val="center"/>
            </w:pPr>
            <w:r>
              <w:rPr>
                <w:rFonts w:ascii="Constantia" w:hAnsi="Constantia"/>
                <w:b/>
                <w:sz w:val="16"/>
              </w:rPr>
              <w:t>Primary kill condition</w:t>
            </w:r>
          </w:p>
        </w:tc>
      </w:tr>
      <w:tr>
        <w:trPr>
          <w:cantSplit/>
        </w:trPr>
        <w:tc>
          <w:tcPr>
            <w:tcW w:type="dxa" w:w="936"/>
            <w:vAlign w:val="top"/>
            <w:tcMar>
              <w:top w:w="70" w:type="dxa"/>
              <w:start w:w="80" w:type="dxa"/>
              <w:bottom w:w="70" w:type="dxa"/>
              <w:end w:w="80" w:type="dxa"/>
            </w:tcMar>
          </w:tcPr>
          <w:p>
            <w:r>
              <w:rPr>
                <w:rFonts w:ascii="Constantia" w:hAnsi="Constantia"/>
                <w:sz w:val="16"/>
              </w:rPr>
              <w:t>P1</w:t>
            </w:r>
          </w:p>
        </w:tc>
        <w:tc>
          <w:tcPr>
            <w:tcW w:type="dxa" w:w="4968"/>
            <w:vAlign w:val="top"/>
            <w:tcMar>
              <w:top w:w="70" w:type="dxa"/>
              <w:start w:w="80" w:type="dxa"/>
              <w:bottom w:w="70" w:type="dxa"/>
              <w:end w:w="80" w:type="dxa"/>
            </w:tcMar>
          </w:tcPr>
          <w:p>
            <w:r>
              <w:rPr>
                <w:rFonts w:ascii="Constantia" w:hAnsi="Constantia"/>
                <w:sz w:val="16"/>
              </w:rPr>
              <w:t>w0=-1, wa=0 exactly while the completed scalar record persists.</w:t>
            </w:r>
          </w:p>
        </w:tc>
        <w:tc>
          <w:tcPr>
            <w:tcW w:type="dxa" w:w="3744"/>
            <w:vAlign w:val="top"/>
            <w:tcMar>
              <w:top w:w="70" w:type="dxa"/>
              <w:start w:w="80" w:type="dxa"/>
              <w:bottom w:w="70" w:type="dxa"/>
              <w:end w:w="80" w:type="dxa"/>
            </w:tcMar>
          </w:tcPr>
          <w:p>
            <w:r>
              <w:rPr>
                <w:rFonts w:ascii="Constantia" w:hAnsi="Constantia"/>
                <w:sz w:val="16"/>
              </w:rPr>
              <w:t>Robust evolving dark energy across independent probes.</w:t>
            </w:r>
          </w:p>
        </w:tc>
      </w:tr>
      <w:tr>
        <w:trPr>
          <w:cantSplit/>
        </w:trPr>
        <w:tc>
          <w:tcPr>
            <w:tcW w:type="dxa" w:w="936"/>
            <w:vAlign w:val="top"/>
            <w:tcMar>
              <w:top w:w="70" w:type="dxa"/>
              <w:start w:w="80" w:type="dxa"/>
              <w:bottom w:w="70" w:type="dxa"/>
              <w:end w:w="80" w:type="dxa"/>
            </w:tcMar>
          </w:tcPr>
          <w:p>
            <w:r>
              <w:rPr>
                <w:rFonts w:ascii="Constantia" w:hAnsi="Constantia"/>
                <w:sz w:val="16"/>
              </w:rPr>
              <w:t>P2-prime</w:t>
            </w:r>
          </w:p>
        </w:tc>
        <w:tc>
          <w:tcPr>
            <w:tcW w:type="dxa" w:w="4968"/>
            <w:vAlign w:val="top"/>
            <w:tcMar>
              <w:top w:w="70" w:type="dxa"/>
              <w:start w:w="80" w:type="dxa"/>
              <w:bottom w:w="70" w:type="dxa"/>
              <w:end w:w="80" w:type="dxa"/>
            </w:tcMar>
          </w:tcPr>
          <w:p>
            <w:r>
              <w:rPr>
                <w:rFonts w:ascii="Constantia" w:hAnsi="Constantia"/>
                <w:sz w:val="16"/>
              </w:rPr>
              <w:t>a(z)=sqrt(3)cH(z)DeltaB; a0=1.1180e-10 m s^-2.</w:t>
            </w:r>
          </w:p>
        </w:tc>
        <w:tc>
          <w:tcPr>
            <w:tcW w:type="dxa" w:w="3744"/>
            <w:vAlign w:val="top"/>
            <w:tcMar>
              <w:top w:w="70" w:type="dxa"/>
              <w:start w:w="80" w:type="dxa"/>
              <w:bottom w:w="70" w:type="dxa"/>
              <w:end w:w="80" w:type="dxa"/>
            </w:tcMar>
          </w:tcPr>
          <w:p>
            <w:r>
              <w:rPr>
                <w:rFonts w:ascii="Constantia" w:hAnsi="Constantia"/>
                <w:sz w:val="16"/>
              </w:rPr>
              <w:t>Independent catalogues outside frozen tolerance or failure of H(z) tracking.</w:t>
            </w:r>
          </w:p>
        </w:tc>
      </w:tr>
      <w:tr>
        <w:trPr>
          <w:cantSplit/>
        </w:trPr>
        <w:tc>
          <w:tcPr>
            <w:tcW w:type="dxa" w:w="936"/>
            <w:vAlign w:val="top"/>
            <w:tcMar>
              <w:top w:w="70" w:type="dxa"/>
              <w:start w:w="80" w:type="dxa"/>
              <w:bottom w:w="70" w:type="dxa"/>
              <w:end w:w="80" w:type="dxa"/>
            </w:tcMar>
          </w:tcPr>
          <w:p>
            <w:r>
              <w:rPr>
                <w:rFonts w:ascii="Constantia" w:hAnsi="Constantia"/>
                <w:sz w:val="16"/>
              </w:rPr>
              <w:t>P3</w:t>
            </w:r>
          </w:p>
        </w:tc>
        <w:tc>
          <w:tcPr>
            <w:tcW w:type="dxa" w:w="4968"/>
            <w:vAlign w:val="top"/>
            <w:tcMar>
              <w:top w:w="70" w:type="dxa"/>
              <w:start w:w="80" w:type="dxa"/>
              <w:bottom w:w="70" w:type="dxa"/>
              <w:end w:w="80" w:type="dxa"/>
            </w:tcMar>
          </w:tcPr>
          <w:p>
            <w:r>
              <w:rPr>
                <w:rFonts w:ascii="Constantia" w:hAnsi="Constantia"/>
                <w:sz w:val="16"/>
              </w:rPr>
              <w:t>Mean acceleration scale is environment-independent at fixed epoch.</w:t>
            </w:r>
          </w:p>
        </w:tc>
        <w:tc>
          <w:tcPr>
            <w:tcW w:type="dxa" w:w="3744"/>
            <w:vAlign w:val="top"/>
            <w:tcMar>
              <w:top w:w="70" w:type="dxa"/>
              <w:start w:w="80" w:type="dxa"/>
              <w:bottom w:w="70" w:type="dxa"/>
              <w:end w:w="80" w:type="dxa"/>
            </w:tcMar>
          </w:tcPr>
          <w:p>
            <w:r>
              <w:rPr>
                <w:rFonts w:ascii="Constantia" w:hAnsi="Constantia"/>
                <w:sz w:val="16"/>
              </w:rPr>
              <w:t>Repeatable matched environment offset.</w:t>
            </w:r>
          </w:p>
        </w:tc>
      </w:tr>
      <w:tr>
        <w:trPr>
          <w:cantSplit/>
        </w:trPr>
        <w:tc>
          <w:tcPr>
            <w:tcW w:type="dxa" w:w="936"/>
            <w:vAlign w:val="top"/>
            <w:tcMar>
              <w:top w:w="70" w:type="dxa"/>
              <w:start w:w="80" w:type="dxa"/>
              <w:bottom w:w="70" w:type="dxa"/>
              <w:end w:w="80" w:type="dxa"/>
            </w:tcMar>
          </w:tcPr>
          <w:p>
            <w:r>
              <w:rPr>
                <w:rFonts w:ascii="Constantia" w:hAnsi="Constantia"/>
                <w:sz w:val="16"/>
              </w:rPr>
              <w:t>S1</w:t>
            </w:r>
          </w:p>
        </w:tc>
        <w:tc>
          <w:tcPr>
            <w:tcW w:type="dxa" w:w="4968"/>
            <w:vAlign w:val="top"/>
            <w:tcMar>
              <w:top w:w="70" w:type="dxa"/>
              <w:start w:w="80" w:type="dxa"/>
              <w:bottom w:w="70" w:type="dxa"/>
              <w:end w:w="80" w:type="dxa"/>
            </w:tcMar>
          </w:tcPr>
          <w:p>
            <w:r>
              <w:rPr>
                <w:rFonts w:ascii="Constantia" w:hAnsi="Constantia"/>
                <w:sz w:val="16"/>
              </w:rPr>
              <w:t>Residual memory decays with exponent 3/2 in cosmological clock time.</w:t>
            </w:r>
          </w:p>
        </w:tc>
        <w:tc>
          <w:tcPr>
            <w:tcW w:type="dxa" w:w="3744"/>
            <w:vAlign w:val="top"/>
            <w:tcMar>
              <w:top w:w="70" w:type="dxa"/>
              <w:start w:w="80" w:type="dxa"/>
              <w:bottom w:w="70" w:type="dxa"/>
              <w:end w:w="80" w:type="dxa"/>
            </w:tcMar>
          </w:tcPr>
          <w:p>
            <w:r>
              <w:rPr>
                <w:rFonts w:ascii="Constantia" w:hAnsi="Constantia"/>
                <w:sz w:val="16"/>
              </w:rPr>
              <w:t>Held-out free-exponent kernel excludes 3/2 or no relaxation signal exists.</w:t>
            </w:r>
          </w:p>
        </w:tc>
      </w:tr>
    </w:tbl>
    <w:p/>
    <w:p>
      <w:pPr>
        <w:pStyle w:val="Heading1"/>
      </w:pPr>
      <w:r>
        <w:t>6. Next operations - no new theorem branches</w:t>
      </w:r>
    </w:p>
    <w:p>
      <w:pPr>
        <w:pStyle w:val="ListNumber"/>
      </w:pPr>
      <w:r>
        <w:rPr>
          <w:rFonts w:ascii="Constantia" w:hAnsi="Constantia"/>
          <w:sz w:val="21"/>
        </w:rPr>
        <w:t>Audit the physical act-record map against A1 rather than adding another measure principle.</w:t>
      </w:r>
    </w:p>
    <w:p>
      <w:pPr>
        <w:pStyle w:val="ListNumber"/>
      </w:pPr>
      <w:r>
        <w:rPr>
          <w:rFonts w:ascii="Constantia" w:hAnsi="Constantia"/>
          <w:sz w:val="21"/>
        </w:rPr>
        <w:t>Extract the primitive record basis and reciprocal pairing from the current loop algebra notation and test A2-A4 line by line.</w:t>
      </w:r>
    </w:p>
    <w:p>
      <w:pPr>
        <w:pStyle w:val="ListNumber"/>
      </w:pPr>
      <w:r>
        <w:rPr>
          <w:rFonts w:ascii="Constantia" w:hAnsi="Constantia"/>
          <w:sz w:val="21"/>
        </w:rPr>
        <w:t>Verify the rank-eight regular representation and indecomposability conditions before using the word forced for E8.</w:t>
      </w:r>
    </w:p>
    <w:p>
      <w:pPr>
        <w:pStyle w:val="ListNumber"/>
      </w:pPr>
      <w:r>
        <w:rPr>
          <w:rFonts w:ascii="Constantia" w:hAnsi="Constantia"/>
          <w:sz w:val="21"/>
        </w:rPr>
        <w:t>Rerun the finite forty-cell certificate independently; treat alternative covers as atlas gauge unless they change the local Gram determinant.</w:t>
      </w:r>
    </w:p>
    <w:p>
      <w:pPr>
        <w:pStyle w:val="ListNumber"/>
      </w:pPr>
      <w:r>
        <w:rPr>
          <w:rFonts w:ascii="Constantia" w:hAnsi="Constantia"/>
          <w:sz w:val="21"/>
        </w:rPr>
        <w:t>Implement the fixed 3/2 scatter kernel in the preregistered residual pipeline without refitting the mean amplitude.</w:t>
      </w:r>
    </w:p>
    <w:p>
      <w:pPr>
        <w:pStyle w:val="ListNumber"/>
      </w:pPr>
      <w:r>
        <w:rPr>
          <w:rFonts w:ascii="Constantia" w:hAnsi="Constantia"/>
          <w:sz w:val="21"/>
        </w:rPr>
        <w:t>Keep all failed membership tests and negative empirical results in the public ledger.</w:t>
      </w:r>
    </w:p>
    <w:sectPr w:rsidR="00FC693F" w:rsidRPr="0006063C" w:rsidSect="00034616">
      <w:headerReference w:type="first" r:id="rIdFirstHeader"/>
      <w:footerReference w:type="first" r:id="rIdFirstFooter"/>
      <w:headerReference w:type="default" r:id="rId9"/>
      <w:footerReference w:type="default" r:id="rId10"/>
      <w:pgSz w:w="12240" w:h="15840"/>
      <w:pgMar w:top="979"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pPr>
    <w:r>
      <w:rPr>
        <w:color w:val="102A43"/>
      </w:rPr>
      <w:fldChar w:fldCharType="begin"/>
    </w:r>
    <w:r>
      <w:rPr>
        <w:color w:val="102A43"/>
      </w:rPr>
      <w:instrText xml:space="preserve"> PAGE </w:instrText>
    </w:r>
    <w:r>
      <w:rPr>
        <w:color w:val="102A43"/>
      </w:rPr>
      <w:fldChar w:fldCharType="end"/>
    </w:r>
  </w:p>
</w:ftr>
</file>

<file path=word/footerFirst.xml><?xml version="1.0" encoding="utf-8"?>
<w:ftr xmlns:w="http://schemas.openxmlformats.org/wordprocessingml/2006/main">
  <w:p>
    <w:pPr>
      <w:spacing w:after="0" w:line="240" w:lineRule="auto"/>
    </w:pPr>
  </w:p>
</w:ftr>
</file>

<file path=word/header1.xml><?xml version="1.0" encoding="utf-8"?>
<w:hdr xmlns:w="http://schemas.openxmlformats.org/wordprocessingml/2006/main">
  <w:p>
    <w:pPr>
      <w:pStyle w:val="Header"/>
    </w:pPr>
    <w:r>
      <w:t xml:space="preserve">Unified Mechanics · Theorem Queue Proof Ledger</w:t>
    </w:r>
  </w:p>
</w:hdr>
</file>

<file path=word/headerFirst.xml><?xml version="1.0" encoding="utf-8"?>
<w:hdr xmlns:w="http://schemas.openxmlformats.org/wordprocessingml/2006/main">
  <w:p>
    <w:pPr>
      <w:spacing w:after="0" w:line="240"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w:docDefaults>
    <w:rPrDefault>
      <w:rPr>
        <w:rFonts w:ascii="Constantia" w:hAnsi="Constantia" w:eastAsia="Constantia" w:cs="Constantia"/>
        <w:color w:val="243040"/>
        <w:sz w:val="21"/>
        <w:szCs w:val="21"/>
        <w:lang w:val="en-US" w:eastAsia="en-US" w:bidi="ar-SA"/>
      </w:rPr>
    </w:rPrDefault>
    <w:pPrDefault>
      <w:pPr>
        <w:spacing w:after="140" w:line="300" w:lineRule="auto"/>
      </w:pPr>
    </w:pPrDefault>
  </w:docDefaults>
  <w:style w:type="paragraph" w:default="1" w:styleId="Normal">
    <w:name w:val="Normal"/>
    <w:qFormat/>
    <w:pPr>
      <w:widowControl/>
      <w:spacing w:after="140" w:line="300" w:lineRule="auto"/>
      <w:jc w:val="both"/>
    </w:pPr>
    <w:rPr>
      <w:rFonts w:ascii="Constantia" w:hAnsi="Constantia" w:eastAsia="Constantia"/>
      <w:color w:val="243040"/>
      <w:sz w:val="21"/>
    </w:rPr>
  </w:style>
  <w:style w:type="character" w:default="1" w:styleId="DefaultParagraphFont">
    <w:name w:val="Default Paragraph Font"/>
    <w:semiHidden/>
    <w:unhideWhenUsed/>
  </w:style>
  <w:style w:type="table" w:default="1" w:styleId="TableNormal">
    <w:name w:val="Normal Table"/>
    <w:semiHidden/>
    <w:unhideWhenUsed/>
    <w:tblPr>
      <w:tblInd w:w="0" w:type="dxa"/>
      <w:tblCellMar>
        <w:top w:w="60" w:type="dxa"/>
        <w:left w:w="110" w:type="dxa"/>
        <w:bottom w:w="60" w:type="dxa"/>
        <w:right w:w="110" w:type="dxa"/>
      </w:tblCellMar>
    </w:tblPr>
  </w:style>
  <w:style w:type="numbering" w:default="1" w:styleId="NoList">
    <w:name w:val="No List"/>
    <w:semiHidden/>
    <w:unhideWhenUsed/>
  </w:style>
  <w:style w:type="paragraph" w:styleId="Title">
    <w:name w:val="Title"/>
    <w:basedOn w:val="Normal"/>
    <w:qFormat/>
    <w:pPr>
      <w:spacing w:before="120" w:after="360" w:line="264" w:lineRule="auto"/>
      <w:jc w:val="center"/>
      <w:outlineLvl w:val="0"/>
    </w:pPr>
    <w:rPr>
      <w:b/>
      <w:color w:val="102A43"/>
      <w:sz w:val="56"/>
      <w:szCs w:val="56"/>
    </w:rPr>
  </w:style>
  <w:style w:type="paragraph" w:styleId="Subtitle">
    <w:name w:val="Subtitle"/>
    <w:basedOn w:val="Normal"/>
    <w:qFormat/>
    <w:pPr>
      <w:pBdr>
        <w:top w:val="single" w:sz="4" w:space="14" w:color="D8CBA8"/>
      </w:pBdr>
      <w:spacing w:before="60" w:after="200" w:line="288" w:lineRule="auto"/>
      <w:ind w:left="567" w:right="567"/>
      <w:jc w:val="center"/>
    </w:pPr>
    <w:rPr>
      <w:i/>
      <w:color w:val="5B6B7A"/>
      <w:sz w:val="26"/>
    </w:rPr>
  </w:style>
  <w:style w:type="paragraph" w:styleId="Heading1">
    <w:name w:val="heading 1"/>
    <w:basedOn w:val="Normal"/>
    <w:qFormat/>
    <w:pPr>
      <w:keepNext/>
      <w:keepLines/>
      <w:pBdr>
        <w:bottom w:val="single" w:sz="8" w:space="6" w:color="B48A2E"/>
      </w:pBdr>
      <w:spacing w:before="560" w:after="260" w:line="264" w:lineRule="auto"/>
      <w:jc w:val="left"/>
      <w:outlineLvl w:val="0"/>
    </w:pPr>
    <w:rPr>
      <w:b/>
      <w:smallCaps/>
      <w:spacing w:val="16"/>
      <w:color w:val="102A43"/>
      <w:sz w:val="33"/>
      <w:szCs w:val="33"/>
    </w:rPr>
  </w:style>
  <w:style w:type="paragraph" w:styleId="Heading2">
    <w:name w:val="heading 2"/>
    <w:basedOn w:val="Normal"/>
    <w:qFormat/>
    <w:pPr>
      <w:keepNext/>
      <w:keepLines/>
      <w:spacing w:before="380" w:after="160" w:line="264" w:lineRule="auto"/>
      <w:jc w:val="left"/>
      <w:outlineLvl w:val="1"/>
    </w:pPr>
    <w:rPr>
      <w:b/>
      <w:color w:val="102A43"/>
      <w:sz w:val="26"/>
      <w:szCs w:val="26"/>
    </w:rPr>
  </w:style>
  <w:style w:type="paragraph" w:styleId="Heading3">
    <w:name w:val="heading 3"/>
    <w:basedOn w:val="Normal"/>
    <w:qFormat/>
    <w:pPr>
      <w:keepNext/>
      <w:keepLines/>
      <w:spacing w:before="300" w:after="120" w:line="264" w:lineRule="auto"/>
      <w:jc w:val="left"/>
      <w:outlineLvl w:val="2"/>
    </w:pPr>
    <w:rPr>
      <w:b/>
      <w:i/>
      <w:color w:val="102A43"/>
      <w:sz w:val="23"/>
      <w:szCs w:val="23"/>
    </w:rPr>
  </w:style>
  <w:style w:type="paragraph" w:styleId="ListBullet">
    <w:name w:val="List Bullet"/>
    <w:basedOn w:val="Normal"/>
    <w:qFormat/>
    <w:pPr>
      <w:numPr>
        <w:numId w:val="1"/>
      </w:numPr>
      <w:spacing w:after="80"/>
      <w:contextualSpacing/>
    </w:pPr>
  </w:style>
  <w:style w:type="paragraph" w:styleId="ListNumber">
    <w:name w:val="List Number"/>
    <w:basedOn w:val="Normal"/>
    <w:qFormat/>
    <w:pPr>
      <w:numPr>
        <w:numId w:val="5"/>
      </w:numPr>
      <w:spacing w:after="80"/>
      <w:contextualSpacing/>
    </w:pPr>
  </w:style>
  <w:style w:type="paragraph" w:styleId="ListParagraph">
    <w:name w:val="List Paragraph"/>
    <w:basedOn w:val="Normal"/>
    <w:qFormat/>
    <w:pPr>
      <w:spacing w:after="80"/>
      <w:ind w:left="425"/>
      <w:contextualSpacing/>
    </w:pPr>
  </w:style>
  <w:style w:type="paragraph" w:styleId="Header">
    <w:name w:val="header"/>
    <w:basedOn w:val="Normal"/>
    <w:pPr>
      <w:pBdr>
        <w:bottom w:val="single" w:sz="4" w:space="4" w:color="D8CBA8"/>
      </w:pBdr>
      <w:tabs>
        <w:tab w:val="center" w:pos="4703"/>
        <w:tab w:val="right" w:pos="9406"/>
      </w:tabs>
      <w:spacing w:after="0" w:line="240" w:lineRule="auto"/>
      <w:jc w:val="center"/>
    </w:pPr>
    <w:rPr>
      <w:smallCaps/>
      <w:spacing w:val="40"/>
      <w:color w:val="5B6B7A"/>
      <w:sz w:val="16"/>
    </w:rPr>
  </w:style>
  <w:style w:type="paragraph" w:styleId="Footer">
    <w:name w:val="footer"/>
    <w:basedOn w:val="Normal"/>
    <w:pPr>
      <w:tabs>
        <w:tab w:val="center" w:pos="4703"/>
        <w:tab w:val="right" w:pos="9406"/>
      </w:tabs>
      <w:spacing w:after="0" w:line="240" w:lineRule="auto"/>
      <w:jc w:val="center"/>
    </w:pPr>
    <w:rPr>
      <w:smallCaps/>
      <w:spacing w:val="30"/>
      <w:color w:val="5B6B7A"/>
      <w:sz w:val="17"/>
    </w:rPr>
  </w:style>
  <w:style w:type="character" w:styleId="Hyperlink">
    <w:name w:val="Hyperlink"/>
    <w:rPr>
      <w:color w:val="B48A2E"/>
      <w:u w:val="single"/>
    </w:rPr>
  </w:style>
  <w:style w:type="character" w:styleId="PageNumber">
    <w:name w:val="page number"/>
    <w:rPr>
      <w:color w:val="102A43"/>
    </w:rPr>
  </w:style>
  <w:style w:type="table" w:styleId="TableGrid">
    <w:name w:val="Table Grid"/>
    <w:basedOn w:val="TableNormal"/>
    <w:pPr>
      <w:spacing w:after="0" w:line="252" w:lineRule="auto"/>
    </w:pPr>
    <w:rPr>
      <w:rFonts w:ascii="Segoe UI" w:hAnsi="Segoe UI"/>
      <w:sz w:val="18"/>
    </w:rPr>
    <w:tblPr>
      <w:tblBorders>
        <w:top w:val="single" w:sz="4" w:space="0" w:color="D8CBA8"/>
        <w:left w:val="single" w:sz="4" w:space="0" w:color="D8CBA8"/>
        <w:bottom w:val="single" w:sz="4" w:space="0" w:color="D8CBA8"/>
        <w:right w:val="single" w:sz="4" w:space="0" w:color="D8CBA8"/>
        <w:insideH w:val="single" w:sz="4" w:space="0" w:color="D8CBA8"/>
        <w:insideV w:val="single" w:sz="4" w:space="0" w:color="D8CBA8"/>
      </w:tblBorders>
      <w:tblCellMar>
        <w:top w:w="70" w:type="dxa"/>
        <w:left w:w="120" w:type="dxa"/>
        <w:bottom w:w="70" w:type="dxa"/>
        <w:right w:w="12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FirstHeader" Type="http://schemas.openxmlformats.org/officeDocument/2006/relationships/header" Target="headerFirst.xml"/><Relationship Id="rIdFirstFooter" Type="http://schemas.openxmlformats.org/officeDocument/2006/relationships/footer" Target="footerFirst.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Theorem Queue Proof Ledger</dc:title>
  <dc:subject>Unified Mechanics — controlling index: definitions, assumptions, exit criteria, and kill conditions</dc:subject>
  <dc:creator>Joseph Shields</dc:creator>
  <cp:lastModifiedBy>Joseph Shields</cp:lastModifiedBy>
  <dcterms:created xsi:type="dcterms:W3CDTF">2026-07-16T00:00:00Z</dcterms:created>
  <dcterms:modified xsi:type="dcterms:W3CDTF">2026-07-16T00:00:00Z</dcterms:modified>
</cp:coreProperties>
</file>