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Principles of Observation and</w:t>
        <w:br/>
        <w:t>Mechanical Observation</w:t>
      </w:r>
    </w:p>
    <w:p>
      <w:pPr>
        <w:pStyle w:val="Subtitle"/>
        <w:jc w:val="center"/>
      </w:pPr>
      <w:r>
        <w:t>From Superposition to Retained Reality through Observer Architecture</w:t>
      </w:r>
    </w:p>
    <w:p>
      <w:pPr>
        <w:jc w:val="center"/>
      </w:pPr>
      <w:r>
        <w:rPr>
          <w:b/>
          <w:color w:val="1F4E79"/>
          <w:sz w:val="22"/>
        </w:rPr>
        <w:t>A Unified Mechanics working paper</w:t>
      </w:r>
    </w:p>
    <w:p>
      <w:pPr>
        <w:spacing w:before="320"/>
        <w:jc w:val="center"/>
      </w:pPr>
      <w:r>
        <w:rPr>
          <w:b/>
          <w:sz w:val="24"/>
        </w:rPr>
        <w:t>Joseph Shields</w:t>
      </w:r>
      <w:r>
        <w:rPr>
          <w:sz w:val="20"/>
        </w:rPr>
        <w:br/>
        <w:t>July 2026</w:t>
      </w:r>
    </w:p>
    <w:tbl>
      <w:tblPr>
        <w:tblW w:type="auto" w:w="0"/>
        <w:jc w:val="center"/>
        <w:tblLayout w:type="autofit"/>
        <w:tblLook w:firstColumn="1" w:firstRow="1" w:lastColumn="0" w:lastRow="0" w:noHBand="0" w:noVBand="1" w:val="04A0"/>
      </w:tblPr>
      <w:tblGrid>
        <w:gridCol w:w="9878"/>
      </w:tblGrid>
      <w:tr>
        <w:trPr>
          <w:cantSplit/>
        </w:trPr>
        <w:tc>
          <w:tcPr>
            <w:tcW w:type="dxa" w:w="9878"/>
            <w:shd w:fill="EAF1F8"/>
            <w:tcMar>
              <w:top w:w="180" w:type="dxa"/>
              <w:start w:w="220" w:type="dxa"/>
              <w:bottom w:w="180" w:type="dxa"/>
              <w:end w:w="220" w:type="dxa"/>
            </w:tcMar>
            <w:vAlign w:val="center"/>
          </w:tcPr>
          <w:p>
            <w:pPr>
              <w:keepLines/>
            </w:pPr>
            <w:r>
              <w:rPr>
                <w:b/>
                <w:color w:val="1F4E79"/>
                <w:sz w:val="22"/>
              </w:rPr>
              <w:t>Central thesis</w:t>
              <w:br/>
            </w:r>
            <w:r>
              <w:rPr>
                <w:sz w:val="21"/>
              </w:rPr>
              <w:t>Superposition is the coherent retention of unresolved admissible actions. Observation is the physical production of a retained distinction relative to another system. Mechanical observation is the ordered observer architecture that converts those unresolved actions into stable, discriminable records. Human scientific observation adds reflexive modelling and semantic denotation of the machinery itself.</w:t>
            </w:r>
          </w:p>
        </w:tc>
      </w:tr>
    </w:tbl>
    <w:p/>
    <w:p>
      <w:pPr>
        <w:jc w:val="center"/>
      </w:pPr>
      <w:r>
        <w:rPr>
          <w:b/>
          <w:color w:val="4F6477"/>
          <w:sz w:val="22"/>
        </w:rPr>
        <w:t>Worked physical system: a complete Stern-Gerlach measurement chain</w:t>
      </w:r>
    </w:p>
    <w:p>
      <w:r>
        <w:br w:type="page"/>
      </w:r>
    </w:p>
    <w:p>
      <w:pPr>
        <w:pStyle w:val="Heading1"/>
      </w:pPr>
      <w:r>
        <w:t>Abstract</w:t>
      </w:r>
    </w:p>
    <w:p>
      <w:r>
        <w:t>This paper introduces the Principle of Observation (PO) as a universal operational principle and the Principle of Mechanical Observation (PMO) as its structured physical realisation. The distinction resolves an ambiguity in the term observer. At the minimal level, observation is any interaction through which a distinction in one system becomes retained relative to another. Mechanical observation adds an internal architecture that selects a measurable distinction, couples it to distinguishable channels, propagates and stabilises the resulting signal, and closes it into a record. Human scientific observation is a reflexive mechanical subclass capable of modelling and semantically denoting both the target and the machinery of observation. The framework is connected mathematically to quantum superposition, unitary system-apparatus coupling, decoherence, positive-operator-valued measures, and quantum instruments. A full Stern-Gerlach experiment is then decomposed as a real physical example, from the incoming spin superposition through magnetic separation, detector registration, environmental record stabilisation, and human interpretation. The result is a proposed operational bridge from unresolved quantum action to retained observer-relative reality.</w:t>
      </w:r>
    </w:p>
    <w:p>
      <w:pPr>
        <w:pStyle w:val="Heading1"/>
      </w:pPr>
      <w:r>
        <w:t>Contents</w:t>
      </w:r>
    </w:p>
    <w:p>
      <w:pPr>
        <w:spacing w:after="30"/>
        <w:ind w:left="288"/>
      </w:pPr>
      <w:r>
        <w:t>1. The missing stage after superposition</w:t>
      </w:r>
    </w:p>
    <w:p>
      <w:pPr>
        <w:spacing w:after="30"/>
        <w:ind w:left="288"/>
      </w:pPr>
      <w:r>
        <w:t>2. Principle of Observation</w:t>
      </w:r>
    </w:p>
    <w:p>
      <w:pPr>
        <w:spacing w:after="30"/>
        <w:ind w:left="288"/>
      </w:pPr>
      <w:r>
        <w:t>3. Principle of Mechanical Observation</w:t>
      </w:r>
    </w:p>
    <w:p>
      <w:pPr>
        <w:spacing w:after="30"/>
        <w:ind w:left="288"/>
      </w:pPr>
      <w:r>
        <w:t>4. Observer architecture and measurement choice</w:t>
      </w:r>
    </w:p>
    <w:p>
      <w:pPr>
        <w:spacing w:after="30"/>
        <w:ind w:left="288"/>
      </w:pPr>
      <w:r>
        <w:t>5. Superposition transferred into machinery</w:t>
      </w:r>
    </w:p>
    <w:p>
      <w:pPr>
        <w:spacing w:after="30"/>
        <w:ind w:left="288"/>
      </w:pPr>
      <w:r>
        <w:t>6. Decoherence and retained records</w:t>
      </w:r>
    </w:p>
    <w:p>
      <w:pPr>
        <w:spacing w:after="30"/>
        <w:ind w:left="288"/>
      </w:pPr>
      <w:r>
        <w:t>7. Quantum instruments as mechanical-observation maps</w:t>
      </w:r>
    </w:p>
    <w:p>
      <w:pPr>
        <w:spacing w:after="30"/>
        <w:ind w:left="288"/>
      </w:pPr>
      <w:r>
        <w:t>8. Human reflexive observation</w:t>
      </w:r>
    </w:p>
    <w:p>
      <w:pPr>
        <w:spacing w:after="30"/>
        <w:ind w:left="288"/>
      </w:pPr>
      <w:r>
        <w:t>9. Worked system: Stern-Gerlach measurement</w:t>
      </w:r>
    </w:p>
    <w:p>
      <w:pPr>
        <w:spacing w:after="30"/>
        <w:ind w:left="288"/>
      </w:pPr>
      <w:r>
        <w:t>10. Semantic compression of the complete operation</w:t>
      </w:r>
    </w:p>
    <w:p>
      <w:pPr>
        <w:spacing w:after="30"/>
        <w:ind w:left="288"/>
      </w:pPr>
      <w:r>
        <w:t>11. Consequences and limits</w:t>
      </w:r>
    </w:p>
    <w:p>
      <w:pPr>
        <w:spacing w:after="30"/>
        <w:ind w:left="288"/>
      </w:pPr>
      <w:r>
        <w:t>12. Formal summary and research programme</w:t>
      </w:r>
    </w:p>
    <w:p>
      <w:pPr>
        <w:pStyle w:val="Heading1"/>
      </w:pPr>
      <w:r>
        <w:t>1. The Missing Stage after Superposition</w:t>
      </w:r>
    </w:p>
    <w:p>
      <w:r>
        <w:t>The prior action-based reconstruction identified a quantum state as a normalised relational account of unresolved admissible logical actions. In a basis of mutually distinguishable alternatives,</w:t>
      </w:r>
    </w:p>
    <w:p>
      <w:pPr>
        <w:pStyle w:val="EquationBlock"/>
        <w:jc w:val="center"/>
      </w:pPr>
      <w:r>
        <w:rPr>
          <w:rFonts w:ascii="Cambria Math" w:hAnsi="Cambria Math" w:eastAsia="Cambria Math"/>
          <w:sz w:val="23"/>
        </w:rPr>
        <w:t>|ψ_S⟩ = Σ_i c_i |s_i⟩,        Σ_i |c_i|² = 1.</w:t>
      </w:r>
      <w:r>
        <w:rPr>
          <w:rFonts w:ascii="Cambria Math" w:hAnsi="Cambria Math"/>
          <w:sz w:val="20"/>
        </w:rPr>
        <w:t xml:space="preserve">    (1)</w:t>
      </w:r>
    </w:p>
    <w:p>
      <w:r>
        <w:t>Equation (1) preserves every admissible alternative and the phase relations between them. It therefore describes an unresolved physical account, not an observed record. The next question is not merely how a probability is computed, but how an unresolved action-space becomes a persistent distinction in another physical system.</w:t>
      </w:r>
    </w:p>
    <w:tbl>
      <w:tblPr>
        <w:tblW w:type="auto" w:w="0"/>
        <w:jc w:val="center"/>
        <w:tblLayout w:type="autofit"/>
        <w:tblLook w:firstColumn="1" w:firstRow="1" w:lastColumn="0" w:lastRow="0" w:noHBand="0" w:noVBand="1" w:val="04A0"/>
      </w:tblPr>
      <w:tblGrid>
        <w:gridCol w:w="9878"/>
      </w:tblGrid>
      <w:tr>
        <w:trPr>
          <w:cantSplit/>
        </w:trPr>
        <w:tc>
          <w:tcPr>
            <w:tcW w:type="dxa" w:w="9878"/>
            <w:shd w:fill="EAF1F8"/>
            <w:tcMar>
              <w:top w:w="180" w:type="dxa"/>
              <w:start w:w="220" w:type="dxa"/>
              <w:bottom w:w="180" w:type="dxa"/>
              <w:end w:w="220" w:type="dxa"/>
            </w:tcMar>
            <w:vAlign w:val="center"/>
          </w:tcPr>
          <w:p>
            <w:pPr>
              <w:keepLines/>
            </w:pPr>
            <w:r>
              <w:rPr>
                <w:b/>
                <w:color w:val="1F4E79"/>
                <w:sz w:val="22"/>
              </w:rPr>
              <w:t>Operational hinge</w:t>
              <w:br/>
            </w:r>
            <w:r>
              <w:rPr>
                <w:sz w:val="21"/>
              </w:rPr>
              <w:t>Superposition specifies what must remain jointly retained before resolution. Observation specifies how one system becomes a retained account of another. Mechanical observation specifies the machinery that performs this conversion.</w:t>
            </w:r>
          </w:p>
        </w:tc>
      </w:tr>
    </w:tbl>
    <w:p>
      <w:r>
        <w:t>The complete bridge proposed here is</w:t>
      </w:r>
    </w:p>
    <w:p>
      <w:pPr>
        <w:pStyle w:val="EquationBlock"/>
        <w:jc w:val="center"/>
      </w:pPr>
      <w:r>
        <w:rPr>
          <w:rFonts w:ascii="Cambria Math" w:hAnsi="Cambria Math" w:eastAsia="Cambria Math"/>
          <w:sz w:val="23"/>
        </w:rPr>
        <w:t>Admissibility → Superposition → Mechanical distinction → Correlation → Propagation → Stabilisation → Retained record → Semantic closure.</w:t>
      </w:r>
      <w:r>
        <w:rPr>
          <w:rFonts w:ascii="Cambria Math" w:hAnsi="Cambria Math"/>
          <w:sz w:val="20"/>
        </w:rPr>
        <w:t xml:space="preserve">    (2)</w:t>
      </w:r>
    </w:p>
    <w:p>
      <w:pPr>
        <w:pStyle w:val="Heading1"/>
      </w:pPr>
      <w:r>
        <w:t>2. Principle of Observation</w:t>
      </w:r>
    </w:p>
    <w:tbl>
      <w:tblPr>
        <w:tblW w:type="auto" w:w="0"/>
        <w:jc w:val="center"/>
        <w:tblLook w:firstColumn="1" w:firstRow="1" w:lastColumn="0" w:lastRow="0" w:noHBand="0" w:noVBand="1" w:val="04A0"/>
      </w:tblPr>
      <w:tblGrid>
        <w:gridCol w:w="9878"/>
      </w:tblGrid>
      <w:tr>
        <w:trPr>
          <w:cantSplit/>
        </w:trPr>
        <w:tc>
          <w:tcPr>
            <w:tcW w:type="dxa" w:w="9878"/>
            <w:shd w:fill="F3F6F9"/>
            <w:tcMar>
              <w:top w:w="160" w:type="dxa"/>
              <w:start w:w="200" w:type="dxa"/>
              <w:bottom w:w="160" w:type="dxa"/>
              <w:end w:w="200" w:type="dxa"/>
            </w:tcMar>
            <w:vAlign w:val="center"/>
          </w:tcPr>
          <w:p>
            <w:pPr>
              <w:keepLines/>
            </w:pPr>
            <w:r>
              <w:rPr>
                <w:b/>
                <w:color w:val="2C3E50"/>
                <w:sz w:val="21"/>
              </w:rPr>
              <w:t>Principle of Observation (PO)</w:t>
            </w:r>
            <w:r>
              <w:rPr>
                <w:sz w:val="20"/>
              </w:rPr>
              <w:br/>
              <w:t>An observation occurs whenever a distinction in one system becomes physically related to and persistently retained by another system. Consciousness is not required at this level. Observation is the production of an observer-relative fact through retained physical correlation.</w:t>
            </w:r>
          </w:p>
          <w:p>
            <w:pPr>
              <w:keepLines/>
              <w:jc w:val="center"/>
            </w:pPr>
            <w:r>
              <w:rPr>
                <w:rFonts w:ascii="Cambria Math" w:hAnsi="Cambria Math" w:eastAsia="Cambria Math"/>
                <w:sz w:val="22"/>
              </w:rPr>
              <w:t>𝔒_{O←S} = 𝒞_O ∘ 𝒫_O ∘ ℛ_{OS} ∘ 𝒟_O(S).</w:t>
            </w:r>
          </w:p>
        </w:tc>
      </w:tr>
    </w:tbl>
    <w:p>
      <w:r>
        <w:t>Here S denotes the observed system and O denotes the observer or reference system. The components are</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D9E6F2"/>
            <w:vAlign w:val="center"/>
          </w:tcPr>
          <w:p>
            <w:pPr>
              <w:keepLines/>
            </w:pPr>
            <w:r>
              <w:rPr>
                <w:b/>
              </w:rPr>
              <w:t>Operation</w:t>
            </w:r>
          </w:p>
        </w:tc>
        <w:tc>
          <w:tcPr>
            <w:tcW w:type="dxa" w:w="3293"/>
            <w:shd w:fill="D9E6F2"/>
            <w:vAlign w:val="center"/>
          </w:tcPr>
          <w:p>
            <w:pPr>
              <w:keepLines/>
            </w:pPr>
            <w:r>
              <w:rPr>
                <w:b/>
              </w:rPr>
              <w:t>Mathematical role</w:t>
            </w:r>
          </w:p>
        </w:tc>
        <w:tc>
          <w:tcPr>
            <w:tcW w:type="dxa" w:w="3293"/>
            <w:shd w:fill="D9E6F2"/>
            <w:vAlign w:val="center"/>
          </w:tcPr>
          <w:p>
            <w:pPr>
              <w:keepLines/>
            </w:pPr>
            <w:r>
              <w:rPr>
                <w:b/>
              </w:rPr>
              <w:t>Physical meaning</w:t>
            </w:r>
          </w:p>
        </w:tc>
      </w:tr>
      <w:tr>
        <w:trPr>
          <w:cantSplit/>
        </w:trPr>
        <w:tc>
          <w:tcPr>
            <w:tcW w:type="dxa" w:w="3293"/>
            <w:tcMar>
              <w:top w:w="100" w:type="dxa"/>
              <w:start w:w="120" w:type="dxa"/>
              <w:bottom w:w="100" w:type="dxa"/>
              <w:end w:w="120" w:type="dxa"/>
            </w:tcMar>
            <w:vAlign w:val="center"/>
          </w:tcPr>
          <w:p>
            <w:pPr>
              <w:keepLines/>
            </w:pPr>
            <w:r>
              <w:rPr>
                <w:rFonts w:ascii="Cambria Math" w:hAnsi="Cambria Math"/>
              </w:rPr>
              <w:t>𝒟_O(S)</w:t>
            </w:r>
          </w:p>
        </w:tc>
        <w:tc>
          <w:tcPr>
            <w:tcW w:type="dxa" w:w="3293"/>
            <w:tcMar>
              <w:top w:w="100" w:type="dxa"/>
              <w:start w:w="120" w:type="dxa"/>
              <w:bottom w:w="100" w:type="dxa"/>
              <w:end w:w="120" w:type="dxa"/>
            </w:tcMar>
            <w:vAlign w:val="center"/>
          </w:tcPr>
          <w:p>
            <w:pPr>
              <w:keepLines/>
            </w:pPr>
            <w:r>
              <w:t>Distinction</w:t>
            </w:r>
          </w:p>
        </w:tc>
        <w:tc>
          <w:tcPr>
            <w:tcW w:type="dxa" w:w="3293"/>
            <w:tcMar>
              <w:top w:w="100" w:type="dxa"/>
              <w:start w:w="120" w:type="dxa"/>
              <w:bottom w:w="100" w:type="dxa"/>
              <w:end w:w="120" w:type="dxa"/>
            </w:tcMar>
            <w:vAlign w:val="center"/>
          </w:tcPr>
          <w:p>
            <w:pPr>
              <w:keepLines/>
            </w:pPr>
            <w:r>
              <w:t>A target-relative difference becomes available to O.</w:t>
            </w:r>
          </w:p>
        </w:tc>
      </w:tr>
      <w:tr>
        <w:trPr>
          <w:cantSplit/>
        </w:trPr>
        <w:tc>
          <w:tcPr>
            <w:tcW w:type="dxa" w:w="3293"/>
            <w:tcMar>
              <w:top w:w="100" w:type="dxa"/>
              <w:start w:w="120" w:type="dxa"/>
              <w:bottom w:w="100" w:type="dxa"/>
              <w:end w:w="120" w:type="dxa"/>
            </w:tcMar>
            <w:vAlign w:val="center"/>
          </w:tcPr>
          <w:p>
            <w:pPr>
              <w:keepLines/>
            </w:pPr>
            <w:r>
              <w:rPr>
                <w:rFonts w:ascii="Cambria Math" w:hAnsi="Cambria Math"/>
              </w:rPr>
              <w:t>ℛ_OS</w:t>
            </w:r>
          </w:p>
        </w:tc>
        <w:tc>
          <w:tcPr>
            <w:tcW w:type="dxa" w:w="3293"/>
            <w:tcMar>
              <w:top w:w="100" w:type="dxa"/>
              <w:start w:w="120" w:type="dxa"/>
              <w:bottom w:w="100" w:type="dxa"/>
              <w:end w:w="120" w:type="dxa"/>
            </w:tcMar>
            <w:vAlign w:val="center"/>
          </w:tcPr>
          <w:p>
            <w:pPr>
              <w:keepLines/>
            </w:pPr>
            <w:r>
              <w:t>Relation</w:t>
            </w:r>
          </w:p>
        </w:tc>
        <w:tc>
          <w:tcPr>
            <w:tcW w:type="dxa" w:w="3293"/>
            <w:tcMar>
              <w:top w:w="100" w:type="dxa"/>
              <w:start w:w="120" w:type="dxa"/>
              <w:bottom w:w="100" w:type="dxa"/>
              <w:end w:w="120" w:type="dxa"/>
            </w:tcMar>
            <w:vAlign w:val="center"/>
          </w:tcPr>
          <w:p>
            <w:pPr>
              <w:keepLines/>
            </w:pPr>
            <w:r>
              <w:t>S and O physically interact or share a preparation correlation.</w:t>
            </w:r>
          </w:p>
        </w:tc>
      </w:tr>
      <w:tr>
        <w:trPr>
          <w:cantSplit/>
        </w:trPr>
        <w:tc>
          <w:tcPr>
            <w:tcW w:type="dxa" w:w="3293"/>
            <w:tcMar>
              <w:top w:w="100" w:type="dxa"/>
              <w:start w:w="120" w:type="dxa"/>
              <w:bottom w:w="100" w:type="dxa"/>
              <w:end w:w="120" w:type="dxa"/>
            </w:tcMar>
            <w:vAlign w:val="center"/>
          </w:tcPr>
          <w:p>
            <w:pPr>
              <w:keepLines/>
            </w:pPr>
            <w:r>
              <w:rPr>
                <w:rFonts w:ascii="Cambria Math" w:hAnsi="Cambria Math"/>
              </w:rPr>
              <w:t>𝒫_O</w:t>
            </w:r>
          </w:p>
        </w:tc>
        <w:tc>
          <w:tcPr>
            <w:tcW w:type="dxa" w:w="3293"/>
            <w:tcMar>
              <w:top w:w="100" w:type="dxa"/>
              <w:start w:w="120" w:type="dxa"/>
              <w:bottom w:w="100" w:type="dxa"/>
              <w:end w:w="120" w:type="dxa"/>
            </w:tcMar>
            <w:vAlign w:val="center"/>
          </w:tcPr>
          <w:p>
            <w:pPr>
              <w:keepLines/>
            </w:pPr>
            <w:r>
              <w:t>Persistence</w:t>
            </w:r>
          </w:p>
        </w:tc>
        <w:tc>
          <w:tcPr>
            <w:tcW w:type="dxa" w:w="3293"/>
            <w:tcMar>
              <w:top w:w="100" w:type="dxa"/>
              <w:start w:w="120" w:type="dxa"/>
              <w:bottom w:w="100" w:type="dxa"/>
              <w:end w:w="120" w:type="dxa"/>
            </w:tcMar>
            <w:vAlign w:val="center"/>
          </w:tcPr>
          <w:p>
            <w:pPr>
              <w:keepLines/>
            </w:pPr>
            <w:r>
              <w:t>The difference leaves a stable enough change in O to matter later.</w:t>
            </w:r>
          </w:p>
        </w:tc>
      </w:tr>
      <w:tr>
        <w:trPr>
          <w:cantSplit/>
        </w:trPr>
        <w:tc>
          <w:tcPr>
            <w:tcW w:type="dxa" w:w="3293"/>
            <w:tcMar>
              <w:top w:w="100" w:type="dxa"/>
              <w:start w:w="120" w:type="dxa"/>
              <w:bottom w:w="100" w:type="dxa"/>
              <w:end w:w="120" w:type="dxa"/>
            </w:tcMar>
            <w:vAlign w:val="center"/>
          </w:tcPr>
          <w:p>
            <w:pPr>
              <w:keepLines/>
            </w:pPr>
            <w:r>
              <w:rPr>
                <w:rFonts w:ascii="Cambria Math" w:hAnsi="Cambria Math"/>
              </w:rPr>
              <w:t>𝒞_O</w:t>
            </w:r>
          </w:p>
        </w:tc>
        <w:tc>
          <w:tcPr>
            <w:tcW w:type="dxa" w:w="3293"/>
            <w:tcMar>
              <w:top w:w="100" w:type="dxa"/>
              <w:start w:w="120" w:type="dxa"/>
              <w:bottom w:w="100" w:type="dxa"/>
              <w:end w:w="120" w:type="dxa"/>
            </w:tcMar>
            <w:vAlign w:val="center"/>
          </w:tcPr>
          <w:p>
            <w:pPr>
              <w:keepLines/>
            </w:pPr>
            <w:r>
              <w:t>Closure</w:t>
            </w:r>
          </w:p>
        </w:tc>
        <w:tc>
          <w:tcPr>
            <w:tcW w:type="dxa" w:w="3293"/>
            <w:tcMar>
              <w:top w:w="100" w:type="dxa"/>
              <w:start w:w="120" w:type="dxa"/>
              <w:bottom w:w="100" w:type="dxa"/>
              <w:end w:w="120" w:type="dxa"/>
            </w:tcMar>
            <w:vAlign w:val="center"/>
          </w:tcPr>
          <w:p>
            <w:pPr>
              <w:keepLines/>
            </w:pPr>
            <w:r>
              <w:t>The retained difference becomes an attributable observer-relative fact.</w:t>
            </w:r>
          </w:p>
        </w:tc>
      </w:tr>
    </w:tbl>
    <w:p>
      <w:r>
        <w:t>At this level, an atom can observe another atom in the relational sense: an interaction creates a correlation that changes the future behaviour of both. This agrees with relational approaches in which physical facts are relative to systems and no fundamental human observer-observed division is imposed.</w:t>
      </w:r>
      <w:r>
        <w:rPr>
          <w:sz w:val="16"/>
          <w:vertAlign w:val="superscript"/>
        </w:rPr>
        <w:t xml:space="preserve"> [1]</w:t>
      </w:r>
    </w:p>
    <w:p>
      <w:pPr>
        <w:pStyle w:val="Heading2"/>
      </w:pPr>
      <w:r>
        <w:t>2.1 Minimal relational observation</w:t>
      </w:r>
    </w:p>
    <w:p>
      <w:pPr>
        <w:pStyle w:val="EquationBlock"/>
        <w:jc w:val="center"/>
      </w:pPr>
      <w:r>
        <w:rPr>
          <w:rFonts w:ascii="Cambria Math" w:hAnsi="Cambria Math" w:eastAsia="Cambria Math"/>
          <w:sz w:val="23"/>
        </w:rPr>
        <w:t>Σ_i c_i |s_i⟩|o_0⟩  →  Σ_i c_i |s_i⟩|o_i⟩.</w:t>
      </w:r>
      <w:r>
        <w:rPr>
          <w:rFonts w:ascii="Cambria Math" w:hAnsi="Cambria Math"/>
          <w:sz w:val="20"/>
        </w:rPr>
        <w:t xml:space="preserve">    (3)</w:t>
      </w:r>
    </w:p>
    <w:p>
      <w:r>
        <w:t>The observer states |o_i⟩ now contain distinctions correlated with the alternatives |s_i⟩. Equation (3) is already observation under PO because the relation has changed what is physically attributable relative to O. It is not yet necessarily a macroscopic measurement, a classical record, or a conscious experience.</w:t>
      </w:r>
    </w:p>
    <w:p>
      <w:pPr>
        <w:pStyle w:val="Heading1"/>
      </w:pPr>
      <w:r>
        <w:t>3. Principle of Mechanical Observation</w:t>
      </w:r>
    </w:p>
    <w:tbl>
      <w:tblPr>
        <w:tblW w:type="auto" w:w="0"/>
        <w:jc w:val="center"/>
        <w:tblLook w:firstColumn="1" w:firstRow="1" w:lastColumn="0" w:lastRow="0" w:noHBand="0" w:noVBand="1" w:val="04A0"/>
      </w:tblPr>
      <w:tblGrid>
        <w:gridCol w:w="9878"/>
      </w:tblGrid>
      <w:tr>
        <w:trPr>
          <w:cantSplit/>
        </w:trPr>
        <w:tc>
          <w:tcPr>
            <w:tcW w:type="dxa" w:w="9878"/>
            <w:shd w:fill="F3F6F9"/>
            <w:tcMar>
              <w:top w:w="160" w:type="dxa"/>
              <w:start w:w="200" w:type="dxa"/>
              <w:bottom w:w="160" w:type="dxa"/>
              <w:end w:w="200" w:type="dxa"/>
            </w:tcMar>
            <w:vAlign w:val="center"/>
          </w:tcPr>
          <w:p>
            <w:pPr>
              <w:keepLines/>
            </w:pPr>
            <w:r>
              <w:rPr>
                <w:b/>
                <w:color w:val="2C3E50"/>
                <w:sz w:val="21"/>
              </w:rPr>
              <w:t>Principle of Mechanical Observation (PMO)</w:t>
            </w:r>
            <w:r>
              <w:rPr>
                <w:sz w:val="20"/>
              </w:rPr>
              <w:br/>
              <w:t>A mechanical observation is an ordered physical process in which the observer has an internal architecture that selects admissible distinctions, couples them to distinguishable channels, propagates and stabilises the resulting signal, and retains it as an identifiable record. Mechanical means implemented by a mechanism, not necessarily artificial.</w:t>
            </w:r>
          </w:p>
          <w:p>
            <w:pPr>
              <w:keepLines/>
              <w:jc w:val="center"/>
            </w:pPr>
            <w:r>
              <w:rPr>
                <w:rFonts w:ascii="Cambria Math" w:hAnsi="Cambria Math" w:eastAsia="Cambria Math"/>
                <w:sz w:val="22"/>
              </w:rPr>
              <w:t>𝔒^{mech}_{O←S} = 𝒞_O ∘ ℛec_O ∘ 𝒜_O ∘ 𝒫roj_O ∘ 𝒰_{SM}.</w:t>
            </w:r>
          </w:p>
        </w:tc>
      </w:tr>
    </w:tbl>
    <w:p>
      <w:r>
        <w:t>The observer machinery is represented as the tuple</w:t>
      </w:r>
    </w:p>
    <w:p>
      <w:pPr>
        <w:pStyle w:val="EquationBlock"/>
        <w:jc w:val="center"/>
      </w:pPr>
      <w:r>
        <w:rPr>
          <w:rFonts w:ascii="Cambria Math" w:hAnsi="Cambria Math" w:eastAsia="Cambria Math"/>
          <w:sz w:val="23"/>
        </w:rPr>
        <w:t>𝓜_O = (ℋ_M, σ_0, U_{SM}, {Π_k}, 𝒜, ℛec).</w:t>
      </w:r>
      <w:r>
        <w:rPr>
          <w:rFonts w:ascii="Cambria Math" w:hAnsi="Cambria Math"/>
          <w:sz w:val="20"/>
        </w:rPr>
        <w:t xml:space="preserve">    (4)</w:t>
      </w:r>
    </w:p>
    <w:p>
      <w:r>
        <w:t>Its structure is</w:t>
      </w:r>
    </w:p>
    <w:p>
      <w:pPr>
        <w:pStyle w:val="ListBullet"/>
      </w:pPr>
      <w:r>
        <w:t>ℋ_M: the state-space of the observing mechanism.</w:t>
      </w:r>
    </w:p>
    <w:p>
      <w:pPr>
        <w:pStyle w:val="ListBullet"/>
      </w:pPr>
      <w:r>
        <w:t>σ_0: its prepared ready state.</w:t>
      </w:r>
    </w:p>
    <w:p>
      <w:pPr>
        <w:pStyle w:val="ListBullet"/>
      </w:pPr>
      <w:r>
        <w:t>U_SM: the system-machinery coupling.</w:t>
      </w:r>
    </w:p>
    <w:p>
      <w:pPr>
        <w:pStyle w:val="ListBullet"/>
      </w:pPr>
      <w:r>
        <w:t>{Π_k}: the distinguishable output or pointer channels.</w:t>
      </w:r>
    </w:p>
    <w:p>
      <w:pPr>
        <w:pStyle w:val="ListBullet"/>
      </w:pPr>
      <w:r>
        <w:t>𝒜: amplification, redundancy, or stabilisation.</w:t>
      </w:r>
    </w:p>
    <w:p>
      <w:pPr>
        <w:pStyle w:val="ListBullet"/>
      </w:pPr>
      <w:r>
        <w:t>ℛec: production of a persistent record.</w:t>
      </w:r>
    </w:p>
    <w:tbl>
      <w:tblPr>
        <w:tblW w:type="auto" w:w="0"/>
        <w:jc w:val="center"/>
        <w:tblLayout w:type="autofit"/>
        <w:tblLook w:firstColumn="1" w:firstRow="1" w:lastColumn="0" w:lastRow="0" w:noHBand="0" w:noVBand="1" w:val="04A0"/>
      </w:tblPr>
      <w:tblGrid>
        <w:gridCol w:w="9878"/>
      </w:tblGrid>
      <w:tr>
        <w:trPr>
          <w:cantSplit/>
        </w:trPr>
        <w:tc>
          <w:tcPr>
            <w:tcW w:type="dxa" w:w="9878"/>
            <w:shd w:fill="EAF1F8"/>
            <w:tcMar>
              <w:top w:w="180" w:type="dxa"/>
              <w:start w:w="220" w:type="dxa"/>
              <w:bottom w:w="180" w:type="dxa"/>
              <w:end w:w="220" w:type="dxa"/>
            </w:tcMar>
            <w:vAlign w:val="center"/>
          </w:tcPr>
          <w:p>
            <w:pPr>
              <w:keepLines/>
            </w:pPr>
            <w:r>
              <w:rPr>
                <w:b/>
                <w:color w:val="1F4E79"/>
                <w:sz w:val="22"/>
              </w:rPr>
              <w:t>Subclass relation</w:t>
              <w:br/>
            </w:r>
            <w:r>
              <w:rPr>
                <w:sz w:val="21"/>
              </w:rPr>
              <w:t>Every mechanical observation is an observation, but not every observation is mechanical in the structured sense: PMO ⇒ PO, while PO does not imply PMO.</w:t>
            </w:r>
          </w:p>
        </w:tc>
      </w:tr>
    </w:tbl>
    <w:p>
      <w:pPr>
        <w:pStyle w:val="Heading2"/>
      </w:pPr>
      <w:r>
        <w:t>3.1 Why the structure is genuinely different</w:t>
      </w:r>
    </w:p>
    <w:p>
      <w:r>
        <w:t>A minimal observer only needs to retain a correlation. A mechanical observer must impose an ordered channel architecture. It therefore carries additional internal distinctions: ready state versus triggered state, one output channel versus another, signal versus noise, transient response versus persistent record, and record versus interpretation.</w:t>
      </w:r>
    </w:p>
    <w:p>
      <w:pPr>
        <w:pStyle w:val="EquationBlock"/>
        <w:jc w:val="center"/>
      </w:pPr>
      <w:r>
        <w:rPr>
          <w:rFonts w:ascii="Cambria Math" w:hAnsi="Cambria Math" w:eastAsia="Cambria Math"/>
          <w:sz w:val="23"/>
        </w:rPr>
        <w:t>PO:  S ↔ O → retained difference.          PMO:  S → selector → transducer → channel → amplifier → record.</w:t>
      </w:r>
      <w:r>
        <w:rPr>
          <w:rFonts w:ascii="Cambria Math" w:hAnsi="Cambria Math"/>
          <w:sz w:val="20"/>
        </w:rPr>
        <w:t xml:space="preserve">    (5)</w:t>
      </w:r>
    </w:p>
    <w:p>
      <w:pPr>
        <w:pStyle w:val="Heading1"/>
      </w:pPr>
      <w:r>
        <w:t>4. Observer Architecture and Measurement Choice</w:t>
      </w:r>
    </w:p>
    <w:p>
      <w:r>
        <w:t>The machinery is not a passive window onto a fully prewritten classical property. It defines the physical question enacted on the system. In general quantum measurement theory, a measurement is represented by effects {E_k^(𝓜)} satisfying</w:t>
      </w:r>
    </w:p>
    <w:p>
      <w:pPr>
        <w:pStyle w:val="EquationBlock"/>
        <w:jc w:val="center"/>
      </w:pPr>
      <w:r>
        <w:rPr>
          <w:rFonts w:ascii="Cambria Math" w:hAnsi="Cambria Math" w:eastAsia="Cambria Math"/>
          <w:sz w:val="23"/>
        </w:rPr>
        <w:t>E_k^(𝓜) ≥ 0,             Σ_k E_k^(𝓜) = I,</w:t>
      </w:r>
      <w:r>
        <w:rPr>
          <w:rFonts w:ascii="Cambria Math" w:hAnsi="Cambria Math"/>
          <w:sz w:val="20"/>
        </w:rPr>
        <w:t xml:space="preserve">    (6)</w:t>
      </w:r>
    </w:p>
    <w:p>
      <w:pPr>
        <w:pStyle w:val="EquationBlock"/>
        <w:jc w:val="center"/>
      </w:pPr>
      <w:r>
        <w:rPr>
          <w:rFonts w:ascii="Cambria Math" w:hAnsi="Cambria Math" w:eastAsia="Cambria Math"/>
          <w:sz w:val="23"/>
        </w:rPr>
        <w:t>p(k | ρ, 𝓜) = Tr(ρ E_k^(𝓜)).</w:t>
      </w:r>
      <w:r>
        <w:rPr>
          <w:rFonts w:ascii="Cambria Math" w:hAnsi="Cambria Math"/>
          <w:sz w:val="20"/>
        </w:rPr>
        <w:t xml:space="preserve">    (7)</w:t>
      </w:r>
    </w:p>
    <w:p>
      <w:r>
        <w:t>The same incoming state ρ can therefore yield different probability distributions under different observer architectures 𝓜. The apparatus does not create arbitrary outcomes: the state and the interaction constrain them. But the apparatus determines which distinction is made mechanically available as a record.</w:t>
      </w:r>
    </w:p>
    <w:p>
      <w:pPr>
        <w:pStyle w:val="Heading2"/>
      </w:pPr>
      <w:r>
        <w:t>4.1 Qubit example</w:t>
      </w:r>
    </w:p>
    <w:p>
      <w:r>
        <w:t>For a spin-1/2 state with Bloch vector r, a measurement along a unit direction n has effects</w:t>
      </w:r>
    </w:p>
    <w:p>
      <w:pPr>
        <w:pStyle w:val="EquationBlock"/>
        <w:jc w:val="center"/>
      </w:pPr>
      <w:r>
        <w:rPr>
          <w:rFonts w:ascii="Cambria Math" w:hAnsi="Cambria Math" w:eastAsia="Cambria Math"/>
          <w:sz w:val="23"/>
        </w:rPr>
        <w:t>Π_±^(n) = ½(I ± n·σ),</w:t>
      </w:r>
      <w:r>
        <w:rPr>
          <w:rFonts w:ascii="Cambria Math" w:hAnsi="Cambria Math"/>
          <w:sz w:val="20"/>
        </w:rPr>
        <w:t xml:space="preserve">    (8)</w:t>
      </w:r>
    </w:p>
    <w:p>
      <w:pPr>
        <w:pStyle w:val="EquationBlock"/>
        <w:jc w:val="center"/>
      </w:pPr>
      <w:r>
        <w:rPr>
          <w:rFonts w:ascii="Cambria Math" w:hAnsi="Cambria Math" w:eastAsia="Cambria Math"/>
          <w:sz w:val="23"/>
        </w:rPr>
        <w:t>p_±(n) = Tr(ρ Π_±^(n)) = ½(1 ± r·n).</w:t>
      </w:r>
      <w:r>
        <w:rPr>
          <w:rFonts w:ascii="Cambria Math" w:hAnsi="Cambria Math"/>
          <w:sz w:val="20"/>
        </w:rPr>
        <w:t xml:space="preserve">    (9)</w:t>
      </w:r>
    </w:p>
    <w:p>
      <w:r>
        <w:t>Rotating the measuring magnet changes n and therefore changes the distinction being physically enacted. Observer architecture is thus part of the complete state-to-record operation.</w:t>
      </w:r>
    </w:p>
    <w:p>
      <w:pPr>
        <w:pStyle w:val="Heading1"/>
      </w:pPr>
      <w:r>
        <w:t>5. Superposition Transferred into Machinery</w:t>
      </w:r>
    </w:p>
    <w:p>
      <w:r>
        <w:t>Let the system enter the observation in a coherent superposition and let the apparatus begin in a ready state |M_0⟩:</w:t>
      </w:r>
    </w:p>
    <w:p>
      <w:pPr>
        <w:pStyle w:val="EquationBlock"/>
        <w:jc w:val="center"/>
      </w:pPr>
      <w:r>
        <w:rPr>
          <w:rFonts w:ascii="Cambria Math" w:hAnsi="Cambria Math" w:eastAsia="Cambria Math"/>
          <w:sz w:val="23"/>
        </w:rPr>
        <w:t>|ψ_S⟩|M_0⟩ = (Σ_i c_i|s_i⟩)|M_0⟩.</w:t>
      </w:r>
      <w:r>
        <w:rPr>
          <w:rFonts w:ascii="Cambria Math" w:hAnsi="Cambria Math"/>
          <w:sz w:val="20"/>
        </w:rPr>
        <w:t xml:space="preserve">    (10)</w:t>
      </w:r>
    </w:p>
    <w:p>
      <w:r>
        <w:t>An ideal channel-defining interaction satisfies</w:t>
      </w:r>
    </w:p>
    <w:p>
      <w:pPr>
        <w:pStyle w:val="EquationBlock"/>
        <w:jc w:val="center"/>
      </w:pPr>
      <w:r>
        <w:rPr>
          <w:rFonts w:ascii="Cambria Math" w:hAnsi="Cambria Math" w:eastAsia="Cambria Math"/>
          <w:sz w:val="23"/>
        </w:rPr>
        <w:t>U_{SM}(|s_i⟩|M_0⟩) = |s_i⟩|M_i⟩.</w:t>
      </w:r>
      <w:r>
        <w:rPr>
          <w:rFonts w:ascii="Cambria Math" w:hAnsi="Cambria Math"/>
          <w:sz w:val="20"/>
        </w:rPr>
        <w:t xml:space="preserve">    (11)</w:t>
      </w:r>
    </w:p>
    <w:p>
      <w:r>
        <w:t>By linearity,</w:t>
      </w:r>
    </w:p>
    <w:p>
      <w:pPr>
        <w:pStyle w:val="EquationBlock"/>
        <w:jc w:val="center"/>
      </w:pPr>
      <w:r>
        <w:rPr>
          <w:rFonts w:ascii="Cambria Math" w:hAnsi="Cambria Math" w:eastAsia="Cambria Math"/>
          <w:sz w:val="23"/>
        </w:rPr>
        <w:t>U_{SM}[(Σ_i c_i|s_i⟩)|M_0⟩] = Σ_i c_i|s_i⟩|M_i⟩.</w:t>
      </w:r>
      <w:r>
        <w:rPr>
          <w:rFonts w:ascii="Cambria Math" w:hAnsi="Cambria Math"/>
          <w:sz w:val="20"/>
        </w:rPr>
        <w:t xml:space="preserve">    (12)</w:t>
      </w:r>
    </w:p>
    <w:tbl>
      <w:tblPr>
        <w:tblW w:type="auto" w:w="0"/>
        <w:jc w:val="center"/>
        <w:tblLayout w:type="autofit"/>
        <w:tblLook w:firstColumn="1" w:firstRow="1" w:lastColumn="0" w:lastRow="0" w:noHBand="0" w:noVBand="1" w:val="04A0"/>
      </w:tblPr>
      <w:tblGrid>
        <w:gridCol w:w="9878"/>
      </w:tblGrid>
      <w:tr>
        <w:trPr>
          <w:cantSplit/>
        </w:trPr>
        <w:tc>
          <w:tcPr>
            <w:tcW w:type="dxa" w:w="9878"/>
            <w:shd w:fill="EAF1F8"/>
            <w:tcMar>
              <w:top w:w="180" w:type="dxa"/>
              <w:start w:w="220" w:type="dxa"/>
              <w:bottom w:w="180" w:type="dxa"/>
              <w:end w:w="220" w:type="dxa"/>
            </w:tcMar>
            <w:vAlign w:val="center"/>
          </w:tcPr>
          <w:p>
            <w:pPr>
              <w:keepLines/>
            </w:pPr>
            <w:r>
              <w:rPr>
                <w:b/>
                <w:color w:val="1F4E79"/>
                <w:sz w:val="22"/>
              </w:rPr>
              <w:t>Transfer proposition</w:t>
              <w:br/>
            </w:r>
            <w:r>
              <w:rPr>
                <w:sz w:val="21"/>
              </w:rPr>
              <w:t>The first stage of observation does not erase superposition. It transfers the unresolved action from the target alone into a larger correlated system-apparatus structure.</w:t>
            </w:r>
          </w:p>
        </w:tc>
      </w:tr>
    </w:tbl>
    <w:p>
      <w:r>
        <w:t>This is the exact transition from superposition to observer relation. Before coupling, the alternatives are carried by S. After coupling, they are carried by correlations between S and M. The observer machinery has made the alternatives mechanically discriminable, but it has not yet by unitary evolution alone produced one uniquely selected global branch.</w:t>
      </w:r>
    </w:p>
    <w:p>
      <w:pPr>
        <w:pStyle w:val="Heading1"/>
      </w:pPr>
      <w:r>
        <w:t>6. Decoherence and Retained Records</w:t>
      </w:r>
    </w:p>
    <w:p>
      <w:r>
        <w:t>Real apparatus records interact with an environment E. If the environment begins in |E_0⟩ and becomes correlated with the pointer alternatives,</w:t>
      </w:r>
    </w:p>
    <w:p>
      <w:pPr>
        <w:pStyle w:val="EquationBlock"/>
        <w:jc w:val="center"/>
      </w:pPr>
      <w:r>
        <w:rPr>
          <w:rFonts w:ascii="Cambria Math" w:hAnsi="Cambria Math" w:eastAsia="Cambria Math"/>
          <w:sz w:val="23"/>
        </w:rPr>
        <w:t>Σ_i c_i|s_i⟩|M_i⟩|E_0⟩  →  Σ_i c_i|s_i⟩|M_i⟩|E_i⟩.</w:t>
      </w:r>
      <w:r>
        <w:rPr>
          <w:rFonts w:ascii="Cambria Math" w:hAnsi="Cambria Math"/>
          <w:sz w:val="20"/>
        </w:rPr>
        <w:t xml:space="preserve">    (13)</w:t>
      </w:r>
    </w:p>
    <w:p>
      <w:r>
        <w:t>The reduced system-apparatus density operator is</w:t>
      </w:r>
    </w:p>
    <w:p>
      <w:pPr>
        <w:pStyle w:val="EquationBlock"/>
        <w:jc w:val="center"/>
      </w:pPr>
      <w:r>
        <w:rPr>
          <w:rFonts w:ascii="Cambria Math" w:hAnsi="Cambria Math" w:eastAsia="Cambria Math"/>
          <w:sz w:val="23"/>
        </w:rPr>
        <w:t>ρ_{SM} = Σ_{i,j} c_i c_j* γ_{ij} |s_iM_i⟩⟨s_jM_j|,     γ_{ij}=⟨E_j|E_i⟩.</w:t>
      </w:r>
      <w:r>
        <w:rPr>
          <w:rFonts w:ascii="Cambria Math" w:hAnsi="Cambria Math"/>
          <w:sz w:val="20"/>
        </w:rPr>
        <w:t xml:space="preserve">    (14)</w:t>
      </w:r>
    </w:p>
    <w:p>
      <w:r>
        <w:t>When distinct records leave nearly orthogonal environmental traces, γ_ij ≈ 0 for i ≠ j, and locally</w:t>
      </w:r>
    </w:p>
    <w:p>
      <w:pPr>
        <w:pStyle w:val="EquationBlock"/>
        <w:jc w:val="center"/>
      </w:pPr>
      <w:r>
        <w:rPr>
          <w:rFonts w:ascii="Cambria Math" w:hAnsi="Cambria Math" w:eastAsia="Cambria Math"/>
          <w:sz w:val="23"/>
        </w:rPr>
        <w:t>ρ_{SM} ≈ Σ_i |c_i|² |s_iM_i⟩⟨s_iM_i|.</w:t>
      </w:r>
      <w:r>
        <w:rPr>
          <w:rFonts w:ascii="Cambria Math" w:hAnsi="Cambria Math"/>
          <w:sz w:val="20"/>
        </w:rPr>
        <w:t xml:space="preserve">    (15)</w:t>
      </w:r>
    </w:p>
    <w:p>
      <w:r>
        <w:t>Environment-induced decoherence explains why certain pointer records are stable and why interference between macroscopically distinct records becomes locally inaccessible.</w:t>
      </w:r>
      <w:r>
        <w:rPr>
          <w:sz w:val="16"/>
          <w:vertAlign w:val="superscript"/>
        </w:rPr>
        <w:t xml:space="preserve"> [2]</w:t>
      </w:r>
    </w:p>
    <w:tbl>
      <w:tblPr>
        <w:tblW w:type="auto" w:w="0"/>
        <w:jc w:val="center"/>
        <w:tblLook w:firstColumn="1" w:firstRow="1" w:lastColumn="0" w:lastRow="0" w:noHBand="0" w:noVBand="1" w:val="04A0"/>
      </w:tblPr>
      <w:tblGrid>
        <w:gridCol w:w="9878"/>
      </w:tblGrid>
      <w:tr>
        <w:trPr>
          <w:cantSplit/>
        </w:trPr>
        <w:tc>
          <w:tcPr>
            <w:tcW w:type="dxa" w:w="9878"/>
            <w:shd w:fill="F3F6F9"/>
            <w:tcMar>
              <w:top w:w="160" w:type="dxa"/>
              <w:start w:w="200" w:type="dxa"/>
              <w:bottom w:w="160" w:type="dxa"/>
              <w:end w:w="200" w:type="dxa"/>
            </w:tcMar>
            <w:vAlign w:val="center"/>
          </w:tcPr>
          <w:p>
            <w:pPr>
              <w:keepLines/>
            </w:pPr>
            <w:r>
              <w:rPr>
                <w:b/>
                <w:color w:val="2C3E50"/>
                <w:sz w:val="21"/>
              </w:rPr>
              <w:t>Record stability condition</w:t>
            </w:r>
            <w:r>
              <w:rPr>
                <w:sz w:val="20"/>
              </w:rPr>
              <w:br/>
              <w:t>A candidate record is mechanically real for an observer when it remains distinguishable and recoverable through the subsequent interactions that constitute the observer’s memory or readout chain.</w:t>
            </w:r>
          </w:p>
          <w:p>
            <w:pPr>
              <w:keepLines/>
              <w:jc w:val="center"/>
            </w:pPr>
            <w:r>
              <w:rPr>
                <w:rFonts w:ascii="Cambria Math" w:hAnsi="Cambria Math" w:eastAsia="Cambria Math"/>
                <w:sz w:val="22"/>
              </w:rPr>
              <w:t>Record(k) ⇔ Dist(M_k,M_j) persists under the relevant future dynamics for all j ≠ k.</w:t>
            </w:r>
          </w:p>
        </w:tc>
      </w:tr>
    </w:tbl>
    <w:p>
      <w:r>
        <w:t>This formulation deliberately separates stable record production from any one metaphysical interpretation of global outcome selection. Decoherence provides the mechanical stability and effective noninterference of records; interpretations of quantum mechanics disagree about the global ontology of the remaining branches. PMO identifies the common physical operation that every interpretation must still represent.</w:t>
      </w:r>
    </w:p>
    <w:p>
      <w:pPr>
        <w:pStyle w:val="Heading1"/>
      </w:pPr>
      <w:r>
        <w:t>7. Quantum Instruments as Mechanical-Observation Maps</w:t>
      </w:r>
    </w:p>
    <w:p>
      <w:r>
        <w:t>The standard mathematical object closest to PMO is a quantum instrument {𝓘_k}. It encodes both the probability of each record and the state transformation conditioned on that record:</w:t>
      </w:r>
    </w:p>
    <w:p>
      <w:pPr>
        <w:pStyle w:val="EquationBlock"/>
        <w:jc w:val="center"/>
      </w:pPr>
      <w:r>
        <w:rPr>
          <w:rFonts w:ascii="Cambria Math" w:hAnsi="Cambria Math" w:eastAsia="Cambria Math"/>
          <w:sz w:val="23"/>
        </w:rPr>
        <w:t>p_k = Tr[𝓘_k(ρ)],</w:t>
      </w:r>
      <w:r>
        <w:rPr>
          <w:rFonts w:ascii="Cambria Math" w:hAnsi="Cambria Math"/>
          <w:sz w:val="20"/>
        </w:rPr>
        <w:t xml:space="preserve">    (16)</w:t>
      </w:r>
    </w:p>
    <w:p>
      <w:pPr>
        <w:pStyle w:val="EquationBlock"/>
        <w:jc w:val="center"/>
      </w:pPr>
      <w:r>
        <w:rPr>
          <w:rFonts w:ascii="Cambria Math" w:hAnsi="Cambria Math" w:eastAsia="Cambria Math"/>
          <w:sz w:val="23"/>
        </w:rPr>
        <w:t>ρ_{S|k} = 𝓘_k(ρ) / p_k,</w:t>
      </w:r>
      <w:r>
        <w:rPr>
          <w:rFonts w:ascii="Cambria Math" w:hAnsi="Cambria Math"/>
          <w:sz w:val="20"/>
        </w:rPr>
        <w:t xml:space="preserve">    (17)</w:t>
      </w:r>
    </w:p>
    <w:p>
      <w:pPr>
        <w:pStyle w:val="EquationBlock"/>
        <w:jc w:val="center"/>
      </w:pPr>
      <w:r>
        <w:rPr>
          <w:rFonts w:ascii="Cambria Math" w:hAnsi="Cambria Math" w:eastAsia="Cambria Math"/>
          <w:sz w:val="23"/>
        </w:rPr>
        <w:t>Σ_k Tr[𝓘_k(ρ)] = 1.</w:t>
      </w:r>
      <w:r>
        <w:rPr>
          <w:rFonts w:ascii="Cambria Math" w:hAnsi="Cambria Math"/>
          <w:sz w:val="20"/>
        </w:rPr>
        <w:t xml:space="preserve">    (18)</w:t>
      </w:r>
    </w:p>
    <w:p>
      <w:r>
        <w:t>Completely positive instruments can be represented through indirect measurement models involving a physical apparatus, a system-apparatus interaction, and an apparatus readout. This is precisely the mathematical content required by mechanical observation: an abstract state-to-outcome map must be physically realisable as machinery.</w:t>
      </w:r>
      <w:r>
        <w:rPr>
          <w:sz w:val="16"/>
          <w:vertAlign w:val="superscript"/>
        </w:rPr>
        <w:t xml:space="preserve"> [3]</w:t>
      </w:r>
    </w:p>
    <w:p>
      <w:pPr>
        <w:pStyle w:val="Heading2"/>
      </w:pPr>
      <w:r>
        <w:t>7.1 Explicit apparatus dilation</w:t>
      </w:r>
    </w:p>
    <w:p>
      <w:r>
        <w:t>For apparatus state σ_0, coupling U_SM, and pointer projector Π_k, an idealised instrument can be written</w:t>
      </w:r>
    </w:p>
    <w:p>
      <w:pPr>
        <w:pStyle w:val="EquationBlock"/>
        <w:jc w:val="center"/>
      </w:pPr>
      <w:r>
        <w:rPr>
          <w:rFonts w:ascii="Cambria Math" w:hAnsi="Cambria Math" w:eastAsia="Cambria Math"/>
          <w:sz w:val="23"/>
        </w:rPr>
        <w:t>𝓘_k(ρ) = Tr_M[(I⊗Π_k) U_{SM}(ρ⊗σ_0)U_{SM}† (I⊗Π_k)].</w:t>
      </w:r>
      <w:r>
        <w:rPr>
          <w:rFonts w:ascii="Cambria Math" w:hAnsi="Cambria Math"/>
          <w:sz w:val="20"/>
        </w:rPr>
        <w:t xml:space="preserve">    (19)</w:t>
      </w:r>
    </w:p>
    <w:p>
      <w:r>
        <w:t>Equation (19) is a complete mechanical-observation sentence in conventional mathematics: prepare machinery, couple system and machinery, distinguish pointer channel k, discard inaccessible apparatus detail, and retain the conditional system state.</w:t>
      </w:r>
    </w:p>
    <w:p>
      <w:pPr>
        <w:pStyle w:val="Heading1"/>
      </w:pPr>
      <w:r>
        <w:t>8. Human Reflexive Observation</w:t>
      </w:r>
    </w:p>
    <w:p>
      <w:r>
        <w:t>A human is not required for PO or for the mechanical production of a record. The specifically human scientific distinction appears when the observer can model the target, model the apparatus, re-enter the observation as a new object of observation, and communicate the result semantically.</w:t>
      </w:r>
    </w:p>
    <w:p>
      <w:pPr>
        <w:pStyle w:val="EquationBlock"/>
        <w:jc w:val="center"/>
      </w:pPr>
      <w:r>
        <w:rPr>
          <w:rFonts w:ascii="Cambria Math" w:hAnsi="Cambria Math" w:eastAsia="Cambria Math"/>
          <w:sz w:val="23"/>
        </w:rPr>
        <w:t>𝔒_H^(2)(S) = Λ_H ∘ Rec_H ∘ 𝔒_{H←S}^{mech}.</w:t>
      </w:r>
      <w:r>
        <w:rPr>
          <w:rFonts w:ascii="Cambria Math" w:hAnsi="Cambria Math"/>
          <w:sz w:val="20"/>
        </w:rPr>
        <w:t xml:space="preserve">    (20)</w:t>
      </w:r>
    </w:p>
    <w:p>
      <w:r>
        <w:t>Here Rec_H denotes reflexive re-entry and Λ_H denotes semantic denotation into language, diagrams, or mathematics. The human observer can ask why a basis was selected, what the detector excluded, how the signal was amplified, what assumptions entered the reconstruction, and whether a different observer architecture would yield another legitimate distinction.</w:t>
      </w:r>
    </w:p>
    <w:tbl>
      <w:tblPr>
        <w:tblW w:type="auto" w:w="0"/>
        <w:jc w:val="center"/>
        <w:tblLook w:firstColumn="1" w:firstRow="1" w:lastColumn="0" w:lastRow="0" w:noHBand="0" w:noVBand="1" w:val="04A0"/>
      </w:tblPr>
      <w:tblGrid>
        <w:gridCol w:w="9878"/>
      </w:tblGrid>
      <w:tr>
        <w:trPr>
          <w:cantSplit/>
        </w:trPr>
        <w:tc>
          <w:tcPr>
            <w:tcW w:type="dxa" w:w="9878"/>
            <w:shd w:fill="F3F6F9"/>
            <w:tcMar>
              <w:top w:w="160" w:type="dxa"/>
              <w:start w:w="200" w:type="dxa"/>
              <w:bottom w:w="160" w:type="dxa"/>
              <w:end w:w="200" w:type="dxa"/>
            </w:tcMar>
            <w:vAlign w:val="center"/>
          </w:tcPr>
          <w:p>
            <w:pPr>
              <w:keepLines/>
            </w:pPr>
            <w:r>
              <w:rPr>
                <w:b/>
                <w:color w:val="2C3E50"/>
                <w:sz w:val="21"/>
              </w:rPr>
              <w:t>Reflexive mechanical observer</w:t>
            </w:r>
            <w:r>
              <w:rPr>
                <w:sz w:val="20"/>
              </w:rPr>
              <w:br/>
              <w:t>A mechanical observer whose internal records can themselves become targets of further observation, comparison, revision, and semantic denotation.</w:t>
            </w:r>
          </w:p>
          <w:p>
            <w:pPr>
              <w:keepLines/>
              <w:jc w:val="center"/>
            </w:pPr>
            <w:r>
              <w:rPr>
                <w:rFonts w:ascii="Cambria Math" w:hAnsi="Cambria Math" w:eastAsia="Cambria Math"/>
                <w:sz w:val="22"/>
              </w:rPr>
              <w:t>Human scientific observation = PMO + recursive self-model + semantic closure.</w:t>
            </w:r>
          </w:p>
        </w:tc>
      </w:tr>
    </w:tbl>
    <w:p>
      <w:r>
        <w:t>The universe therefore contains observation without requiring a universal consciousness, while human consciousness and scientific practice realise a higher-order observer structure. The universe physically registers distinctions; humans can make the machinery of registration itself into a new distinction.</w:t>
      </w:r>
    </w:p>
    <w:p>
      <w:pPr>
        <w:pStyle w:val="Heading1"/>
      </w:pPr>
      <w:r>
        <w:t>9. Worked Real-World System: Stern-Gerlach Measurement</w:t>
      </w:r>
    </w:p>
    <w:p>
      <w:r>
        <w:t>A Stern-Gerlach apparatus provides a concrete physical system in which every stage of PO and PMO can be identified. A beam of neutral atoms with a magnetic moment passes through a nonuniform magnetic field. The spin degree of freedom becomes correlated with spatial motion, and a downstream detector converts the separated wavepackets into stable records. The experiment is routinely used as the canonical model of spin measurement. Modern analyses treat spin and position quantum-mechanically and explicitly study the role of apparatus resolution and environment.</w:t>
      </w:r>
      <w:r>
        <w:rPr>
          <w:sz w:val="16"/>
          <w:vertAlign w:val="superscript"/>
        </w:rPr>
        <w:t xml:space="preserve"> [4]</w:t>
      </w:r>
    </w:p>
    <w:p>
      <w:pPr>
        <w:pStyle w:val="Heading2"/>
      </w:pPr>
      <w:r>
        <w:t>9.1 Physical apparatus</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D9E6F2"/>
            <w:vAlign w:val="center"/>
          </w:tcPr>
          <w:p>
            <w:pPr>
              <w:keepLines/>
            </w:pPr>
            <w:r>
              <w:rPr>
                <w:b/>
              </w:rPr>
              <w:t>Component</w:t>
            </w:r>
          </w:p>
        </w:tc>
        <w:tc>
          <w:tcPr>
            <w:tcW w:type="dxa" w:w="4939"/>
            <w:shd w:fill="D9E6F2"/>
            <w:vAlign w:val="center"/>
          </w:tcPr>
          <w:p>
            <w:pPr>
              <w:keepLines/>
            </w:pPr>
            <w:r>
              <w:rPr>
                <w:b/>
              </w:rPr>
              <w:t>Observer role</w:t>
            </w:r>
          </w:p>
        </w:tc>
      </w:tr>
      <w:tr>
        <w:trPr>
          <w:cantSplit/>
        </w:trPr>
        <w:tc>
          <w:tcPr>
            <w:tcW w:type="dxa" w:w="4939"/>
            <w:tcMar>
              <w:top w:w="90" w:type="dxa"/>
              <w:start w:w="110" w:type="dxa"/>
              <w:bottom w:w="90" w:type="dxa"/>
              <w:end w:w="110" w:type="dxa"/>
            </w:tcMar>
            <w:vAlign w:val="center"/>
          </w:tcPr>
          <w:p>
            <w:pPr>
              <w:keepLines/>
            </w:pPr>
            <w:r>
              <w:t>1. Atomic source</w:t>
            </w:r>
          </w:p>
        </w:tc>
        <w:tc>
          <w:tcPr>
            <w:tcW w:type="dxa" w:w="4939"/>
            <w:tcMar>
              <w:top w:w="90" w:type="dxa"/>
              <w:start w:w="110" w:type="dxa"/>
              <w:bottom w:w="90" w:type="dxa"/>
              <w:end w:w="110" w:type="dxa"/>
            </w:tcMar>
            <w:vAlign w:val="center"/>
          </w:tcPr>
          <w:p>
            <w:pPr>
              <w:keepLines/>
            </w:pPr>
            <w:r>
              <w:t>Produces a beam of atoms and establishes the preparation context.</w:t>
            </w:r>
          </w:p>
        </w:tc>
      </w:tr>
      <w:tr>
        <w:trPr>
          <w:cantSplit/>
        </w:trPr>
        <w:tc>
          <w:tcPr>
            <w:tcW w:type="dxa" w:w="4939"/>
            <w:tcMar>
              <w:top w:w="90" w:type="dxa"/>
              <w:start w:w="110" w:type="dxa"/>
              <w:bottom w:w="90" w:type="dxa"/>
              <w:end w:w="110" w:type="dxa"/>
            </w:tcMar>
            <w:vAlign w:val="center"/>
          </w:tcPr>
          <w:p>
            <w:pPr>
              <w:keepLines/>
            </w:pPr>
            <w:r>
              <w:t>2. Collimator</w:t>
            </w:r>
          </w:p>
        </w:tc>
        <w:tc>
          <w:tcPr>
            <w:tcW w:type="dxa" w:w="4939"/>
            <w:tcMar>
              <w:top w:w="90" w:type="dxa"/>
              <w:start w:w="110" w:type="dxa"/>
              <w:bottom w:w="90" w:type="dxa"/>
              <w:end w:w="110" w:type="dxa"/>
            </w:tcMar>
            <w:vAlign w:val="center"/>
          </w:tcPr>
          <w:p>
            <w:pPr>
              <w:keepLines/>
            </w:pPr>
            <w:r>
              <w:t>Restricts transverse position and momentum so later splitting can be resolved.</w:t>
            </w:r>
          </w:p>
        </w:tc>
      </w:tr>
      <w:tr>
        <w:trPr>
          <w:cantSplit/>
        </w:trPr>
        <w:tc>
          <w:tcPr>
            <w:tcW w:type="dxa" w:w="4939"/>
            <w:tcMar>
              <w:top w:w="90" w:type="dxa"/>
              <w:start w:w="110" w:type="dxa"/>
              <w:bottom w:w="90" w:type="dxa"/>
              <w:end w:w="110" w:type="dxa"/>
            </w:tcMar>
            <w:vAlign w:val="center"/>
          </w:tcPr>
          <w:p>
            <w:pPr>
              <w:keepLines/>
            </w:pPr>
            <w:r>
              <w:t>3. Inhomogeneous magnet</w:t>
            </w:r>
          </w:p>
        </w:tc>
        <w:tc>
          <w:tcPr>
            <w:tcW w:type="dxa" w:w="4939"/>
            <w:tcMar>
              <w:top w:w="90" w:type="dxa"/>
              <w:start w:w="110" w:type="dxa"/>
              <w:bottom w:w="90" w:type="dxa"/>
              <w:end w:w="110" w:type="dxa"/>
            </w:tcMar>
            <w:vAlign w:val="center"/>
          </w:tcPr>
          <w:p>
            <w:pPr>
              <w:keepLines/>
            </w:pPr>
            <w:r>
              <w:t>Selects a spatial axis and couples spin to motion.</w:t>
            </w:r>
          </w:p>
        </w:tc>
      </w:tr>
      <w:tr>
        <w:trPr>
          <w:cantSplit/>
        </w:trPr>
        <w:tc>
          <w:tcPr>
            <w:tcW w:type="dxa" w:w="4939"/>
            <w:tcMar>
              <w:top w:w="90" w:type="dxa"/>
              <w:start w:w="110" w:type="dxa"/>
              <w:bottom w:w="90" w:type="dxa"/>
              <w:end w:w="110" w:type="dxa"/>
            </w:tcMar>
            <w:vAlign w:val="center"/>
          </w:tcPr>
          <w:p>
            <w:pPr>
              <w:keepLines/>
            </w:pPr>
            <w:r>
              <w:t>4. Free-flight region</w:t>
            </w:r>
          </w:p>
        </w:tc>
        <w:tc>
          <w:tcPr>
            <w:tcW w:type="dxa" w:w="4939"/>
            <w:tcMar>
              <w:top w:w="90" w:type="dxa"/>
              <w:start w:w="110" w:type="dxa"/>
              <w:bottom w:w="90" w:type="dxa"/>
              <w:end w:w="110" w:type="dxa"/>
            </w:tcMar>
            <w:vAlign w:val="center"/>
          </w:tcPr>
          <w:p>
            <w:pPr>
              <w:keepLines/>
            </w:pPr>
            <w:r>
              <w:t>Allows the correlated momentum alternatives to separate in position.</w:t>
            </w:r>
          </w:p>
        </w:tc>
      </w:tr>
      <w:tr>
        <w:trPr>
          <w:cantSplit/>
        </w:trPr>
        <w:tc>
          <w:tcPr>
            <w:tcW w:type="dxa" w:w="4939"/>
            <w:tcMar>
              <w:top w:w="90" w:type="dxa"/>
              <w:start w:w="110" w:type="dxa"/>
              <w:bottom w:w="90" w:type="dxa"/>
              <w:end w:w="110" w:type="dxa"/>
            </w:tcMar>
            <w:vAlign w:val="center"/>
          </w:tcPr>
          <w:p>
            <w:pPr>
              <w:keepLines/>
            </w:pPr>
            <w:r>
              <w:t>5. Detection screen</w:t>
            </w:r>
          </w:p>
        </w:tc>
        <w:tc>
          <w:tcPr>
            <w:tcW w:type="dxa" w:w="4939"/>
            <w:tcMar>
              <w:top w:w="90" w:type="dxa"/>
              <w:start w:w="110" w:type="dxa"/>
              <w:bottom w:w="90" w:type="dxa"/>
              <w:end w:w="110" w:type="dxa"/>
            </w:tcMar>
            <w:vAlign w:val="center"/>
          </w:tcPr>
          <w:p>
            <w:pPr>
              <w:keepLines/>
            </w:pPr>
            <w:r>
              <w:t>Transduces atom arrival into local material change.</w:t>
            </w:r>
          </w:p>
        </w:tc>
      </w:tr>
      <w:tr>
        <w:trPr>
          <w:cantSplit/>
        </w:trPr>
        <w:tc>
          <w:tcPr>
            <w:tcW w:type="dxa" w:w="4939"/>
            <w:tcMar>
              <w:top w:w="90" w:type="dxa"/>
              <w:start w:w="110" w:type="dxa"/>
              <w:bottom w:w="90" w:type="dxa"/>
              <w:end w:w="110" w:type="dxa"/>
            </w:tcMar>
            <w:vAlign w:val="center"/>
          </w:tcPr>
          <w:p>
            <w:pPr>
              <w:keepLines/>
            </w:pPr>
            <w:r>
              <w:t>6. Camera/electronics</w:t>
            </w:r>
          </w:p>
        </w:tc>
        <w:tc>
          <w:tcPr>
            <w:tcW w:type="dxa" w:w="4939"/>
            <w:tcMar>
              <w:top w:w="90" w:type="dxa"/>
              <w:start w:w="110" w:type="dxa"/>
              <w:bottom w:w="90" w:type="dxa"/>
              <w:end w:w="110" w:type="dxa"/>
            </w:tcMar>
            <w:vAlign w:val="center"/>
          </w:tcPr>
          <w:p>
            <w:pPr>
              <w:keepLines/>
            </w:pPr>
            <w:r>
              <w:t>Amplifies and stores the spot location as a durable record.</w:t>
            </w:r>
          </w:p>
        </w:tc>
      </w:tr>
      <w:tr>
        <w:trPr>
          <w:cantSplit/>
        </w:trPr>
        <w:tc>
          <w:tcPr>
            <w:tcW w:type="dxa" w:w="4939"/>
            <w:tcMar>
              <w:top w:w="90" w:type="dxa"/>
              <w:start w:w="110" w:type="dxa"/>
              <w:bottom w:w="90" w:type="dxa"/>
              <w:end w:w="110" w:type="dxa"/>
            </w:tcMar>
            <w:vAlign w:val="center"/>
          </w:tcPr>
          <w:p>
            <w:pPr>
              <w:keepLines/>
            </w:pPr>
            <w:r>
              <w:t>7. Human observer</w:t>
            </w:r>
          </w:p>
        </w:tc>
        <w:tc>
          <w:tcPr>
            <w:tcW w:type="dxa" w:w="4939"/>
            <w:tcMar>
              <w:top w:w="90" w:type="dxa"/>
              <w:start w:w="110" w:type="dxa"/>
              <w:bottom w:w="90" w:type="dxa"/>
              <w:end w:w="110" w:type="dxa"/>
            </w:tcMar>
            <w:vAlign w:val="center"/>
          </w:tcPr>
          <w:p>
            <w:pPr>
              <w:keepLines/>
            </w:pPr>
            <w:r>
              <w:t>Models the apparatus, identifies the selected basis, and denotes the result.</w:t>
            </w:r>
          </w:p>
        </w:tc>
      </w:tr>
    </w:tbl>
    <w:p>
      <w:pPr>
        <w:pStyle w:val="Heading2"/>
      </w:pPr>
      <w:r>
        <w:t>9.2 Incoming superposition</w:t>
      </w:r>
    </w:p>
    <w:p>
      <w:r>
        <w:t>Choose the magnet’s gradient direction as z. An incoming atom may be prepared in</w:t>
      </w:r>
    </w:p>
    <w:p>
      <w:pPr>
        <w:pStyle w:val="EquationBlock"/>
        <w:jc w:val="center"/>
      </w:pPr>
      <w:r>
        <w:rPr>
          <w:rFonts w:ascii="Cambria Math" w:hAnsi="Cambria Math" w:eastAsia="Cambria Math"/>
          <w:sz w:val="23"/>
        </w:rPr>
        <w:t>|ψ_spin⟩ = α|↑_z⟩ + β|↓_z⟩,       |α|²+|β|²=1.</w:t>
      </w:r>
      <w:r>
        <w:rPr>
          <w:rFonts w:ascii="Cambria Math" w:hAnsi="Cambria Math"/>
          <w:sz w:val="20"/>
        </w:rPr>
        <w:t xml:space="preserve">    (21)</w:t>
      </w:r>
    </w:p>
    <w:p>
      <w:r>
        <w:t>Let |φ_0⟩ be the initial spatial wavepacket. The complete incoming state is</w:t>
      </w:r>
    </w:p>
    <w:p>
      <w:pPr>
        <w:pStyle w:val="EquationBlock"/>
        <w:jc w:val="center"/>
      </w:pPr>
      <w:r>
        <w:rPr>
          <w:rFonts w:ascii="Cambria Math" w:hAnsi="Cambria Math" w:eastAsia="Cambria Math"/>
          <w:sz w:val="23"/>
        </w:rPr>
        <w:t>|Ψ_0⟩ = (α|↑_z⟩ + β|↓_z⟩) ⊗ |φ_0⟩.</w:t>
      </w:r>
      <w:r>
        <w:rPr>
          <w:rFonts w:ascii="Cambria Math" w:hAnsi="Cambria Math"/>
          <w:sz w:val="20"/>
        </w:rPr>
        <w:t xml:space="preserve">    (22)</w:t>
      </w:r>
    </w:p>
    <w:p>
      <w:r>
        <w:t>At this stage, the spin alternatives are admissible and coherently retained. There is not yet a z-record.</w:t>
      </w:r>
    </w:p>
    <w:p>
      <w:pPr>
        <w:pStyle w:val="Heading2"/>
      </w:pPr>
      <w:r>
        <w:t>9.3 Mechanical distinction selected by the magnet</w:t>
      </w:r>
    </w:p>
    <w:p>
      <w:r>
        <w:t>The magnetic interaction is approximately</w:t>
      </w:r>
    </w:p>
    <w:p>
      <w:pPr>
        <w:pStyle w:val="EquationBlock"/>
        <w:jc w:val="center"/>
      </w:pPr>
      <w:r>
        <w:rPr>
          <w:rFonts w:ascii="Cambria Math" w:hAnsi="Cambria Math" w:eastAsia="Cambria Math"/>
          <w:sz w:val="23"/>
        </w:rPr>
        <w:t>H_int = - μ·B(r).</w:t>
      </w:r>
      <w:r>
        <w:rPr>
          <w:rFonts w:ascii="Cambria Math" w:hAnsi="Cambria Math"/>
          <w:sz w:val="20"/>
        </w:rPr>
        <w:t xml:space="preserve">    (23)</w:t>
      </w:r>
    </w:p>
    <w:p>
      <w:r>
        <w:t>For a field with z-gradient B_z(z) ≈ B_0 + bz, the two z-spin components experience opposite forces. Over an interaction time τ, the apparatus produces opposite momentum shifts ±Δp_z. The unitary interaction therefore acts as</w:t>
      </w:r>
    </w:p>
    <w:p>
      <w:pPr>
        <w:pStyle w:val="EquationBlock"/>
        <w:jc w:val="center"/>
      </w:pPr>
      <w:r>
        <w:rPr>
          <w:rFonts w:ascii="Cambria Math" w:hAnsi="Cambria Math" w:eastAsia="Cambria Math"/>
          <w:sz w:val="23"/>
        </w:rPr>
        <w:t>|↑_z⟩|φ_0⟩ → |↑_z⟩|φ_+⟩,        |↓_z⟩|φ_0⟩ → |↓_z⟩|φ_-⟩.</w:t>
      </w:r>
      <w:r>
        <w:rPr>
          <w:rFonts w:ascii="Cambria Math" w:hAnsi="Cambria Math"/>
          <w:sz w:val="20"/>
        </w:rPr>
        <w:t xml:space="preserve">    (24)</w:t>
      </w:r>
    </w:p>
    <w:p>
      <w:r>
        <w:t>By linearity,</w:t>
      </w:r>
    </w:p>
    <w:p>
      <w:pPr>
        <w:pStyle w:val="EquationBlock"/>
        <w:jc w:val="center"/>
      </w:pPr>
      <w:r>
        <w:rPr>
          <w:rFonts w:ascii="Cambria Math" w:hAnsi="Cambria Math" w:eastAsia="Cambria Math"/>
          <w:sz w:val="23"/>
        </w:rPr>
        <w:t>|Ψ_1⟩ = α|↑_z⟩|φ_+⟩ + β|↓_z⟩|φ_-⟩.</w:t>
      </w:r>
      <w:r>
        <w:rPr>
          <w:rFonts w:ascii="Cambria Math" w:hAnsi="Cambria Math"/>
          <w:sz w:val="20"/>
        </w:rPr>
        <w:t xml:space="preserve">    (25)</w:t>
      </w:r>
    </w:p>
    <w:p>
      <w:r>
        <w:t>The magnet has not passively revealed a basis-independent label. Its physical orientation selected the z distinction and converted it into spatially separable channels. Rotating the magnet changes the projectors and therefore changes the mechanical observation performed.</w:t>
      </w:r>
    </w:p>
    <w:p>
      <w:pPr>
        <w:pStyle w:val="Heading2"/>
      </w:pPr>
      <w:r>
        <w:t>9.4 Propagation and spatial resolution</w:t>
      </w:r>
    </w:p>
    <w:p>
      <w:r>
        <w:t>During free flight, the wavepackets separate. A useful discriminability condition is</w:t>
      </w:r>
    </w:p>
    <w:p>
      <w:pPr>
        <w:pStyle w:val="EquationBlock"/>
        <w:jc w:val="center"/>
      </w:pPr>
      <w:r>
        <w:rPr>
          <w:rFonts w:ascii="Cambria Math" w:hAnsi="Cambria Math" w:eastAsia="Cambria Math"/>
          <w:sz w:val="23"/>
        </w:rPr>
        <w:t>|⟨φ_-|φ_+⟩| ≪ 1.</w:t>
      </w:r>
      <w:r>
        <w:rPr>
          <w:rFonts w:ascii="Cambria Math" w:hAnsi="Cambria Math"/>
          <w:sz w:val="20"/>
        </w:rPr>
        <w:t xml:space="preserve">    (26)</w:t>
      </w:r>
    </w:p>
    <w:p>
      <w:r>
        <w:t>When the overlap remains large, the machinery cannot reliably distinguish the alternatives. When it is small, the apparatus has converted spin distinction into a resolvable position distinction. The collimator, field gradient, transit time, atom mass, detector distance, and detector resolution all belong to the observer machinery because all determine whether equation (26) is achieved.</w:t>
      </w:r>
    </w:p>
    <w:p>
      <w:pPr>
        <w:pStyle w:val="Heading2"/>
      </w:pPr>
      <w:r>
        <w:t>9.5 Detection and record formation</w:t>
      </w:r>
    </w:p>
    <w:p>
      <w:r>
        <w:t>Let |D_0⟩ be the ready state of the detector and |D_+⟩, |D_-⟩ be distinct detector records. Detection gives</w:t>
      </w:r>
    </w:p>
    <w:p>
      <w:pPr>
        <w:pStyle w:val="EquationBlock"/>
        <w:jc w:val="center"/>
      </w:pPr>
      <w:r>
        <w:rPr>
          <w:rFonts w:ascii="Cambria Math" w:hAnsi="Cambria Math" w:eastAsia="Cambria Math"/>
          <w:sz w:val="23"/>
        </w:rPr>
        <w:t>α|↑_z⟩|φ_+⟩|D_0⟩ + β|↓_z⟩|φ_-⟩|D_0⟩</w:t>
      </w:r>
      <w:r>
        <w:rPr>
          <w:rFonts w:ascii="Cambria Math" w:hAnsi="Cambria Math"/>
          <w:sz w:val="20"/>
        </w:rPr>
        <w:t xml:space="preserve">    (27a)</w:t>
      </w:r>
    </w:p>
    <w:p>
      <w:pPr>
        <w:pStyle w:val="EquationBlock"/>
        <w:jc w:val="center"/>
      </w:pPr>
      <w:r>
        <w:rPr>
          <w:rFonts w:ascii="Cambria Math" w:hAnsi="Cambria Math" w:eastAsia="Cambria Math"/>
          <w:sz w:val="23"/>
        </w:rPr>
        <w:t>→ α|↑_z⟩|φ_+⟩|D_+⟩ + β|↓_z⟩|φ_-⟩|D_-⟩.</w:t>
      </w:r>
      <w:r>
        <w:rPr>
          <w:rFonts w:ascii="Cambria Math" w:hAnsi="Cambria Math"/>
          <w:sz w:val="20"/>
        </w:rPr>
        <w:t xml:space="preserve">    (27b)</w:t>
      </w:r>
    </w:p>
    <w:p>
      <w:r>
        <w:t>The detector then couples to many uncontrolled environmental degrees of freedom: emitted photons, lattice vibrations, electrical currents, memory states, and surrounding matter. Denote the resulting environmental states by |E_+⟩ and |E_-⟩:</w:t>
      </w:r>
    </w:p>
    <w:p>
      <w:pPr>
        <w:pStyle w:val="EquationBlock"/>
        <w:jc w:val="center"/>
      </w:pPr>
      <w:r>
        <w:rPr>
          <w:rFonts w:ascii="Cambria Math" w:hAnsi="Cambria Math" w:eastAsia="Cambria Math"/>
          <w:sz w:val="23"/>
        </w:rPr>
        <w:t>|Ψ_2⟩ = α|↑_z,φ_+,D_+,E_+⟩ + β|↓_z,φ_-,D_-,E_-⟩.</w:t>
      </w:r>
      <w:r>
        <w:rPr>
          <w:rFonts w:ascii="Cambria Math" w:hAnsi="Cambria Math"/>
          <w:sz w:val="20"/>
        </w:rPr>
        <w:t xml:space="preserve">    (28)</w:t>
      </w:r>
    </w:p>
    <w:p>
      <w:r>
        <w:t>The local coherence between the two detector records is multiplied by</w:t>
      </w:r>
    </w:p>
    <w:p>
      <w:pPr>
        <w:pStyle w:val="EquationBlock"/>
        <w:jc w:val="center"/>
      </w:pPr>
      <w:r>
        <w:rPr>
          <w:rFonts w:ascii="Cambria Math" w:hAnsi="Cambria Math" w:eastAsia="Cambria Math"/>
          <w:sz w:val="23"/>
        </w:rPr>
        <w:t>γ = ⟨E_-|E_+⟩.</w:t>
      </w:r>
      <w:r>
        <w:rPr>
          <w:rFonts w:ascii="Cambria Math" w:hAnsi="Cambria Math"/>
          <w:sz w:val="20"/>
        </w:rPr>
        <w:t xml:space="preserve">    (29)</w:t>
      </w:r>
    </w:p>
    <w:p>
      <w:r>
        <w:t>For macroscopically distinct records, |γ| becomes extremely small. The reduced detector description is then approximately</w:t>
      </w:r>
    </w:p>
    <w:p>
      <w:pPr>
        <w:pStyle w:val="EquationBlock"/>
        <w:jc w:val="center"/>
      </w:pPr>
      <w:r>
        <w:rPr>
          <w:rFonts w:ascii="Cambria Math" w:hAnsi="Cambria Math" w:eastAsia="Cambria Math"/>
          <w:sz w:val="23"/>
        </w:rPr>
        <w:t>ρ_D ≈ |α|²|D_+⟩⟨D_+| + |β|²|D_-⟩⟨D_-|.</w:t>
      </w:r>
      <w:r>
        <w:rPr>
          <w:rFonts w:ascii="Cambria Math" w:hAnsi="Cambria Math"/>
          <w:sz w:val="20"/>
        </w:rPr>
        <w:t xml:space="preserve">    (30)</w:t>
      </w:r>
    </w:p>
    <w:p>
      <w:pPr>
        <w:pStyle w:val="Heading2"/>
      </w:pPr>
      <w:r>
        <w:t>9.6 Quantum-instrument description</w:t>
      </w:r>
    </w:p>
    <w:p>
      <w:r>
        <w:t>For an ideal z measurement, the effects are</w:t>
      </w:r>
    </w:p>
    <w:p>
      <w:pPr>
        <w:pStyle w:val="EquationBlock"/>
        <w:jc w:val="center"/>
      </w:pPr>
      <w:r>
        <w:rPr>
          <w:rFonts w:ascii="Cambria Math" w:hAnsi="Cambria Math" w:eastAsia="Cambria Math"/>
          <w:sz w:val="23"/>
        </w:rPr>
        <w:t>Π_+ = |↑_z⟩⟨↑_z|,        Π_- = |↓_z⟩⟨↓_z|.</w:t>
      </w:r>
      <w:r>
        <w:rPr>
          <w:rFonts w:ascii="Cambria Math" w:hAnsi="Cambria Math"/>
          <w:sz w:val="20"/>
        </w:rPr>
        <w:t xml:space="preserve">    (31)</w:t>
      </w:r>
    </w:p>
    <w:p>
      <w:pPr>
        <w:pStyle w:val="EquationBlock"/>
        <w:jc w:val="center"/>
      </w:pPr>
      <w:r>
        <w:rPr>
          <w:rFonts w:ascii="Cambria Math" w:hAnsi="Cambria Math" w:eastAsia="Cambria Math"/>
          <w:sz w:val="23"/>
        </w:rPr>
        <w:t>p_+ = Tr(ρΠ_+) = |α|²,        p_- = Tr(ρΠ_-) = |β|².</w:t>
      </w:r>
      <w:r>
        <w:rPr>
          <w:rFonts w:ascii="Cambria Math" w:hAnsi="Cambria Math"/>
          <w:sz w:val="20"/>
        </w:rPr>
        <w:t xml:space="preserve">    (32)</w:t>
      </w:r>
    </w:p>
    <w:p>
      <w:r>
        <w:t>The complete real apparatus is more accurately represented by an instrument {𝓘_+,𝓘_-}, because it not only assigns probabilities but also records the conditional state and detector change.</w:t>
      </w:r>
    </w:p>
    <w:p>
      <w:pPr>
        <w:pStyle w:val="Heading2"/>
      </w:pPr>
      <w:r>
        <w:t>9.7 Full semantic breakdown</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cantSplit/>
        </w:trPr>
        <w:tc>
          <w:tcPr>
            <w:tcW w:type="dxa" w:w="2469"/>
            <w:shd w:fill="D9E6F2"/>
            <w:vAlign w:val="center"/>
          </w:tcPr>
          <w:p>
            <w:pPr>
              <w:keepLines/>
            </w:pPr>
            <w:r>
              <w:rPr>
                <w:b/>
              </w:rPr>
              <w:t>Semantic stage</w:t>
            </w:r>
          </w:p>
        </w:tc>
        <w:tc>
          <w:tcPr>
            <w:tcW w:type="dxa" w:w="2469"/>
            <w:shd w:fill="D9E6F2"/>
            <w:vAlign w:val="center"/>
          </w:tcPr>
          <w:p>
            <w:pPr>
              <w:keepLines/>
            </w:pPr>
            <w:r>
              <w:rPr>
                <w:b/>
              </w:rPr>
              <w:t>Physical component</w:t>
            </w:r>
          </w:p>
        </w:tc>
        <w:tc>
          <w:tcPr>
            <w:tcW w:type="dxa" w:w="2469"/>
            <w:shd w:fill="D9E6F2"/>
            <w:vAlign w:val="center"/>
          </w:tcPr>
          <w:p>
            <w:pPr>
              <w:keepLines/>
            </w:pPr>
            <w:r>
              <w:rPr>
                <w:b/>
              </w:rPr>
              <w:t>Mathematical structure</w:t>
            </w:r>
          </w:p>
        </w:tc>
        <w:tc>
          <w:tcPr>
            <w:tcW w:type="dxa" w:w="2469"/>
            <w:shd w:fill="D9E6F2"/>
            <w:vAlign w:val="center"/>
          </w:tcPr>
          <w:p>
            <w:pPr>
              <w:keepLines/>
            </w:pPr>
            <w:r>
              <w:rPr>
                <w:b/>
              </w:rPr>
              <w:t>What becomes real</w:t>
            </w:r>
          </w:p>
        </w:tc>
      </w:tr>
      <w:tr>
        <w:trPr>
          <w:cantSplit/>
        </w:trPr>
        <w:tc>
          <w:tcPr>
            <w:tcW w:type="dxa" w:w="2469"/>
            <w:tcMar>
              <w:top w:w="70" w:type="dxa"/>
              <w:start w:w="80" w:type="dxa"/>
              <w:bottom w:w="70" w:type="dxa"/>
              <w:end w:w="80" w:type="dxa"/>
            </w:tcMar>
            <w:vAlign w:val="center"/>
          </w:tcPr>
          <w:p>
            <w:pPr>
              <w:keepLines/>
            </w:pPr>
            <w:r>
              <w:t>Persist</w:t>
            </w:r>
          </w:p>
        </w:tc>
        <w:tc>
          <w:tcPr>
            <w:tcW w:type="dxa" w:w="2469"/>
            <w:tcMar>
              <w:top w:w="70" w:type="dxa"/>
              <w:start w:w="80" w:type="dxa"/>
              <w:bottom w:w="70" w:type="dxa"/>
              <w:end w:w="80" w:type="dxa"/>
            </w:tcMar>
            <w:vAlign w:val="center"/>
          </w:tcPr>
          <w:p>
            <w:pPr>
              <w:keepLines/>
            </w:pPr>
            <w:r>
              <w:t>Prepared atomic beam</w:t>
            </w:r>
          </w:p>
        </w:tc>
        <w:tc>
          <w:tcPr>
            <w:tcW w:type="dxa" w:w="2469"/>
            <w:tcMar>
              <w:top w:w="70" w:type="dxa"/>
              <w:start w:w="80" w:type="dxa"/>
              <w:bottom w:w="70" w:type="dxa"/>
              <w:end w:w="80" w:type="dxa"/>
            </w:tcMar>
            <w:vAlign w:val="center"/>
          </w:tcPr>
          <w:p>
            <w:pPr>
              <w:keepLines/>
            </w:pPr>
            <w:r>
              <w:rPr>
                <w:rFonts w:ascii="Cambria Math" w:hAnsi="Cambria Math"/>
              </w:rPr>
              <w:t>|Ψ_0⟩</w:t>
            </w:r>
          </w:p>
        </w:tc>
        <w:tc>
          <w:tcPr>
            <w:tcW w:type="dxa" w:w="2469"/>
            <w:tcMar>
              <w:top w:w="70" w:type="dxa"/>
              <w:start w:w="80" w:type="dxa"/>
              <w:bottom w:w="70" w:type="dxa"/>
              <w:end w:w="80" w:type="dxa"/>
            </w:tcMar>
            <w:vAlign w:val="center"/>
          </w:tcPr>
          <w:p>
            <w:pPr>
              <w:keepLines/>
            </w:pPr>
            <w:r>
              <w:t>A repeatable input condition.</w:t>
            </w:r>
          </w:p>
        </w:tc>
      </w:tr>
      <w:tr>
        <w:trPr>
          <w:cantSplit/>
        </w:trPr>
        <w:tc>
          <w:tcPr>
            <w:tcW w:type="dxa" w:w="2469"/>
            <w:tcMar>
              <w:top w:w="70" w:type="dxa"/>
              <w:start w:w="80" w:type="dxa"/>
              <w:bottom w:w="70" w:type="dxa"/>
              <w:end w:w="80" w:type="dxa"/>
            </w:tcMar>
            <w:vAlign w:val="center"/>
          </w:tcPr>
          <w:p>
            <w:pPr>
              <w:keepLines/>
            </w:pPr>
            <w:r>
              <w:t>Distinguish</w:t>
            </w:r>
          </w:p>
        </w:tc>
        <w:tc>
          <w:tcPr>
            <w:tcW w:type="dxa" w:w="2469"/>
            <w:tcMar>
              <w:top w:w="70" w:type="dxa"/>
              <w:start w:w="80" w:type="dxa"/>
              <w:bottom w:w="70" w:type="dxa"/>
              <w:end w:w="80" w:type="dxa"/>
            </w:tcMar>
            <w:vAlign w:val="center"/>
          </w:tcPr>
          <w:p>
            <w:pPr>
              <w:keepLines/>
            </w:pPr>
            <w:r>
              <w:t>Magnet axis and field gradient</w:t>
            </w:r>
          </w:p>
        </w:tc>
        <w:tc>
          <w:tcPr>
            <w:tcW w:type="dxa" w:w="2469"/>
            <w:tcMar>
              <w:top w:w="70" w:type="dxa"/>
              <w:start w:w="80" w:type="dxa"/>
              <w:bottom w:w="70" w:type="dxa"/>
              <w:end w:w="80" w:type="dxa"/>
            </w:tcMar>
            <w:vAlign w:val="center"/>
          </w:tcPr>
          <w:p>
            <w:pPr>
              <w:keepLines/>
            </w:pPr>
            <w:r>
              <w:rPr>
                <w:rFonts w:ascii="Cambria Math" w:hAnsi="Cambria Math"/>
              </w:rPr>
              <w:t>{Π_+,Π_-}</w:t>
            </w:r>
          </w:p>
        </w:tc>
        <w:tc>
          <w:tcPr>
            <w:tcW w:type="dxa" w:w="2469"/>
            <w:tcMar>
              <w:top w:w="70" w:type="dxa"/>
              <w:start w:w="80" w:type="dxa"/>
              <w:bottom w:w="70" w:type="dxa"/>
              <w:end w:w="80" w:type="dxa"/>
            </w:tcMar>
            <w:vAlign w:val="center"/>
          </w:tcPr>
          <w:p>
            <w:pPr>
              <w:keepLines/>
            </w:pPr>
            <w:r>
              <w:t>The z-spin alternatives become the enacted question.</w:t>
            </w:r>
          </w:p>
        </w:tc>
      </w:tr>
      <w:tr>
        <w:trPr>
          <w:cantSplit/>
        </w:trPr>
        <w:tc>
          <w:tcPr>
            <w:tcW w:type="dxa" w:w="2469"/>
            <w:tcMar>
              <w:top w:w="70" w:type="dxa"/>
              <w:start w:w="80" w:type="dxa"/>
              <w:bottom w:w="70" w:type="dxa"/>
              <w:end w:w="80" w:type="dxa"/>
            </w:tcMar>
            <w:vAlign w:val="center"/>
          </w:tcPr>
          <w:p>
            <w:pPr>
              <w:keepLines/>
            </w:pPr>
            <w:r>
              <w:t>Relate</w:t>
            </w:r>
          </w:p>
        </w:tc>
        <w:tc>
          <w:tcPr>
            <w:tcW w:type="dxa" w:w="2469"/>
            <w:tcMar>
              <w:top w:w="70" w:type="dxa"/>
              <w:start w:w="80" w:type="dxa"/>
              <w:bottom w:w="70" w:type="dxa"/>
              <w:end w:w="80" w:type="dxa"/>
            </w:tcMar>
            <w:vAlign w:val="center"/>
          </w:tcPr>
          <w:p>
            <w:pPr>
              <w:keepLines/>
            </w:pPr>
            <w:r>
              <w:t>Magnetic coupling</w:t>
            </w:r>
          </w:p>
        </w:tc>
        <w:tc>
          <w:tcPr>
            <w:tcW w:type="dxa" w:w="2469"/>
            <w:tcMar>
              <w:top w:w="70" w:type="dxa"/>
              <w:start w:w="80" w:type="dxa"/>
              <w:bottom w:w="70" w:type="dxa"/>
              <w:end w:w="80" w:type="dxa"/>
            </w:tcMar>
            <w:vAlign w:val="center"/>
          </w:tcPr>
          <w:p>
            <w:pPr>
              <w:keepLines/>
            </w:pPr>
            <w:r>
              <w:rPr>
                <w:rFonts w:ascii="Cambria Math" w:hAnsi="Cambria Math"/>
              </w:rPr>
              <w:t>H_int = -μ·B</w:t>
            </w:r>
          </w:p>
        </w:tc>
        <w:tc>
          <w:tcPr>
            <w:tcW w:type="dxa" w:w="2469"/>
            <w:tcMar>
              <w:top w:w="70" w:type="dxa"/>
              <w:start w:w="80" w:type="dxa"/>
              <w:bottom w:w="70" w:type="dxa"/>
              <w:end w:w="80" w:type="dxa"/>
            </w:tcMar>
            <w:vAlign w:val="center"/>
          </w:tcPr>
          <w:p>
            <w:pPr>
              <w:keepLines/>
            </w:pPr>
            <w:r>
              <w:t>Spin is linked to translational motion.</w:t>
            </w:r>
          </w:p>
        </w:tc>
      </w:tr>
      <w:tr>
        <w:trPr>
          <w:cantSplit/>
        </w:trPr>
        <w:tc>
          <w:tcPr>
            <w:tcW w:type="dxa" w:w="2469"/>
            <w:tcMar>
              <w:top w:w="70" w:type="dxa"/>
              <w:start w:w="80" w:type="dxa"/>
              <w:bottom w:w="70" w:type="dxa"/>
              <w:end w:w="80" w:type="dxa"/>
            </w:tcMar>
            <w:vAlign w:val="center"/>
          </w:tcPr>
          <w:p>
            <w:pPr>
              <w:keepLines/>
            </w:pPr>
            <w:r>
              <w:t>Propagate</w:t>
            </w:r>
          </w:p>
        </w:tc>
        <w:tc>
          <w:tcPr>
            <w:tcW w:type="dxa" w:w="2469"/>
            <w:tcMar>
              <w:top w:w="70" w:type="dxa"/>
              <w:start w:w="80" w:type="dxa"/>
              <w:bottom w:w="70" w:type="dxa"/>
              <w:end w:w="80" w:type="dxa"/>
            </w:tcMar>
            <w:vAlign w:val="center"/>
          </w:tcPr>
          <w:p>
            <w:pPr>
              <w:keepLines/>
            </w:pPr>
            <w:r>
              <w:t>Magnet plus free flight</w:t>
            </w:r>
          </w:p>
        </w:tc>
        <w:tc>
          <w:tcPr>
            <w:tcW w:type="dxa" w:w="2469"/>
            <w:tcMar>
              <w:top w:w="70" w:type="dxa"/>
              <w:start w:w="80" w:type="dxa"/>
              <w:bottom w:w="70" w:type="dxa"/>
              <w:end w:w="80" w:type="dxa"/>
            </w:tcMar>
            <w:vAlign w:val="center"/>
          </w:tcPr>
          <w:p>
            <w:pPr>
              <w:keepLines/>
            </w:pPr>
            <w:r>
              <w:rPr>
                <w:rFonts w:ascii="Cambria Math" w:hAnsi="Cambria Math"/>
              </w:rPr>
              <w:t>U_SM and |φ_±⟩</w:t>
            </w:r>
          </w:p>
        </w:tc>
        <w:tc>
          <w:tcPr>
            <w:tcW w:type="dxa" w:w="2469"/>
            <w:tcMar>
              <w:top w:w="70" w:type="dxa"/>
              <w:start w:w="80" w:type="dxa"/>
              <w:bottom w:w="70" w:type="dxa"/>
              <w:end w:w="80" w:type="dxa"/>
            </w:tcMar>
            <w:vAlign w:val="center"/>
          </w:tcPr>
          <w:p>
            <w:pPr>
              <w:keepLines/>
            </w:pPr>
            <w:r>
              <w:t>The distinction travels into spatial channels.</w:t>
            </w:r>
          </w:p>
        </w:tc>
      </w:tr>
      <w:tr>
        <w:trPr>
          <w:cantSplit/>
        </w:trPr>
        <w:tc>
          <w:tcPr>
            <w:tcW w:type="dxa" w:w="2469"/>
            <w:tcMar>
              <w:top w:w="70" w:type="dxa"/>
              <w:start w:w="80" w:type="dxa"/>
              <w:bottom w:w="70" w:type="dxa"/>
              <w:end w:w="80" w:type="dxa"/>
            </w:tcMar>
            <w:vAlign w:val="center"/>
          </w:tcPr>
          <w:p>
            <w:pPr>
              <w:keepLines/>
            </w:pPr>
            <w:r>
              <w:t>Resolve</w:t>
            </w:r>
          </w:p>
        </w:tc>
        <w:tc>
          <w:tcPr>
            <w:tcW w:type="dxa" w:w="2469"/>
            <w:tcMar>
              <w:top w:w="70" w:type="dxa"/>
              <w:start w:w="80" w:type="dxa"/>
              <w:bottom w:w="70" w:type="dxa"/>
              <w:end w:w="80" w:type="dxa"/>
            </w:tcMar>
            <w:vAlign w:val="center"/>
          </w:tcPr>
          <w:p>
            <w:pPr>
              <w:keepLines/>
            </w:pPr>
            <w:r>
              <w:t>Wavepacket separation and detector resolution</w:t>
            </w:r>
          </w:p>
        </w:tc>
        <w:tc>
          <w:tcPr>
            <w:tcW w:type="dxa" w:w="2469"/>
            <w:tcMar>
              <w:top w:w="70" w:type="dxa"/>
              <w:start w:w="80" w:type="dxa"/>
              <w:bottom w:w="70" w:type="dxa"/>
              <w:end w:w="80" w:type="dxa"/>
            </w:tcMar>
            <w:vAlign w:val="center"/>
          </w:tcPr>
          <w:p>
            <w:pPr>
              <w:keepLines/>
            </w:pPr>
            <w:r>
              <w:rPr>
                <w:rFonts w:ascii="Cambria Math" w:hAnsi="Cambria Math"/>
              </w:rPr>
              <w:t>|⟨φ_-|φ_+⟩| ≪ 1</w:t>
            </w:r>
          </w:p>
        </w:tc>
        <w:tc>
          <w:tcPr>
            <w:tcW w:type="dxa" w:w="2469"/>
            <w:tcMar>
              <w:top w:w="70" w:type="dxa"/>
              <w:start w:w="80" w:type="dxa"/>
              <w:bottom w:w="70" w:type="dxa"/>
              <w:end w:w="80" w:type="dxa"/>
            </w:tcMar>
            <w:vAlign w:val="center"/>
          </w:tcPr>
          <w:p>
            <w:pPr>
              <w:keepLines/>
            </w:pPr>
            <w:r>
              <w:t>The channels become discriminable.</w:t>
            </w:r>
          </w:p>
        </w:tc>
      </w:tr>
      <w:tr>
        <w:trPr>
          <w:cantSplit/>
        </w:trPr>
        <w:tc>
          <w:tcPr>
            <w:tcW w:type="dxa" w:w="2469"/>
            <w:tcMar>
              <w:top w:w="70" w:type="dxa"/>
              <w:start w:w="80" w:type="dxa"/>
              <w:bottom w:w="70" w:type="dxa"/>
              <w:end w:w="80" w:type="dxa"/>
            </w:tcMar>
            <w:vAlign w:val="center"/>
          </w:tcPr>
          <w:p>
            <w:pPr>
              <w:keepLines/>
            </w:pPr>
            <w:r>
              <w:t>Recurse/Amplify</w:t>
            </w:r>
          </w:p>
        </w:tc>
        <w:tc>
          <w:tcPr>
            <w:tcW w:type="dxa" w:w="2469"/>
            <w:tcMar>
              <w:top w:w="70" w:type="dxa"/>
              <w:start w:w="80" w:type="dxa"/>
              <w:bottom w:w="70" w:type="dxa"/>
              <w:end w:w="80" w:type="dxa"/>
            </w:tcMar>
            <w:vAlign w:val="center"/>
          </w:tcPr>
          <w:p>
            <w:pPr>
              <w:keepLines/>
            </w:pPr>
            <w:r>
              <w:t>Detector, environment, electronics</w:t>
            </w:r>
          </w:p>
        </w:tc>
        <w:tc>
          <w:tcPr>
            <w:tcW w:type="dxa" w:w="2469"/>
            <w:tcMar>
              <w:top w:w="70" w:type="dxa"/>
              <w:start w:w="80" w:type="dxa"/>
              <w:bottom w:w="70" w:type="dxa"/>
              <w:end w:w="80" w:type="dxa"/>
            </w:tcMar>
            <w:vAlign w:val="center"/>
          </w:tcPr>
          <w:p>
            <w:pPr>
              <w:keepLines/>
            </w:pPr>
            <w:r>
              <w:rPr>
                <w:rFonts w:ascii="Cambria Math" w:hAnsi="Cambria Math"/>
              </w:rPr>
              <w:t>|D_±E_±⟩</w:t>
            </w:r>
          </w:p>
        </w:tc>
        <w:tc>
          <w:tcPr>
            <w:tcW w:type="dxa" w:w="2469"/>
            <w:tcMar>
              <w:top w:w="70" w:type="dxa"/>
              <w:start w:w="80" w:type="dxa"/>
              <w:bottom w:w="70" w:type="dxa"/>
              <w:end w:w="80" w:type="dxa"/>
            </w:tcMar>
            <w:vAlign w:val="center"/>
          </w:tcPr>
          <w:p>
            <w:pPr>
              <w:keepLines/>
            </w:pPr>
            <w:r>
              <w:t>The distinction is copied into many later relations.</w:t>
            </w:r>
          </w:p>
        </w:tc>
      </w:tr>
      <w:tr>
        <w:trPr>
          <w:cantSplit/>
        </w:trPr>
        <w:tc>
          <w:tcPr>
            <w:tcW w:type="dxa" w:w="2469"/>
            <w:tcMar>
              <w:top w:w="70" w:type="dxa"/>
              <w:start w:w="80" w:type="dxa"/>
              <w:bottom w:w="70" w:type="dxa"/>
              <w:end w:w="80" w:type="dxa"/>
            </w:tcMar>
            <w:vAlign w:val="center"/>
          </w:tcPr>
          <w:p>
            <w:pPr>
              <w:keepLines/>
            </w:pPr>
            <w:r>
              <w:t>Close</w:t>
            </w:r>
          </w:p>
        </w:tc>
        <w:tc>
          <w:tcPr>
            <w:tcW w:type="dxa" w:w="2469"/>
            <w:tcMar>
              <w:top w:w="70" w:type="dxa"/>
              <w:start w:w="80" w:type="dxa"/>
              <w:bottom w:w="70" w:type="dxa"/>
              <w:end w:w="80" w:type="dxa"/>
            </w:tcMar>
            <w:vAlign w:val="center"/>
          </w:tcPr>
          <w:p>
            <w:pPr>
              <w:keepLines/>
            </w:pPr>
            <w:r>
              <w:t>Stored spot and conditional state</w:t>
            </w:r>
          </w:p>
        </w:tc>
        <w:tc>
          <w:tcPr>
            <w:tcW w:type="dxa" w:w="2469"/>
            <w:tcMar>
              <w:top w:w="70" w:type="dxa"/>
              <w:start w:w="80" w:type="dxa"/>
              <w:bottom w:w="70" w:type="dxa"/>
              <w:end w:w="80" w:type="dxa"/>
            </w:tcMar>
            <w:vAlign w:val="center"/>
          </w:tcPr>
          <w:p>
            <w:pPr>
              <w:keepLines/>
            </w:pPr>
            <w:r>
              <w:rPr>
                <w:rFonts w:ascii="Cambria Math" w:hAnsi="Cambria Math"/>
              </w:rPr>
              <w:t>{p_k,r_k,ρ_{S|k}}</w:t>
            </w:r>
          </w:p>
        </w:tc>
        <w:tc>
          <w:tcPr>
            <w:tcW w:type="dxa" w:w="2469"/>
            <w:tcMar>
              <w:top w:w="70" w:type="dxa"/>
              <w:start w:w="80" w:type="dxa"/>
              <w:bottom w:w="70" w:type="dxa"/>
              <w:end w:w="80" w:type="dxa"/>
            </w:tcMar>
            <w:vAlign w:val="center"/>
          </w:tcPr>
          <w:p>
            <w:pPr>
              <w:keepLines/>
            </w:pPr>
            <w:r>
              <w:t>A retained observer-relative fact.</w:t>
            </w:r>
          </w:p>
        </w:tc>
      </w:tr>
      <w:tr>
        <w:trPr>
          <w:cantSplit/>
        </w:trPr>
        <w:tc>
          <w:tcPr>
            <w:tcW w:type="dxa" w:w="2469"/>
            <w:tcMar>
              <w:top w:w="70" w:type="dxa"/>
              <w:start w:w="80" w:type="dxa"/>
              <w:bottom w:w="70" w:type="dxa"/>
              <w:end w:w="80" w:type="dxa"/>
            </w:tcMar>
            <w:vAlign w:val="center"/>
          </w:tcPr>
          <w:p>
            <w:pPr>
              <w:keepLines/>
            </w:pPr>
            <w:r>
              <w:t>Reflect/Denote</w:t>
            </w:r>
          </w:p>
        </w:tc>
        <w:tc>
          <w:tcPr>
            <w:tcW w:type="dxa" w:w="2469"/>
            <w:tcMar>
              <w:top w:w="70" w:type="dxa"/>
              <w:start w:w="80" w:type="dxa"/>
              <w:bottom w:w="70" w:type="dxa"/>
              <w:end w:w="80" w:type="dxa"/>
            </w:tcMar>
            <w:vAlign w:val="center"/>
          </w:tcPr>
          <w:p>
            <w:pPr>
              <w:keepLines/>
            </w:pPr>
            <w:r>
              <w:t>Human scientific observer</w:t>
            </w:r>
          </w:p>
        </w:tc>
        <w:tc>
          <w:tcPr>
            <w:tcW w:type="dxa" w:w="2469"/>
            <w:tcMar>
              <w:top w:w="70" w:type="dxa"/>
              <w:start w:w="80" w:type="dxa"/>
              <w:bottom w:w="70" w:type="dxa"/>
              <w:end w:w="80" w:type="dxa"/>
            </w:tcMar>
            <w:vAlign w:val="center"/>
          </w:tcPr>
          <w:p>
            <w:pPr>
              <w:keepLines/>
            </w:pPr>
            <w:r>
              <w:rPr>
                <w:rFonts w:ascii="Cambria Math" w:hAnsi="Cambria Math"/>
              </w:rPr>
              <w:t>Λ_H(𝓜,k)</w:t>
            </w:r>
          </w:p>
        </w:tc>
        <w:tc>
          <w:tcPr>
            <w:tcW w:type="dxa" w:w="2469"/>
            <w:tcMar>
              <w:top w:w="70" w:type="dxa"/>
              <w:start w:w="80" w:type="dxa"/>
              <w:bottom w:w="70" w:type="dxa"/>
              <w:end w:w="80" w:type="dxa"/>
            </w:tcMar>
            <w:vAlign w:val="center"/>
          </w:tcPr>
          <w:p>
            <w:pPr>
              <w:keepLines/>
            </w:pPr>
            <w:r>
              <w:t>The observation machinery itself becomes an explicit model.</w:t>
            </w:r>
          </w:p>
        </w:tc>
      </w:tr>
    </w:tbl>
    <w:tbl>
      <w:tblPr>
        <w:tblW w:type="auto" w:w="0"/>
        <w:jc w:val="center"/>
        <w:tblLayout w:type="autofit"/>
        <w:tblLook w:firstColumn="1" w:firstRow="1" w:lastColumn="0" w:lastRow="0" w:noHBand="0" w:noVBand="1" w:val="04A0"/>
      </w:tblPr>
      <w:tblGrid>
        <w:gridCol w:w="9878"/>
      </w:tblGrid>
      <w:tr>
        <w:trPr>
          <w:cantSplit/>
        </w:trPr>
        <w:tc>
          <w:tcPr>
            <w:tcW w:type="dxa" w:w="9878"/>
            <w:shd w:fill="EAF1F8"/>
            <w:tcMar>
              <w:top w:w="180" w:type="dxa"/>
              <w:start w:w="220" w:type="dxa"/>
              <w:bottom w:w="180" w:type="dxa"/>
              <w:end w:w="220" w:type="dxa"/>
            </w:tcMar>
            <w:vAlign w:val="center"/>
          </w:tcPr>
          <w:p>
            <w:pPr>
              <w:keepLines/>
            </w:pPr>
            <w:r>
              <w:rPr>
                <w:b/>
                <w:color w:val="1F4E79"/>
                <w:sz w:val="22"/>
              </w:rPr>
              <w:t>Worked-system conclusion</w:t>
              <w:br/>
            </w:r>
            <w:r>
              <w:rPr>
                <w:sz w:val="21"/>
              </w:rPr>
              <w:t>The observed spin result is not attributable to the atom alone. It is the closure of the atom’s admissible state, the magnet’s selected distinction, the spin-position coupling, free propagation, detector resolution, environmental stabilisation, and the retained record. Human observation adds a model of that entire machinery.</w:t>
            </w:r>
          </w:p>
        </w:tc>
      </w:tr>
    </w:tbl>
    <w:p>
      <w:pPr>
        <w:pStyle w:val="Heading1"/>
      </w:pPr>
      <w:r>
        <w:t>10. Semantic Compression of the Complete Operation</w:t>
      </w:r>
    </w:p>
    <w:p>
      <w:r>
        <w:t>Once the conventional mathematics has been displayed, the entire Stern-Gerlach chain can be compressed without losing its denotation:</w:t>
      </w:r>
    </w:p>
    <w:p>
      <w:pPr>
        <w:pStyle w:val="EquationBlock"/>
        <w:jc w:val="center"/>
      </w:pPr>
      <w:r>
        <w:rPr>
          <w:rFonts w:ascii="Cambria Math" w:hAnsi="Cambria Math" w:eastAsia="Cambria Math"/>
          <w:sz w:val="23"/>
        </w:rPr>
        <w:t>Q[ψ] → D_n → R_{μB} → G_x → V_D → K_E → C_k → Λ_H.</w:t>
      </w:r>
      <w:r>
        <w:rPr>
          <w:rFonts w:ascii="Cambria Math" w:hAnsi="Cambria Math"/>
          <w:sz w:val="20"/>
        </w:rPr>
        <w:t xml:space="preserve">    (33)</w:t>
      </w:r>
    </w:p>
    <w:p>
      <w:r>
        <w:t>The symbols denote</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D9E6F2"/>
            <w:vAlign w:val="center"/>
          </w:tcPr>
          <w:p>
            <w:pPr>
              <w:keepLines/>
            </w:pPr>
            <w:r>
              <w:rPr>
                <w:b/>
              </w:rPr>
              <w:t>Class</w:t>
            </w:r>
          </w:p>
        </w:tc>
        <w:tc>
          <w:tcPr>
            <w:tcW w:type="dxa" w:w="3293"/>
            <w:shd w:fill="D9E6F2"/>
            <w:vAlign w:val="center"/>
          </w:tcPr>
          <w:p>
            <w:pPr>
              <w:keepLines/>
            </w:pPr>
            <w:r>
              <w:rPr>
                <w:b/>
              </w:rPr>
              <w:t>Expanded meaning</w:t>
            </w:r>
          </w:p>
        </w:tc>
        <w:tc>
          <w:tcPr>
            <w:tcW w:type="dxa" w:w="3293"/>
            <w:shd w:fill="D9E6F2"/>
            <w:vAlign w:val="center"/>
          </w:tcPr>
          <w:p>
            <w:pPr>
              <w:keepLines/>
            </w:pPr>
            <w:r>
              <w:rPr>
                <w:b/>
              </w:rPr>
              <w:t>Stern-Gerlach realisation</w:t>
            </w:r>
          </w:p>
        </w:tc>
      </w:tr>
      <w:tr>
        <w:trPr>
          <w:cantSplit/>
        </w:trPr>
        <w:tc>
          <w:tcPr>
            <w:tcW w:type="dxa" w:w="3293"/>
            <w:tcMar>
              <w:top w:w="80" w:type="dxa"/>
              <w:start w:w="100" w:type="dxa"/>
              <w:bottom w:w="80" w:type="dxa"/>
              <w:end w:w="100" w:type="dxa"/>
            </w:tcMar>
            <w:vAlign w:val="center"/>
          </w:tcPr>
          <w:p>
            <w:pPr>
              <w:keepLines/>
            </w:pPr>
            <w:r>
              <w:rPr>
                <w:rFonts w:ascii="Cambria Math" w:hAnsi="Cambria Math"/>
              </w:rPr>
              <w:t>Q[ψ]</w:t>
            </w:r>
          </w:p>
        </w:tc>
        <w:tc>
          <w:tcPr>
            <w:tcW w:type="dxa" w:w="3293"/>
            <w:tcMar>
              <w:top w:w="80" w:type="dxa"/>
              <w:start w:w="100" w:type="dxa"/>
              <w:bottom w:w="80" w:type="dxa"/>
              <w:end w:w="100" w:type="dxa"/>
            </w:tcMar>
            <w:vAlign w:val="center"/>
          </w:tcPr>
          <w:p>
            <w:pPr>
              <w:keepLines/>
            </w:pPr>
            <w:r>
              <w:t>Coherent unresolved admissibility</w:t>
            </w:r>
          </w:p>
        </w:tc>
        <w:tc>
          <w:tcPr>
            <w:tcW w:type="dxa" w:w="3293"/>
            <w:tcMar>
              <w:top w:w="80" w:type="dxa"/>
              <w:start w:w="100" w:type="dxa"/>
              <w:bottom w:w="80" w:type="dxa"/>
              <w:end w:w="100" w:type="dxa"/>
            </w:tcMar>
            <w:vAlign w:val="center"/>
          </w:tcPr>
          <w:p>
            <w:pPr>
              <w:keepLines/>
            </w:pPr>
            <w:r>
              <w:t>Incoming spin state</w:t>
            </w:r>
          </w:p>
        </w:tc>
      </w:tr>
      <w:tr>
        <w:trPr>
          <w:cantSplit/>
        </w:trPr>
        <w:tc>
          <w:tcPr>
            <w:tcW w:type="dxa" w:w="3293"/>
            <w:tcMar>
              <w:top w:w="80" w:type="dxa"/>
              <w:start w:w="100" w:type="dxa"/>
              <w:bottom w:w="80" w:type="dxa"/>
              <w:end w:w="100" w:type="dxa"/>
            </w:tcMar>
            <w:vAlign w:val="center"/>
          </w:tcPr>
          <w:p>
            <w:pPr>
              <w:keepLines/>
            </w:pPr>
            <w:r>
              <w:rPr>
                <w:rFonts w:ascii="Cambria Math" w:hAnsi="Cambria Math"/>
              </w:rPr>
              <w:t>D_n</w:t>
            </w:r>
          </w:p>
        </w:tc>
        <w:tc>
          <w:tcPr>
            <w:tcW w:type="dxa" w:w="3293"/>
            <w:tcMar>
              <w:top w:w="80" w:type="dxa"/>
              <w:start w:w="100" w:type="dxa"/>
              <w:bottom w:w="80" w:type="dxa"/>
              <w:end w:w="100" w:type="dxa"/>
            </w:tcMar>
            <w:vAlign w:val="center"/>
          </w:tcPr>
          <w:p>
            <w:pPr>
              <w:keepLines/>
            </w:pPr>
            <w:r>
              <w:t>Mechanical selection of distinction n</w:t>
            </w:r>
          </w:p>
        </w:tc>
        <w:tc>
          <w:tcPr>
            <w:tcW w:type="dxa" w:w="3293"/>
            <w:tcMar>
              <w:top w:w="80" w:type="dxa"/>
              <w:start w:w="100" w:type="dxa"/>
              <w:bottom w:w="80" w:type="dxa"/>
              <w:end w:w="100" w:type="dxa"/>
            </w:tcMar>
            <w:vAlign w:val="center"/>
          </w:tcPr>
          <w:p>
            <w:pPr>
              <w:keepLines/>
            </w:pPr>
            <w:r>
              <w:t>Magnet orientation</w:t>
            </w:r>
          </w:p>
        </w:tc>
      </w:tr>
      <w:tr>
        <w:trPr>
          <w:cantSplit/>
        </w:trPr>
        <w:tc>
          <w:tcPr>
            <w:tcW w:type="dxa" w:w="3293"/>
            <w:tcMar>
              <w:top w:w="80" w:type="dxa"/>
              <w:start w:w="100" w:type="dxa"/>
              <w:bottom w:w="80" w:type="dxa"/>
              <w:end w:w="100" w:type="dxa"/>
            </w:tcMar>
            <w:vAlign w:val="center"/>
          </w:tcPr>
          <w:p>
            <w:pPr>
              <w:keepLines/>
            </w:pPr>
            <w:r>
              <w:rPr>
                <w:rFonts w:ascii="Cambria Math" w:hAnsi="Cambria Math"/>
              </w:rPr>
              <w:t>R_{μB}</w:t>
            </w:r>
          </w:p>
        </w:tc>
        <w:tc>
          <w:tcPr>
            <w:tcW w:type="dxa" w:w="3293"/>
            <w:tcMar>
              <w:top w:w="80" w:type="dxa"/>
              <w:start w:w="100" w:type="dxa"/>
              <w:bottom w:w="80" w:type="dxa"/>
              <w:end w:w="100" w:type="dxa"/>
            </w:tcMar>
            <w:vAlign w:val="center"/>
          </w:tcPr>
          <w:p>
            <w:pPr>
              <w:keepLines/>
            </w:pPr>
            <w:r>
              <w:t>Physical relation that couples alternatives to channels</w:t>
            </w:r>
          </w:p>
        </w:tc>
        <w:tc>
          <w:tcPr>
            <w:tcW w:type="dxa" w:w="3293"/>
            <w:tcMar>
              <w:top w:w="80" w:type="dxa"/>
              <w:start w:w="100" w:type="dxa"/>
              <w:bottom w:w="80" w:type="dxa"/>
              <w:end w:w="100" w:type="dxa"/>
            </w:tcMar>
            <w:vAlign w:val="center"/>
          </w:tcPr>
          <w:p>
            <w:pPr>
              <w:keepLines/>
            </w:pPr>
            <w:r>
              <w:t>Magnetic interaction</w:t>
            </w:r>
          </w:p>
        </w:tc>
      </w:tr>
      <w:tr>
        <w:trPr>
          <w:cantSplit/>
        </w:trPr>
        <w:tc>
          <w:tcPr>
            <w:tcW w:type="dxa" w:w="3293"/>
            <w:tcMar>
              <w:top w:w="80" w:type="dxa"/>
              <w:start w:w="100" w:type="dxa"/>
              <w:bottom w:w="80" w:type="dxa"/>
              <w:end w:w="100" w:type="dxa"/>
            </w:tcMar>
            <w:vAlign w:val="center"/>
          </w:tcPr>
          <w:p>
            <w:pPr>
              <w:keepLines/>
            </w:pPr>
            <w:r>
              <w:rPr>
                <w:rFonts w:ascii="Cambria Math" w:hAnsi="Cambria Math"/>
              </w:rPr>
              <w:t>G_x</w:t>
            </w:r>
          </w:p>
        </w:tc>
        <w:tc>
          <w:tcPr>
            <w:tcW w:type="dxa" w:w="3293"/>
            <w:tcMar>
              <w:top w:w="80" w:type="dxa"/>
              <w:start w:w="100" w:type="dxa"/>
              <w:bottom w:w="80" w:type="dxa"/>
              <w:end w:w="100" w:type="dxa"/>
            </w:tcMar>
            <w:vAlign w:val="center"/>
          </w:tcPr>
          <w:p>
            <w:pPr>
              <w:keepLines/>
            </w:pPr>
            <w:r>
              <w:t>Propagation into an observable carrier</w:t>
            </w:r>
          </w:p>
        </w:tc>
        <w:tc>
          <w:tcPr>
            <w:tcW w:type="dxa" w:w="3293"/>
            <w:tcMar>
              <w:top w:w="80" w:type="dxa"/>
              <w:start w:w="100" w:type="dxa"/>
              <w:bottom w:w="80" w:type="dxa"/>
              <w:end w:w="100" w:type="dxa"/>
            </w:tcMar>
            <w:vAlign w:val="center"/>
          </w:tcPr>
          <w:p>
            <w:pPr>
              <w:keepLines/>
            </w:pPr>
            <w:r>
              <w:t>Spatial separation</w:t>
            </w:r>
          </w:p>
        </w:tc>
      </w:tr>
      <w:tr>
        <w:trPr>
          <w:cantSplit/>
        </w:trPr>
        <w:tc>
          <w:tcPr>
            <w:tcW w:type="dxa" w:w="3293"/>
            <w:tcMar>
              <w:top w:w="80" w:type="dxa"/>
              <w:start w:w="100" w:type="dxa"/>
              <w:bottom w:w="80" w:type="dxa"/>
              <w:end w:w="100" w:type="dxa"/>
            </w:tcMar>
            <w:vAlign w:val="center"/>
          </w:tcPr>
          <w:p>
            <w:pPr>
              <w:keepLines/>
            </w:pPr>
            <w:r>
              <w:rPr>
                <w:rFonts w:ascii="Cambria Math" w:hAnsi="Cambria Math"/>
              </w:rPr>
              <w:t>V_D</w:t>
            </w:r>
          </w:p>
        </w:tc>
        <w:tc>
          <w:tcPr>
            <w:tcW w:type="dxa" w:w="3293"/>
            <w:tcMar>
              <w:top w:w="80" w:type="dxa"/>
              <w:start w:w="100" w:type="dxa"/>
              <w:bottom w:w="80" w:type="dxa"/>
              <w:end w:w="100" w:type="dxa"/>
            </w:tcMar>
            <w:vAlign w:val="center"/>
          </w:tcPr>
          <w:p>
            <w:pPr>
              <w:keepLines/>
            </w:pPr>
            <w:r>
              <w:t>Resolution by observer machinery</w:t>
            </w:r>
          </w:p>
        </w:tc>
        <w:tc>
          <w:tcPr>
            <w:tcW w:type="dxa" w:w="3293"/>
            <w:tcMar>
              <w:top w:w="80" w:type="dxa"/>
              <w:start w:w="100" w:type="dxa"/>
              <w:bottom w:w="80" w:type="dxa"/>
              <w:end w:w="100" w:type="dxa"/>
            </w:tcMar>
            <w:vAlign w:val="center"/>
          </w:tcPr>
          <w:p>
            <w:pPr>
              <w:keepLines/>
            </w:pPr>
            <w:r>
              <w:t>Detector discriminability</w:t>
            </w:r>
          </w:p>
        </w:tc>
      </w:tr>
      <w:tr>
        <w:trPr>
          <w:cantSplit/>
        </w:trPr>
        <w:tc>
          <w:tcPr>
            <w:tcW w:type="dxa" w:w="3293"/>
            <w:tcMar>
              <w:top w:w="80" w:type="dxa"/>
              <w:start w:w="100" w:type="dxa"/>
              <w:bottom w:w="80" w:type="dxa"/>
              <w:end w:w="100" w:type="dxa"/>
            </w:tcMar>
            <w:vAlign w:val="center"/>
          </w:tcPr>
          <w:p>
            <w:pPr>
              <w:keepLines/>
            </w:pPr>
            <w:r>
              <w:rPr>
                <w:rFonts w:ascii="Cambria Math" w:hAnsi="Cambria Math"/>
              </w:rPr>
              <w:t>K_E</w:t>
            </w:r>
          </w:p>
        </w:tc>
        <w:tc>
          <w:tcPr>
            <w:tcW w:type="dxa" w:w="3293"/>
            <w:tcMar>
              <w:top w:w="80" w:type="dxa"/>
              <w:start w:w="100" w:type="dxa"/>
              <w:bottom w:w="80" w:type="dxa"/>
              <w:end w:w="100" w:type="dxa"/>
            </w:tcMar>
            <w:vAlign w:val="center"/>
          </w:tcPr>
          <w:p>
            <w:pPr>
              <w:keepLines/>
            </w:pPr>
            <w:r>
              <w:t>Recursive retention and environmental stabilisation</w:t>
            </w:r>
          </w:p>
        </w:tc>
        <w:tc>
          <w:tcPr>
            <w:tcW w:type="dxa" w:w="3293"/>
            <w:tcMar>
              <w:top w:w="80" w:type="dxa"/>
              <w:start w:w="100" w:type="dxa"/>
              <w:bottom w:w="80" w:type="dxa"/>
              <w:end w:w="100" w:type="dxa"/>
            </w:tcMar>
            <w:vAlign w:val="center"/>
          </w:tcPr>
          <w:p>
            <w:pPr>
              <w:keepLines/>
            </w:pPr>
            <w:r>
              <w:t>Pointer record plus decoherence</w:t>
            </w:r>
          </w:p>
        </w:tc>
      </w:tr>
      <w:tr>
        <w:trPr>
          <w:cantSplit/>
        </w:trPr>
        <w:tc>
          <w:tcPr>
            <w:tcW w:type="dxa" w:w="3293"/>
            <w:tcMar>
              <w:top w:w="80" w:type="dxa"/>
              <w:start w:w="100" w:type="dxa"/>
              <w:bottom w:w="80" w:type="dxa"/>
              <w:end w:w="100" w:type="dxa"/>
            </w:tcMar>
            <w:vAlign w:val="center"/>
          </w:tcPr>
          <w:p>
            <w:pPr>
              <w:keepLines/>
            </w:pPr>
            <w:r>
              <w:rPr>
                <w:rFonts w:ascii="Cambria Math" w:hAnsi="Cambria Math"/>
              </w:rPr>
              <w:t>C_k</w:t>
            </w:r>
          </w:p>
        </w:tc>
        <w:tc>
          <w:tcPr>
            <w:tcW w:type="dxa" w:w="3293"/>
            <w:tcMar>
              <w:top w:w="80" w:type="dxa"/>
              <w:start w:w="100" w:type="dxa"/>
              <w:bottom w:w="80" w:type="dxa"/>
              <w:end w:w="100" w:type="dxa"/>
            </w:tcMar>
            <w:vAlign w:val="center"/>
          </w:tcPr>
          <w:p>
            <w:pPr>
              <w:keepLines/>
            </w:pPr>
            <w:r>
              <w:t>Closure into outcome k and conditional state</w:t>
            </w:r>
          </w:p>
        </w:tc>
        <w:tc>
          <w:tcPr>
            <w:tcW w:type="dxa" w:w="3293"/>
            <w:tcMar>
              <w:top w:w="80" w:type="dxa"/>
              <w:start w:w="100" w:type="dxa"/>
              <w:bottom w:w="80" w:type="dxa"/>
              <w:end w:w="100" w:type="dxa"/>
            </w:tcMar>
            <w:vAlign w:val="center"/>
          </w:tcPr>
          <w:p>
            <w:pPr>
              <w:keepLines/>
            </w:pPr>
            <w:r>
              <w:t>Stored upper or lower detection</w:t>
            </w:r>
          </w:p>
        </w:tc>
      </w:tr>
      <w:tr>
        <w:trPr>
          <w:cantSplit/>
        </w:trPr>
        <w:tc>
          <w:tcPr>
            <w:tcW w:type="dxa" w:w="3293"/>
            <w:tcMar>
              <w:top w:w="80" w:type="dxa"/>
              <w:start w:w="100" w:type="dxa"/>
              <w:bottom w:w="80" w:type="dxa"/>
              <w:end w:w="100" w:type="dxa"/>
            </w:tcMar>
            <w:vAlign w:val="center"/>
          </w:tcPr>
          <w:p>
            <w:pPr>
              <w:keepLines/>
            </w:pPr>
            <w:r>
              <w:rPr>
                <w:rFonts w:ascii="Cambria Math" w:hAnsi="Cambria Math"/>
              </w:rPr>
              <w:t>Λ_H</w:t>
            </w:r>
          </w:p>
        </w:tc>
        <w:tc>
          <w:tcPr>
            <w:tcW w:type="dxa" w:w="3293"/>
            <w:tcMar>
              <w:top w:w="80" w:type="dxa"/>
              <w:start w:w="100" w:type="dxa"/>
              <w:bottom w:w="80" w:type="dxa"/>
              <w:end w:w="100" w:type="dxa"/>
            </w:tcMar>
            <w:vAlign w:val="center"/>
          </w:tcPr>
          <w:p>
            <w:pPr>
              <w:keepLines/>
            </w:pPr>
            <w:r>
              <w:t>Reflexive semantic denotation</w:t>
            </w:r>
          </w:p>
        </w:tc>
        <w:tc>
          <w:tcPr>
            <w:tcW w:type="dxa" w:w="3293"/>
            <w:tcMar>
              <w:top w:w="80" w:type="dxa"/>
              <w:start w:w="100" w:type="dxa"/>
              <w:bottom w:w="80" w:type="dxa"/>
              <w:end w:w="100" w:type="dxa"/>
            </w:tcMar>
            <w:vAlign w:val="center"/>
          </w:tcPr>
          <w:p>
            <w:pPr>
              <w:keepLines/>
            </w:pPr>
            <w:r>
              <w:t>Human report and mathematical model</w:t>
            </w:r>
          </w:p>
        </w:tc>
      </w:tr>
    </w:tbl>
    <w:p>
      <w:r>
        <w:t>This compression is valid only because every class has been denoted once against the expanded mechanics. It is therefore not a replacement for the mathematics but a reusable relational language for its physical necessity and order.</w:t>
      </w:r>
    </w:p>
    <w:p>
      <w:pPr>
        <w:pStyle w:val="Heading1"/>
      </w:pPr>
      <w:r>
        <w:t>11. Consequences and Limits</w:t>
      </w:r>
    </w:p>
    <w:p>
      <w:pPr>
        <w:pStyle w:val="Heading2"/>
      </w:pPr>
      <w:r>
        <w:t>11.1 Superposition is related to reality through observation machinery</w:t>
      </w:r>
    </w:p>
    <w:p>
      <w:r>
        <w:t>Superposition is not a pre-reality fiction. It is the unresolved physical account retained before a mechanically stable distinction exists for a given observer. Mechanical observation maps that account into a family of possible records and conditional states:</w:t>
      </w:r>
    </w:p>
    <w:p>
      <w:pPr>
        <w:pStyle w:val="EquationBlock"/>
        <w:jc w:val="center"/>
      </w:pPr>
      <w:r>
        <w:rPr>
          <w:rFonts w:ascii="Cambria Math" w:hAnsi="Cambria Math" w:eastAsia="Cambria Math"/>
          <w:sz w:val="23"/>
        </w:rPr>
        <w:t>ρ_S  ──𝓜_O──▶  {p_k, r_k, ρ_{S|k}}.</w:t>
      </w:r>
      <w:r>
        <w:rPr>
          <w:rFonts w:ascii="Cambria Math" w:hAnsi="Cambria Math"/>
          <w:sz w:val="20"/>
        </w:rPr>
        <w:t xml:space="preserve">    (34)</w:t>
      </w:r>
    </w:p>
    <w:p>
      <w:pPr>
        <w:pStyle w:val="Heading2"/>
      </w:pPr>
      <w:r>
        <w:t>11.2 Reality is observer-relative without being arbitrary</w:t>
      </w:r>
    </w:p>
    <w:p>
      <w:r>
        <w:t>A record is relative to an observer architecture, but it is not freely invented. The state, coupling, conservation laws, detector thresholds, and environmental dynamics constrain what records can occur. Relativity here means physically indexed, not subjective whim.</w:t>
      </w:r>
    </w:p>
    <w:p>
      <w:pPr>
        <w:pStyle w:val="Heading2"/>
      </w:pPr>
      <w:r>
        <w:t>11.3 Mechanical observation does not require consciousness</w:t>
      </w:r>
    </w:p>
    <w:p>
      <w:r>
        <w:t>The detector record can form before any human reads it. Human consciousness enters as a higher-order, reflexive, semantically expressive observer architecture. This preserves a physical account of measurement while giving human observation genuinely additional structure.</w:t>
      </w:r>
    </w:p>
    <w:p>
      <w:pPr>
        <w:pStyle w:val="Heading2"/>
      </w:pPr>
      <w:r>
        <w:t>11.4 Decoherence is not silently equated with a complete interpretation</w:t>
      </w:r>
    </w:p>
    <w:p>
      <w:r>
        <w:t>The paper uses decoherence to explain stable pointer records and effective loss of locally accessible interference. It does not assume that decoherence alone settles every question about unique global outcomes. The Principles of Observation and Mechanical Observation are intended as common operational machinery beneath competing interpretations, not as an unsupported declaration that all interpretive questions have vanished.</w:t>
      </w:r>
    </w:p>
    <w:p>
      <w:pPr>
        <w:pStyle w:val="Heading2"/>
      </w:pPr>
      <w:r>
        <w:t>11.5 Testable use of the framework</w:t>
      </w:r>
    </w:p>
    <w:p>
      <w:r>
        <w:t>The principles become scientifically productive when they expose a missing observer component, predict how changing observer architecture changes the measurable distinction, or prove that two apparently equivalent measurement descriptions do not preserve the same complete logical action. Candidate tests include imperfect detector resolution, weak measurement, delayed readout, measurement-chain reversibility, and quantum-reference-frame changes.</w:t>
      </w:r>
    </w:p>
    <w:p>
      <w:pPr>
        <w:pStyle w:val="Heading1"/>
      </w:pPr>
      <w:r>
        <w:t>12. Formal Summary and Research Programme</w:t>
      </w:r>
    </w:p>
    <w:tbl>
      <w:tblPr>
        <w:tblW w:type="auto" w:w="0"/>
        <w:jc w:val="center"/>
        <w:tblLook w:firstColumn="1" w:firstRow="1" w:lastColumn="0" w:lastRow="0" w:noHBand="0" w:noVBand="1" w:val="04A0"/>
      </w:tblPr>
      <w:tblGrid>
        <w:gridCol w:w="9878"/>
      </w:tblGrid>
      <w:tr>
        <w:trPr>
          <w:cantSplit/>
        </w:trPr>
        <w:tc>
          <w:tcPr>
            <w:tcW w:type="dxa" w:w="9878"/>
            <w:shd w:fill="F3F6F9"/>
            <w:tcMar>
              <w:top w:w="160" w:type="dxa"/>
              <w:start w:w="200" w:type="dxa"/>
              <w:bottom w:w="160" w:type="dxa"/>
              <w:end w:w="200" w:type="dxa"/>
            </w:tcMar>
            <w:vAlign w:val="center"/>
          </w:tcPr>
          <w:p>
            <w:pPr>
              <w:keepLines/>
            </w:pPr>
            <w:r>
              <w:rPr>
                <w:b/>
                <w:color w:val="2C3E50"/>
                <w:sz w:val="21"/>
              </w:rPr>
              <w:t>PO - universal observation</w:t>
            </w:r>
            <w:r>
              <w:rPr>
                <w:sz w:val="20"/>
              </w:rPr>
              <w:br/>
              <w:t>A distinction becomes physically accountable relative to another system through relation, persistence, and closure.</w:t>
            </w:r>
          </w:p>
          <w:p>
            <w:pPr>
              <w:keepLines/>
              <w:jc w:val="center"/>
            </w:pPr>
            <w:r>
              <w:rPr>
                <w:rFonts w:ascii="Cambria Math" w:hAnsi="Cambria Math" w:eastAsia="Cambria Math"/>
                <w:sz w:val="22"/>
              </w:rPr>
              <w:t>𝔒_{O←S} = 𝒞_O ∘ 𝒫_O ∘ ℛ_{OS} ∘ 𝒟_O(S).</w:t>
            </w:r>
          </w:p>
        </w:tc>
      </w:tr>
    </w:tbl>
    <w:tbl>
      <w:tblPr>
        <w:tblW w:type="auto" w:w="0"/>
        <w:jc w:val="center"/>
        <w:tblLook w:firstColumn="1" w:firstRow="1" w:lastColumn="0" w:lastRow="0" w:noHBand="0" w:noVBand="1" w:val="04A0"/>
      </w:tblPr>
      <w:tblGrid>
        <w:gridCol w:w="9878"/>
      </w:tblGrid>
      <w:tr>
        <w:trPr>
          <w:cantSplit/>
        </w:trPr>
        <w:tc>
          <w:tcPr>
            <w:tcW w:type="dxa" w:w="9878"/>
            <w:shd w:fill="F3F6F9"/>
            <w:tcMar>
              <w:top w:w="160" w:type="dxa"/>
              <w:start w:w="200" w:type="dxa"/>
              <w:bottom w:w="160" w:type="dxa"/>
              <w:end w:w="200" w:type="dxa"/>
            </w:tcMar>
            <w:vAlign w:val="center"/>
          </w:tcPr>
          <w:p>
            <w:pPr>
              <w:keepLines/>
            </w:pPr>
            <w:r>
              <w:rPr>
                <w:b/>
                <w:color w:val="2C3E50"/>
                <w:sz w:val="21"/>
              </w:rPr>
              <w:t>PMO - structured observation</w:t>
            </w:r>
            <w:r>
              <w:rPr>
                <w:sz w:val="20"/>
              </w:rPr>
              <w:br/>
              <w:t>An observer architecture converts admissible system distinctions into stable records through prepared machinery, channel-defining coupling, propagation, resolution, amplification, and record production.</w:t>
            </w:r>
          </w:p>
          <w:p>
            <w:pPr>
              <w:keepLines/>
              <w:jc w:val="center"/>
            </w:pPr>
            <w:r>
              <w:rPr>
                <w:rFonts w:ascii="Cambria Math" w:hAnsi="Cambria Math" w:eastAsia="Cambria Math"/>
                <w:sz w:val="22"/>
              </w:rPr>
              <w:t>𝔒^{mech}_{O←S} = 𝒞_O ∘ ℛec_O ∘ 𝒜_O ∘ 𝒫roj_O ∘ 𝒰_{SM}.</w:t>
            </w:r>
          </w:p>
        </w:tc>
      </w:tr>
    </w:tbl>
    <w:tbl>
      <w:tblPr>
        <w:tblW w:type="auto" w:w="0"/>
        <w:jc w:val="center"/>
        <w:tblLook w:firstColumn="1" w:firstRow="1" w:lastColumn="0" w:lastRow="0" w:noHBand="0" w:noVBand="1" w:val="04A0"/>
      </w:tblPr>
      <w:tblGrid>
        <w:gridCol w:w="9878"/>
      </w:tblGrid>
      <w:tr>
        <w:trPr>
          <w:cantSplit/>
        </w:trPr>
        <w:tc>
          <w:tcPr>
            <w:tcW w:type="dxa" w:w="9878"/>
            <w:shd w:fill="F3F6F9"/>
            <w:tcMar>
              <w:top w:w="160" w:type="dxa"/>
              <w:start w:w="200" w:type="dxa"/>
              <w:bottom w:w="160" w:type="dxa"/>
              <w:end w:w="200" w:type="dxa"/>
            </w:tcMar>
            <w:vAlign w:val="center"/>
          </w:tcPr>
          <w:p>
            <w:pPr>
              <w:keepLines/>
            </w:pPr>
            <w:r>
              <w:rPr>
                <w:b/>
                <w:color w:val="2C3E50"/>
                <w:sz w:val="21"/>
              </w:rPr>
              <w:t>Human reflexive observation</w:t>
            </w:r>
            <w:r>
              <w:rPr>
                <w:sz w:val="20"/>
              </w:rPr>
              <w:br/>
              <w:t>A mechanical observation whose record and machinery can be recursively modelled and semantically denoted by the observer.</w:t>
            </w:r>
          </w:p>
          <w:p>
            <w:pPr>
              <w:keepLines/>
              <w:jc w:val="center"/>
            </w:pPr>
            <w:r>
              <w:rPr>
                <w:rFonts w:ascii="Cambria Math" w:hAnsi="Cambria Math" w:eastAsia="Cambria Math"/>
                <w:sz w:val="22"/>
              </w:rPr>
              <w:t>𝔒_H^(2)(S) = Λ_H ∘ Rec_H ∘ 𝔒_{H←S}^{mech}.</w:t>
            </w:r>
          </w:p>
        </w:tc>
      </w:tr>
    </w:tbl>
    <w:p>
      <w:r>
        <w:t>The complete proposed quantum-to-reality operation is</w:t>
      </w:r>
    </w:p>
    <w:p>
      <w:pPr>
        <w:pStyle w:val="EquationBlock"/>
        <w:jc w:val="center"/>
      </w:pPr>
      <w:r>
        <w:rPr>
          <w:rFonts w:ascii="Cambria Math" w:hAnsi="Cambria Math" w:eastAsia="Cambria Math"/>
          <w:sz w:val="23"/>
        </w:rPr>
        <w:t>Admissible logical actions → coherent state → observer-selected distinction → system-machinery entanglement → propagated record channels → decoherent stabilisation → observer-relative fact → reflexive semantic model.</w:t>
      </w:r>
      <w:r>
        <w:rPr>
          <w:rFonts w:ascii="Cambria Math" w:hAnsi="Cambria Math"/>
          <w:sz w:val="20"/>
        </w:rPr>
        <w:t xml:space="preserve">    (35)</w:t>
      </w:r>
    </w:p>
    <w:p>
      <w:r>
        <w:t>The next mathematical work is to:</w:t>
      </w:r>
    </w:p>
    <w:p>
      <w:pPr>
        <w:pStyle w:val="ListNumber"/>
      </w:pPr>
      <w:r>
        <w:t>Classify observer architectures by the distinctions they can physically enact.</w:t>
      </w:r>
    </w:p>
    <w:p>
      <w:pPr>
        <w:pStyle w:val="ListNumber"/>
      </w:pPr>
      <w:r>
        <w:t>Define equivalence of observation machinery under the Principle of Equivalent Action.</w:t>
      </w:r>
    </w:p>
    <w:p>
      <w:pPr>
        <w:pStyle w:val="ListNumber"/>
      </w:pPr>
      <w:r>
        <w:t>Use the Principle of Logical Action to distinguish apparatuses that give the same probabilities but different disturbance, memory, topology, or causal order.</w:t>
      </w:r>
    </w:p>
    <w:p>
      <w:pPr>
        <w:pStyle w:val="ListNumber"/>
      </w:pPr>
      <w:r>
        <w:t>Develop a relational normal form for quantum instruments and measurement chains.</w:t>
      </w:r>
    </w:p>
    <w:p>
      <w:pPr>
        <w:pStyle w:val="ListNumber"/>
      </w:pPr>
      <w:r>
        <w:t>Apply the framework to continuous measurement, field detection, gravitational observation, and human sensory systems.</w:t>
      </w:r>
    </w:p>
    <w:p>
      <w:pPr>
        <w:pStyle w:val="ListNumber"/>
      </w:pPr>
      <w:r>
        <w:t>Test whether the observer hierarchy provides a common bridge between quantum measurement, relational state attribution, and classical record formation.</w:t>
      </w:r>
    </w:p>
    <w:tbl>
      <w:tblPr>
        <w:tblW w:type="auto" w:w="0"/>
        <w:jc w:val="center"/>
        <w:tblLayout w:type="autofit"/>
        <w:tblLook w:firstColumn="1" w:firstRow="1" w:lastColumn="0" w:lastRow="0" w:noHBand="0" w:noVBand="1" w:val="04A0"/>
      </w:tblPr>
      <w:tblGrid>
        <w:gridCol w:w="9878"/>
      </w:tblGrid>
      <w:tr>
        <w:trPr>
          <w:cantSplit/>
        </w:trPr>
        <w:tc>
          <w:tcPr>
            <w:tcW w:type="dxa" w:w="9878"/>
            <w:shd w:fill="EAF1F8"/>
            <w:tcMar>
              <w:top w:w="180" w:type="dxa"/>
              <w:start w:w="220" w:type="dxa"/>
              <w:bottom w:w="180" w:type="dxa"/>
              <w:end w:w="220" w:type="dxa"/>
            </w:tcMar>
            <w:vAlign w:val="center"/>
          </w:tcPr>
          <w:p>
            <w:pPr>
              <w:keepLines/>
            </w:pPr>
            <w:r>
              <w:rPr>
                <w:b/>
                <w:color w:val="1F4E79"/>
                <w:sz w:val="22"/>
              </w:rPr>
              <w:t>Final statement</w:t>
              <w:br/>
            </w:r>
            <w:r>
              <w:rPr>
                <w:sz w:val="21"/>
              </w:rPr>
              <w:t>Superposition is unresolved admissible reality. Observation is the production of a retained distinction relative to another system. Mechanical observation is the physical machinery that makes the distinction discriminable and persistent. Human scientific observation is the recursive capacity to make that machinery itself observable and mathematically denotable.</w:t>
            </w:r>
          </w:p>
        </w:tc>
      </w:tr>
    </w:tbl>
    <w:p>
      <w:pPr>
        <w:pStyle w:val="Heading1"/>
      </w:pPr>
      <w:r>
        <w:t>References</w:t>
      </w:r>
    </w:p>
    <w:p>
      <w:pPr>
        <w:spacing w:after="80"/>
        <w:ind w:left="360" w:hanging="360"/>
      </w:pPr>
      <w:r>
        <w:rPr>
          <w:sz w:val="18"/>
        </w:rPr>
        <w:t>[1] C. Rovelli, “Relational Quantum Mechanics,” International Journal of Theoretical Physics 35, 1637-1678 (1996); arXiv:quant-ph/9609002.</w:t>
      </w:r>
    </w:p>
    <w:p>
      <w:pPr>
        <w:spacing w:after="80"/>
        <w:ind w:left="360" w:hanging="360"/>
      </w:pPr>
      <w:r>
        <w:rPr>
          <w:sz w:val="18"/>
        </w:rPr>
        <w:t>[2] W. H. Zurek, “Decoherence, einselection, and the quantum origins of the classical,” Reviews of Modern Physics 75, 715-775 (2003); arXiv:quant-ph/0105127.</w:t>
      </w:r>
    </w:p>
    <w:p>
      <w:pPr>
        <w:spacing w:after="80"/>
        <w:ind w:left="360" w:hanging="360"/>
      </w:pPr>
      <w:r>
        <w:rPr>
          <w:sz w:val="18"/>
        </w:rPr>
        <w:t>[3] M. Ozawa, “Quantum Measurement Theory for Systems with Finite Dimensional State Spaces,” arXiv:2110.03219 (2021); see also K. Okamura and M. Ozawa, “Measurement theory in local quantum physics,” Journal of Mathematical Physics 57, 015209 (2016); arXiv:1501.00239.</w:t>
      </w:r>
    </w:p>
    <w:p>
      <w:pPr>
        <w:spacing w:after="80"/>
        <w:ind w:left="360" w:hanging="360"/>
      </w:pPr>
      <w:r>
        <w:rPr>
          <w:sz w:val="18"/>
        </w:rPr>
        <w:t>[4] A. Reddy, J. Samuel, K. Shivam, and S. Sinha, “Coarse Quantum Measurement: An analysis of the Stern Gerlach experiment,” arXiv:1509.09024 (2015).</w:t>
      </w:r>
    </w:p>
    <w:p>
      <w:pPr>
        <w:spacing w:after="80"/>
        <w:ind w:left="360" w:hanging="360"/>
      </w:pPr>
      <w:r>
        <w:rPr>
          <w:sz w:val="18"/>
        </w:rPr>
        <w:t>[5] A. Venugopalan, D. Kumar, and R. Ghosh, “Analysis of the Stern-Gerlach Measurement,” arXiv:quant-ph/9501022 (1995).</w:t>
      </w:r>
    </w:p>
    <w:p>
      <w:pPr>
        <w:pStyle w:val="Heading1"/>
      </w:pPr>
      <w:r>
        <w:t>Appendix A. Compact Notation Ledger</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D9E6F2"/>
            <w:vAlign w:val="center"/>
          </w:tcPr>
          <w:p>
            <w:pPr>
              <w:keepLines/>
            </w:pPr>
            <w:r>
              <w:rPr>
                <w:b/>
              </w:rPr>
              <w:t>Symbol</w:t>
            </w:r>
          </w:p>
        </w:tc>
        <w:tc>
          <w:tcPr>
            <w:tcW w:type="dxa" w:w="3293"/>
            <w:shd w:fill="D9E6F2"/>
            <w:vAlign w:val="center"/>
          </w:tcPr>
          <w:p>
            <w:pPr>
              <w:keepLines/>
            </w:pPr>
            <w:r>
              <w:rPr>
                <w:b/>
              </w:rPr>
              <w:t>Name</w:t>
            </w:r>
          </w:p>
        </w:tc>
        <w:tc>
          <w:tcPr>
            <w:tcW w:type="dxa" w:w="3293"/>
            <w:shd w:fill="D9E6F2"/>
            <w:vAlign w:val="center"/>
          </w:tcPr>
          <w:p>
            <w:pPr>
              <w:keepLines/>
            </w:pPr>
            <w:r>
              <w:rPr>
                <w:b/>
              </w:rPr>
              <w:t>Operational definition</w:t>
            </w:r>
          </w:p>
        </w:tc>
      </w:tr>
      <w:tr>
        <w:trPr>
          <w:cantSplit/>
        </w:trPr>
        <w:tc>
          <w:tcPr>
            <w:tcW w:type="dxa" w:w="3293"/>
            <w:tcMar>
              <w:top w:w="75" w:type="dxa"/>
              <w:start w:w="90" w:type="dxa"/>
              <w:bottom w:w="75" w:type="dxa"/>
              <w:end w:w="90" w:type="dxa"/>
            </w:tcMar>
            <w:vAlign w:val="center"/>
          </w:tcPr>
          <w:p>
            <w:pPr>
              <w:keepLines/>
            </w:pPr>
            <w:r>
              <w:rPr>
                <w:rFonts w:ascii="Cambria Math" w:hAnsi="Cambria Math"/>
              </w:rPr>
              <w:t>𝔒</w:t>
            </w:r>
          </w:p>
        </w:tc>
        <w:tc>
          <w:tcPr>
            <w:tcW w:type="dxa" w:w="3293"/>
            <w:tcMar>
              <w:top w:w="75" w:type="dxa"/>
              <w:start w:w="90" w:type="dxa"/>
              <w:bottom w:w="75" w:type="dxa"/>
              <w:end w:w="90" w:type="dxa"/>
            </w:tcMar>
            <w:vAlign w:val="center"/>
          </w:tcPr>
          <w:p>
            <w:pPr>
              <w:keepLines/>
            </w:pPr>
            <w:r>
              <w:t>Observation</w:t>
            </w:r>
          </w:p>
        </w:tc>
        <w:tc>
          <w:tcPr>
            <w:tcW w:type="dxa" w:w="3293"/>
            <w:tcMar>
              <w:top w:w="75" w:type="dxa"/>
              <w:start w:w="90" w:type="dxa"/>
              <w:bottom w:w="75" w:type="dxa"/>
              <w:end w:w="90" w:type="dxa"/>
            </w:tcMar>
            <w:vAlign w:val="center"/>
          </w:tcPr>
          <w:p>
            <w:pPr>
              <w:keepLines/>
            </w:pPr>
            <w:r>
              <w:t>Retained observer-relative distinction.</w:t>
            </w:r>
          </w:p>
        </w:tc>
      </w:tr>
      <w:tr>
        <w:trPr>
          <w:cantSplit/>
        </w:trPr>
        <w:tc>
          <w:tcPr>
            <w:tcW w:type="dxa" w:w="3293"/>
            <w:tcMar>
              <w:top w:w="75" w:type="dxa"/>
              <w:start w:w="90" w:type="dxa"/>
              <w:bottom w:w="75" w:type="dxa"/>
              <w:end w:w="90" w:type="dxa"/>
            </w:tcMar>
            <w:vAlign w:val="center"/>
          </w:tcPr>
          <w:p>
            <w:pPr>
              <w:keepLines/>
            </w:pPr>
            <w:r>
              <w:rPr>
                <w:rFonts w:ascii="Cambria Math" w:hAnsi="Cambria Math"/>
              </w:rPr>
              <w:t>𝔒^mech</w:t>
            </w:r>
          </w:p>
        </w:tc>
        <w:tc>
          <w:tcPr>
            <w:tcW w:type="dxa" w:w="3293"/>
            <w:tcMar>
              <w:top w:w="75" w:type="dxa"/>
              <w:start w:w="90" w:type="dxa"/>
              <w:bottom w:w="75" w:type="dxa"/>
              <w:end w:w="90" w:type="dxa"/>
            </w:tcMar>
            <w:vAlign w:val="center"/>
          </w:tcPr>
          <w:p>
            <w:pPr>
              <w:keepLines/>
            </w:pPr>
            <w:r>
              <w:t>Mechanical observation</w:t>
            </w:r>
          </w:p>
        </w:tc>
        <w:tc>
          <w:tcPr>
            <w:tcW w:type="dxa" w:w="3293"/>
            <w:tcMar>
              <w:top w:w="75" w:type="dxa"/>
              <w:start w:w="90" w:type="dxa"/>
              <w:bottom w:w="75" w:type="dxa"/>
              <w:end w:w="90" w:type="dxa"/>
            </w:tcMar>
            <w:vAlign w:val="center"/>
          </w:tcPr>
          <w:p>
            <w:pPr>
              <w:keepLines/>
            </w:pPr>
            <w:r>
              <w:t>Structured state-to-record conversion by observer machinery.</w:t>
            </w:r>
          </w:p>
        </w:tc>
      </w:tr>
      <w:tr>
        <w:trPr>
          <w:cantSplit/>
        </w:trPr>
        <w:tc>
          <w:tcPr>
            <w:tcW w:type="dxa" w:w="3293"/>
            <w:tcMar>
              <w:top w:w="75" w:type="dxa"/>
              <w:start w:w="90" w:type="dxa"/>
              <w:bottom w:w="75" w:type="dxa"/>
              <w:end w:w="90" w:type="dxa"/>
            </w:tcMar>
            <w:vAlign w:val="center"/>
          </w:tcPr>
          <w:p>
            <w:pPr>
              <w:keepLines/>
            </w:pPr>
            <w:r>
              <w:rPr>
                <w:rFonts w:ascii="Cambria Math" w:hAnsi="Cambria Math"/>
              </w:rPr>
              <w:t>𝓜_O</w:t>
            </w:r>
          </w:p>
        </w:tc>
        <w:tc>
          <w:tcPr>
            <w:tcW w:type="dxa" w:w="3293"/>
            <w:tcMar>
              <w:top w:w="75" w:type="dxa"/>
              <w:start w:w="90" w:type="dxa"/>
              <w:bottom w:w="75" w:type="dxa"/>
              <w:end w:w="90" w:type="dxa"/>
            </w:tcMar>
            <w:vAlign w:val="center"/>
          </w:tcPr>
          <w:p>
            <w:pPr>
              <w:keepLines/>
            </w:pPr>
            <w:r>
              <w:t>Observer architecture</w:t>
            </w:r>
          </w:p>
        </w:tc>
        <w:tc>
          <w:tcPr>
            <w:tcW w:type="dxa" w:w="3293"/>
            <w:tcMar>
              <w:top w:w="75" w:type="dxa"/>
              <w:start w:w="90" w:type="dxa"/>
              <w:bottom w:w="75" w:type="dxa"/>
              <w:end w:w="90" w:type="dxa"/>
            </w:tcMar>
            <w:vAlign w:val="center"/>
          </w:tcPr>
          <w:p>
            <w:pPr>
              <w:keepLines/>
            </w:pPr>
            <w:r>
              <w:t>Ready state, coupling, channels, amplification, and record structure.</w:t>
            </w:r>
          </w:p>
        </w:tc>
      </w:tr>
      <w:tr>
        <w:trPr>
          <w:cantSplit/>
        </w:trPr>
        <w:tc>
          <w:tcPr>
            <w:tcW w:type="dxa" w:w="3293"/>
            <w:tcMar>
              <w:top w:w="75" w:type="dxa"/>
              <w:start w:w="90" w:type="dxa"/>
              <w:bottom w:w="75" w:type="dxa"/>
              <w:end w:w="90" w:type="dxa"/>
            </w:tcMar>
            <w:vAlign w:val="center"/>
          </w:tcPr>
          <w:p>
            <w:pPr>
              <w:keepLines/>
            </w:pPr>
            <w:r>
              <w:rPr>
                <w:rFonts w:ascii="Cambria Math" w:hAnsi="Cambria Math"/>
              </w:rPr>
              <w:t>Q[ψ]</w:t>
            </w:r>
          </w:p>
        </w:tc>
        <w:tc>
          <w:tcPr>
            <w:tcW w:type="dxa" w:w="3293"/>
            <w:tcMar>
              <w:top w:w="75" w:type="dxa"/>
              <w:start w:w="90" w:type="dxa"/>
              <w:bottom w:w="75" w:type="dxa"/>
              <w:end w:w="90" w:type="dxa"/>
            </w:tcMar>
            <w:vAlign w:val="center"/>
          </w:tcPr>
          <w:p>
            <w:pPr>
              <w:keepLines/>
            </w:pPr>
            <w:r>
              <w:t>Unresolved admissibility</w:t>
            </w:r>
          </w:p>
        </w:tc>
        <w:tc>
          <w:tcPr>
            <w:tcW w:type="dxa" w:w="3293"/>
            <w:tcMar>
              <w:top w:w="75" w:type="dxa"/>
              <w:start w:w="90" w:type="dxa"/>
              <w:bottom w:w="75" w:type="dxa"/>
              <w:end w:w="90" w:type="dxa"/>
            </w:tcMar>
            <w:vAlign w:val="center"/>
          </w:tcPr>
          <w:p>
            <w:pPr>
              <w:keepLines/>
            </w:pPr>
            <w:r>
              <w:t>Coherent account of available logical actions.</w:t>
            </w:r>
          </w:p>
        </w:tc>
      </w:tr>
      <w:tr>
        <w:trPr>
          <w:cantSplit/>
        </w:trPr>
        <w:tc>
          <w:tcPr>
            <w:tcW w:type="dxa" w:w="3293"/>
            <w:tcMar>
              <w:top w:w="75" w:type="dxa"/>
              <w:start w:w="90" w:type="dxa"/>
              <w:bottom w:w="75" w:type="dxa"/>
              <w:end w:w="90" w:type="dxa"/>
            </w:tcMar>
            <w:vAlign w:val="center"/>
          </w:tcPr>
          <w:p>
            <w:pPr>
              <w:keepLines/>
            </w:pPr>
            <w:r>
              <w:rPr>
                <w:rFonts w:ascii="Cambria Math" w:hAnsi="Cambria Math"/>
              </w:rPr>
              <w:t>D_n</w:t>
            </w:r>
          </w:p>
        </w:tc>
        <w:tc>
          <w:tcPr>
            <w:tcW w:type="dxa" w:w="3293"/>
            <w:tcMar>
              <w:top w:w="75" w:type="dxa"/>
              <w:start w:w="90" w:type="dxa"/>
              <w:bottom w:w="75" w:type="dxa"/>
              <w:end w:w="90" w:type="dxa"/>
            </w:tcMar>
            <w:vAlign w:val="center"/>
          </w:tcPr>
          <w:p>
            <w:pPr>
              <w:keepLines/>
            </w:pPr>
            <w:r>
              <w:t>Mechanical distinction</w:t>
            </w:r>
          </w:p>
        </w:tc>
        <w:tc>
          <w:tcPr>
            <w:tcW w:type="dxa" w:w="3293"/>
            <w:tcMar>
              <w:top w:w="75" w:type="dxa"/>
              <w:start w:w="90" w:type="dxa"/>
              <w:bottom w:w="75" w:type="dxa"/>
              <w:end w:w="90" w:type="dxa"/>
            </w:tcMar>
            <w:vAlign w:val="center"/>
          </w:tcPr>
          <w:p>
            <w:pPr>
              <w:keepLines/>
            </w:pPr>
            <w:r>
              <w:t>Question physically selected by machinery orientation or basis.</w:t>
            </w:r>
          </w:p>
        </w:tc>
      </w:tr>
      <w:tr>
        <w:trPr>
          <w:cantSplit/>
        </w:trPr>
        <w:tc>
          <w:tcPr>
            <w:tcW w:type="dxa" w:w="3293"/>
            <w:tcMar>
              <w:top w:w="75" w:type="dxa"/>
              <w:start w:w="90" w:type="dxa"/>
              <w:bottom w:w="75" w:type="dxa"/>
              <w:end w:w="90" w:type="dxa"/>
            </w:tcMar>
            <w:vAlign w:val="center"/>
          </w:tcPr>
          <w:p>
            <w:pPr>
              <w:keepLines/>
            </w:pPr>
            <w:r>
              <w:rPr>
                <w:rFonts w:ascii="Cambria Math" w:hAnsi="Cambria Math"/>
              </w:rPr>
              <w:t>R</w:t>
            </w:r>
          </w:p>
        </w:tc>
        <w:tc>
          <w:tcPr>
            <w:tcW w:type="dxa" w:w="3293"/>
            <w:tcMar>
              <w:top w:w="75" w:type="dxa"/>
              <w:start w:w="90" w:type="dxa"/>
              <w:bottom w:w="75" w:type="dxa"/>
              <w:end w:w="90" w:type="dxa"/>
            </w:tcMar>
            <w:vAlign w:val="center"/>
          </w:tcPr>
          <w:p>
            <w:pPr>
              <w:keepLines/>
            </w:pPr>
            <w:r>
              <w:t>Relation</w:t>
            </w:r>
          </w:p>
        </w:tc>
        <w:tc>
          <w:tcPr>
            <w:tcW w:type="dxa" w:w="3293"/>
            <w:tcMar>
              <w:top w:w="75" w:type="dxa"/>
              <w:start w:w="90" w:type="dxa"/>
              <w:bottom w:w="75" w:type="dxa"/>
              <w:end w:w="90" w:type="dxa"/>
            </w:tcMar>
            <w:vAlign w:val="center"/>
          </w:tcPr>
          <w:p>
            <w:pPr>
              <w:keepLines/>
            </w:pPr>
            <w:r>
              <w:t>Coupling through which alternatives become reachable channels.</w:t>
            </w:r>
          </w:p>
        </w:tc>
      </w:tr>
      <w:tr>
        <w:trPr>
          <w:cantSplit/>
        </w:trPr>
        <w:tc>
          <w:tcPr>
            <w:tcW w:type="dxa" w:w="3293"/>
            <w:tcMar>
              <w:top w:w="75" w:type="dxa"/>
              <w:start w:w="90" w:type="dxa"/>
              <w:bottom w:w="75" w:type="dxa"/>
              <w:end w:w="90" w:type="dxa"/>
            </w:tcMar>
            <w:vAlign w:val="center"/>
          </w:tcPr>
          <w:p>
            <w:pPr>
              <w:keepLines/>
            </w:pPr>
            <w:r>
              <w:rPr>
                <w:rFonts w:ascii="Cambria Math" w:hAnsi="Cambria Math"/>
              </w:rPr>
              <w:t>G</w:t>
            </w:r>
          </w:p>
        </w:tc>
        <w:tc>
          <w:tcPr>
            <w:tcW w:type="dxa" w:w="3293"/>
            <w:tcMar>
              <w:top w:w="75" w:type="dxa"/>
              <w:start w:w="90" w:type="dxa"/>
              <w:bottom w:w="75" w:type="dxa"/>
              <w:end w:w="90" w:type="dxa"/>
            </w:tcMar>
            <w:vAlign w:val="center"/>
          </w:tcPr>
          <w:p>
            <w:pPr>
              <w:keepLines/>
            </w:pPr>
            <w:r>
              <w:t>Propagation</w:t>
            </w:r>
          </w:p>
        </w:tc>
        <w:tc>
          <w:tcPr>
            <w:tcW w:type="dxa" w:w="3293"/>
            <w:tcMar>
              <w:top w:w="75" w:type="dxa"/>
              <w:start w:w="90" w:type="dxa"/>
              <w:bottom w:w="75" w:type="dxa"/>
              <w:end w:w="90" w:type="dxa"/>
            </w:tcMar>
            <w:vAlign w:val="center"/>
          </w:tcPr>
          <w:p>
            <w:pPr>
              <w:keepLines/>
            </w:pPr>
            <w:r>
              <w:t>Transport of the distinction through physical degrees of freedom.</w:t>
            </w:r>
          </w:p>
        </w:tc>
      </w:tr>
      <w:tr>
        <w:trPr>
          <w:cantSplit/>
        </w:trPr>
        <w:tc>
          <w:tcPr>
            <w:tcW w:type="dxa" w:w="3293"/>
            <w:tcMar>
              <w:top w:w="75" w:type="dxa"/>
              <w:start w:w="90" w:type="dxa"/>
              <w:bottom w:w="75" w:type="dxa"/>
              <w:end w:w="90" w:type="dxa"/>
            </w:tcMar>
            <w:vAlign w:val="center"/>
          </w:tcPr>
          <w:p>
            <w:pPr>
              <w:keepLines/>
            </w:pPr>
            <w:r>
              <w:rPr>
                <w:rFonts w:ascii="Cambria Math" w:hAnsi="Cambria Math"/>
              </w:rPr>
              <w:t>V</w:t>
            </w:r>
          </w:p>
        </w:tc>
        <w:tc>
          <w:tcPr>
            <w:tcW w:type="dxa" w:w="3293"/>
            <w:tcMar>
              <w:top w:w="75" w:type="dxa"/>
              <w:start w:w="90" w:type="dxa"/>
              <w:bottom w:w="75" w:type="dxa"/>
              <w:end w:w="90" w:type="dxa"/>
            </w:tcMar>
            <w:vAlign w:val="center"/>
          </w:tcPr>
          <w:p>
            <w:pPr>
              <w:keepLines/>
            </w:pPr>
            <w:r>
              <w:t>Resolution</w:t>
            </w:r>
          </w:p>
        </w:tc>
        <w:tc>
          <w:tcPr>
            <w:tcW w:type="dxa" w:w="3293"/>
            <w:tcMar>
              <w:top w:w="75" w:type="dxa"/>
              <w:start w:w="90" w:type="dxa"/>
              <w:bottom w:w="75" w:type="dxa"/>
              <w:end w:w="90" w:type="dxa"/>
            </w:tcMar>
            <w:vAlign w:val="center"/>
          </w:tcPr>
          <w:p>
            <w:pPr>
              <w:keepLines/>
            </w:pPr>
            <w:r>
              <w:t>Production of discriminable channels or records.</w:t>
            </w:r>
          </w:p>
        </w:tc>
      </w:tr>
      <w:tr>
        <w:trPr>
          <w:cantSplit/>
        </w:trPr>
        <w:tc>
          <w:tcPr>
            <w:tcW w:type="dxa" w:w="3293"/>
            <w:tcMar>
              <w:top w:w="75" w:type="dxa"/>
              <w:start w:w="90" w:type="dxa"/>
              <w:bottom w:w="75" w:type="dxa"/>
              <w:end w:w="90" w:type="dxa"/>
            </w:tcMar>
            <w:vAlign w:val="center"/>
          </w:tcPr>
          <w:p>
            <w:pPr>
              <w:keepLines/>
            </w:pPr>
            <w:r>
              <w:rPr>
                <w:rFonts w:ascii="Cambria Math" w:hAnsi="Cambria Math"/>
              </w:rPr>
              <w:t>K</w:t>
            </w:r>
          </w:p>
        </w:tc>
        <w:tc>
          <w:tcPr>
            <w:tcW w:type="dxa" w:w="3293"/>
            <w:tcMar>
              <w:top w:w="75" w:type="dxa"/>
              <w:start w:w="90" w:type="dxa"/>
              <w:bottom w:w="75" w:type="dxa"/>
              <w:end w:w="90" w:type="dxa"/>
            </w:tcMar>
            <w:vAlign w:val="center"/>
          </w:tcPr>
          <w:p>
            <w:pPr>
              <w:keepLines/>
            </w:pPr>
            <w:r>
              <w:t>Recursive retention</w:t>
            </w:r>
          </w:p>
        </w:tc>
        <w:tc>
          <w:tcPr>
            <w:tcW w:type="dxa" w:w="3293"/>
            <w:tcMar>
              <w:top w:w="75" w:type="dxa"/>
              <w:start w:w="90" w:type="dxa"/>
              <w:bottom w:w="75" w:type="dxa"/>
              <w:end w:w="90" w:type="dxa"/>
            </w:tcMar>
            <w:vAlign w:val="center"/>
          </w:tcPr>
          <w:p>
            <w:pPr>
              <w:keepLines/>
            </w:pPr>
            <w:r>
              <w:t>Copying, amplification, environmental stabilisation, or memory.</w:t>
            </w:r>
          </w:p>
        </w:tc>
      </w:tr>
      <w:tr>
        <w:trPr>
          <w:cantSplit/>
        </w:trPr>
        <w:tc>
          <w:tcPr>
            <w:tcW w:type="dxa" w:w="3293"/>
            <w:tcMar>
              <w:top w:w="75" w:type="dxa"/>
              <w:start w:w="90" w:type="dxa"/>
              <w:bottom w:w="75" w:type="dxa"/>
              <w:end w:w="90" w:type="dxa"/>
            </w:tcMar>
            <w:vAlign w:val="center"/>
          </w:tcPr>
          <w:p>
            <w:pPr>
              <w:keepLines/>
            </w:pPr>
            <w:r>
              <w:rPr>
                <w:rFonts w:ascii="Cambria Math" w:hAnsi="Cambria Math"/>
              </w:rPr>
              <w:t>C</w:t>
            </w:r>
          </w:p>
        </w:tc>
        <w:tc>
          <w:tcPr>
            <w:tcW w:type="dxa" w:w="3293"/>
            <w:tcMar>
              <w:top w:w="75" w:type="dxa"/>
              <w:start w:w="90" w:type="dxa"/>
              <w:bottom w:w="75" w:type="dxa"/>
              <w:end w:w="90" w:type="dxa"/>
            </w:tcMar>
            <w:vAlign w:val="center"/>
          </w:tcPr>
          <w:p>
            <w:pPr>
              <w:keepLines/>
            </w:pPr>
            <w:r>
              <w:t>Closure</w:t>
            </w:r>
          </w:p>
        </w:tc>
        <w:tc>
          <w:tcPr>
            <w:tcW w:type="dxa" w:w="3293"/>
            <w:tcMar>
              <w:top w:w="75" w:type="dxa"/>
              <w:start w:w="90" w:type="dxa"/>
              <w:bottom w:w="75" w:type="dxa"/>
              <w:end w:w="90" w:type="dxa"/>
            </w:tcMar>
            <w:vAlign w:val="center"/>
          </w:tcPr>
          <w:p>
            <w:pPr>
              <w:keepLines/>
            </w:pPr>
            <w:r>
              <w:t>Complete probability and conditional state account.</w:t>
            </w:r>
          </w:p>
        </w:tc>
      </w:tr>
      <w:tr>
        <w:trPr>
          <w:cantSplit/>
        </w:trPr>
        <w:tc>
          <w:tcPr>
            <w:tcW w:type="dxa" w:w="3293"/>
            <w:tcMar>
              <w:top w:w="75" w:type="dxa"/>
              <w:start w:w="90" w:type="dxa"/>
              <w:bottom w:w="75" w:type="dxa"/>
              <w:end w:w="90" w:type="dxa"/>
            </w:tcMar>
            <w:vAlign w:val="center"/>
          </w:tcPr>
          <w:p>
            <w:pPr>
              <w:keepLines/>
            </w:pPr>
            <w:r>
              <w:rPr>
                <w:rFonts w:ascii="Cambria Math" w:hAnsi="Cambria Math"/>
              </w:rPr>
              <w:t>Λ_H</w:t>
            </w:r>
          </w:p>
        </w:tc>
        <w:tc>
          <w:tcPr>
            <w:tcW w:type="dxa" w:w="3293"/>
            <w:tcMar>
              <w:top w:w="75" w:type="dxa"/>
              <w:start w:w="90" w:type="dxa"/>
              <w:bottom w:w="75" w:type="dxa"/>
              <w:end w:w="90" w:type="dxa"/>
            </w:tcMar>
            <w:vAlign w:val="center"/>
          </w:tcPr>
          <w:p>
            <w:pPr>
              <w:keepLines/>
            </w:pPr>
            <w:r>
              <w:t>Human denotation</w:t>
            </w:r>
          </w:p>
        </w:tc>
        <w:tc>
          <w:tcPr>
            <w:tcW w:type="dxa" w:w="3293"/>
            <w:tcMar>
              <w:top w:w="75" w:type="dxa"/>
              <w:start w:w="90" w:type="dxa"/>
              <w:bottom w:w="75" w:type="dxa"/>
              <w:end w:w="90" w:type="dxa"/>
            </w:tcMar>
            <w:vAlign w:val="center"/>
          </w:tcPr>
          <w:p>
            <w:pPr>
              <w:keepLines/>
            </w:pPr>
            <w:r>
              <w:t>Reflexive model, language, diagram, or equation.</w:t>
            </w:r>
          </w:p>
        </w:tc>
      </w:tr>
    </w:tbl>
    <w:sectPr w:rsidR="00FC693F" w:rsidRPr="0006063C" w:rsidSect="00034616">
      <w:headerReference w:type="default" r:id="rId9"/>
      <w:footerReference w:type="default" r:id="rId10"/>
      <w:pgSz w:w="12240" w:h="15840"/>
      <w:pgMar w:top="1080" w:right="1181" w:bottom="1037" w:left="1181"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A7A"/>
        <w:sz w:val="16"/>
      </w:rPr>
      <w:t xml:space="preserve">Joseph Shields  |  Working Paper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A7A"/>
        <w:sz w:val="16"/>
      </w:rPr>
      <w:t>UNIFIED MECHANICS  |  OBSERVATION MACHINERY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eastAsia="Aptos Display"/>
      <w:b w:val="0"/>
      <w:i/>
      <w:iCs/>
      <w:color w:val="4F647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 Block"/>
    <w:pPr>
      <w:keepLines/>
      <w:spacing w:before="100" w:after="100"/>
    </w:pPr>
    <w:rPr>
      <w:rFonts w:ascii="Cambria Math" w:hAnsi="Cambria Math" w:eastAsia="Cambria Math"/>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Principles of Observation and Mechanical Observation</dc:title>
  <dc:subject>Unified Mechanics, quantum observation, observer architecture, superposition, Stern-Gerlach measurement</dc:subject>
  <dc:creator>Joseph Shields</dc:creator>
  <cp:keywords>Unified Mechanics; observation; mechanical observation; quantum measurement; superposition; Stern-Gerlach</cp:keywords>
  <dc:description>Working paper generated from the July 2026 Unified Mechanics discussion.</dc:description>
  <cp:lastModifiedBy/>
  <cp:revision>1</cp:revision>
  <dcterms:created xsi:type="dcterms:W3CDTF">2013-12-23T23:15:00Z</dcterms:created>
  <dcterms:modified xsi:type="dcterms:W3CDTF">2013-12-23T23:15:00Z</dcterms:modified>
  <cp:category/>
</cp:coreProperties>
</file>