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0"/>
        <w:jc w:val="center"/>
      </w:pPr>
      <w:r>
        <w:rPr>
          <w:rFonts w:ascii="Constantia" w:cs="Constantia" w:eastAsia="Constantia" w:hAnsi="Constantia"/>
          <w:color w:val="B48A2E"/>
          <w:spacing w:val="60"/>
          <w:sz w:val="20"/>
          <w:szCs w:val="20"/>
        </w:rPr>
        <w:t xml:space="preserve">UNIFIED MECHANICS · APPLICATIONS · 03</w:t>
      </w:r>
    </w:p>
    <w:p>
      <w:pPr>
        <w:spacing w:after="200"/>
        <w:jc w:val="center"/>
      </w:pPr>
      <w:r>
        <w:rPr>
          <w:rFonts w:ascii="Constantia" w:cs="Constantia" w:eastAsia="Constantia" w:hAnsi="Constantia"/>
          <w:b/>
          <w:bCs/>
          <w:color w:val="102A43"/>
          <w:sz w:val="46"/>
          <w:szCs w:val="46"/>
        </w:rPr>
        <w:t xml:space="preserve">The Accumulating-History Extraction</w:t>
      </w:r>
    </w:p>
    <w:p>
      <w:pPr>
        <w:spacing w:after="320"/>
        <w:jc w:val="center"/>
      </w:pPr>
      <w:r>
        <w:rPr>
          <w:rFonts w:ascii="Constantia" w:cs="Constantia" w:eastAsia="Constantia" w:hAnsi="Constantia"/>
          <w:i/>
          <w:iCs/>
          <w:color w:val="B48A2E"/>
          <w:sz w:val="30"/>
          <w:szCs w:val="30"/>
        </w:rPr>
        <w:t xml:space="preserve">A Real Developmental Test: Cortical Neurogenesis</w:t>
      </w:r>
    </w:p>
    <w:p>
      <w:pPr>
        <w:pBdr>
          <w:top w:val="single" w:color="D8CBA8" w:sz="4" w:space="14"/>
        </w:pBdr>
        <w:spacing w:after="300"/>
        <w:ind w:left="1500" w:right="1500"/>
        <w:jc w:val="center"/>
      </w:pPr>
      <w:r>
        <w:rPr>
          <w:rFonts w:ascii="Constantia" w:cs="Constantia" w:eastAsia="Constantia" w:hAnsi="Constantia"/>
          <w:i/>
          <w:iCs/>
          <w:color w:val="5B6B7A"/>
          <w:sz w:val="23"/>
          <w:szCs w:val="23"/>
        </w:rPr>
        <w:t xml:space="preserve">The regime Application 02 pointed to · the retention coordinate of the developing mouse neocortex · the interface bridge screened against the measured leaving fraction · an honest failure that grazes the fixed point</w:t>
      </w:r>
    </w:p>
    <w:p>
      <w:pPr>
        <w:spacing w:after="60" w:before="3300"/>
        <w:jc w:val="center"/>
      </w:pPr>
      <w:r>
        <w:rPr>
          <w:rFonts w:ascii="Constantia" w:cs="Constantia" w:eastAsia="Constantia" w:hAnsi="Constantia"/>
          <w:color w:val="102A43"/>
          <w:spacing w:val="40"/>
          <w:sz w:val="21"/>
          <w:szCs w:val="21"/>
        </w:rPr>
        <w:t xml:space="preserve">JOSEPH SHIELDS · WITH CLAUDE AS RESEARCH ASSISTANT</w:t>
      </w:r>
    </w:p>
    <w:p>
      <w:pPr>
        <w:spacing w:after="0"/>
        <w:jc w:val="center"/>
      </w:pPr>
      <w:r>
        <w:rPr>
          <w:rFonts w:ascii="Constantia" w:cs="Constantia" w:eastAsia="Constantia" w:hAnsi="Constantia"/>
          <w:color w:val="B48A2E"/>
          <w:spacing w:val="30"/>
          <w:sz w:val="18"/>
          <w:szCs w:val="18"/>
        </w:rPr>
        <w:t xml:space="preserve">16 JULY 2026 · APPLICATION NOTE — REAL-DATA DIAGNOSTIC</w:t>
      </w:r>
    </w:p>
    <w:p>
      <w:r>
        <w:br w:type="page"/>
      </w:r>
    </w:p>
    <w:p>
      <w:pPr>
        <w:pStyle w:val="Heading1"/>
        <w:keepNext/>
        <w:pBdr>
          <w:bottom w:val="single" w:color="B48A2E" w:sz="8" w:space="6"/>
        </w:pBdr>
        <w:spacing w:after="240" w:before="540"/>
      </w:pPr>
      <w:r>
        <w:rPr>
          <w:rFonts w:ascii="Constantia" w:cs="Constantia" w:eastAsia="Constantia" w:hAnsi="Constantia"/>
          <w:b/>
          <w:bCs/>
          <w:color w:val="102A43"/>
          <w:spacing w:val="14"/>
          <w:sz w:val="29"/>
          <w:szCs w:val="29"/>
        </w:rPr>
        <w:t xml:space="preserve">1. THE REGIME THIS TEST REQUIRES</w:t>
      </w:r>
    </w:p>
    <w:p>
      <w:pPr>
        <w:spacing w:after="160" w:line="296"/>
        <w:jc w:val="both"/>
      </w:pPr>
      <w:r>
        <w:rPr>
          <w:rFonts w:ascii="Constantia" w:cs="Constantia" w:eastAsia="Constantia" w:hAnsi="Constantia"/>
          <w:color w:val="243040"/>
          <w:sz w:val="21"/>
          <w:szCs w:val="21"/>
        </w:rPr>
        <w:t xml:space="preserve">Application 02 screened cortical avalanches in their stationary self-organised state and rejected them: in that regime the network is almost entirely quiescent between cascades, retention x → 1 and continuation pressure χ → 1, and χ → 1 is merely the branching ratio σ → 1 restated. The diagnosis named the regime the bridge actually needs — an accumulating processing history, in which the terminal class grows monotonically as stellar oxygen does over the burning epoch, rather than an instantaneous fraction of a recycling steady state. Neuronal development is exactly such a history: progenitors proliferate while neurons accumulate irreversibly. This note carries out the extraction there, on measured data, with the rule frozen in advance.</w:t>
      </w:r>
    </w:p>
    <w:p>
      <w:pPr>
        <w:pStyle w:val="Heading1"/>
        <w:keepNext/>
        <w:pBdr>
          <w:bottom w:val="single" w:color="B48A2E" w:sz="8" w:space="6"/>
        </w:pBdr>
        <w:spacing w:after="240" w:before="540"/>
      </w:pPr>
      <w:r>
        <w:rPr>
          <w:rFonts w:ascii="Constantia" w:cs="Constantia" w:eastAsia="Constantia" w:hAnsi="Constantia"/>
          <w:b/>
          <w:bCs/>
          <w:color w:val="102A43"/>
          <w:spacing w:val="14"/>
          <w:sz w:val="29"/>
          <w:szCs w:val="29"/>
        </w:rPr>
        <w:t xml:space="preserve">2. THE DATA</w:t>
      </w:r>
    </w:p>
    <w:p>
      <w:pPr>
        <w:spacing w:after="160" w:line="296"/>
        <w:jc w:val="both"/>
      </w:pPr>
      <w:r>
        <w:rPr>
          <w:rFonts w:ascii="Constantia" w:cs="Constantia" w:eastAsia="Constantia" w:hAnsi="Constantia"/>
          <w:color w:val="243040"/>
          <w:sz w:val="21"/>
          <w:szCs w:val="21"/>
        </w:rPr>
        <w:t xml:space="preserve">The developing mouse neocortex has a single, classical, quantitatively measured control variable: the leaving fraction Q, the proportion of a progenitor's daughters that exit the cell cycle and become neurons, measured across the eleven cell cycles of the neuronogenetic interval E11–E17 by Takahashi, Nowakowski and Caviness (Journal of Neuroscience, 1996). Q rises monotonically from about 0.08 at E11 through 0.5 near E14–E15 to unity at E17; the cell-cycle length Tc lengthens from roughly nine to eighteen hours across the same interval. These are the measured record and nothing here is fitted to them.</w:t>
      </w:r>
    </w:p>
    <w:p>
      <w:pPr>
        <w:keepLines/>
        <w:pBdr>
          <w:top w:val="single" w:color="FAF5E9" w:sz="2" w:space="8"/>
          <w:bottom w:val="single" w:color="FAF5E9" w:sz="2" w:space="8"/>
          <w:left w:val="single" w:color="B48A2E" w:sz="14" w:space="12"/>
          <w:right w:val="single" w:color="FAF5E9" w:sz="2" w:space="8"/>
        </w:pBdr>
        <w:shd w:fill="FAF5E9" w:val="clear"/>
        <w:spacing w:after="240" w:before="200"/>
        <w:ind w:left="284" w:right="170"/>
      </w:pPr>
      <w:r>
        <w:rPr>
          <w:rFonts w:ascii="Constantia" w:cs="Constantia" w:eastAsia="Constantia" w:hAnsi="Constantia"/>
          <w:b/>
          <w:bCs/>
          <w:color w:val="B48A2E"/>
          <w:sz w:val="20"/>
          <w:szCs w:val="20"/>
        </w:rPr>
        <w:t xml:space="preserve">RECORD — MEASURED INPUT — </w:t>
      </w:r>
      <w:r>
        <w:rPr>
          <w:rFonts w:ascii="Constantia" w:cs="Constantia" w:eastAsia="Constantia" w:hAnsi="Constantia"/>
          <w:color w:val="3A3222"/>
          <w:sz w:val="20"/>
          <w:szCs w:val="20"/>
        </w:rPr>
        <w:t xml:space="preserve">Q per embryonic day and Tc per embryonic day are taken from Takahashi, Nowakowski &amp; Caviness (1996), Tables 2–3, with the endpoints E11 and E17 extrapolated from the paper's stated cycle-1 and cycle-11 values. The trajectory below is integrated cell cycle by cell cycle from these numbers alone.</w:t>
      </w:r>
    </w:p>
    <w:p>
      <w:pPr>
        <w:pStyle w:val="Heading1"/>
        <w:keepNext/>
        <w:pBdr>
          <w:bottom w:val="single" w:color="B48A2E" w:sz="8" w:space="6"/>
        </w:pBdr>
        <w:spacing w:after="240" w:before="540"/>
      </w:pPr>
      <w:r>
        <w:rPr>
          <w:rFonts w:ascii="Constantia" w:cs="Constantia" w:eastAsia="Constantia" w:hAnsi="Constantia"/>
          <w:b/>
          <w:bCs/>
          <w:color w:val="102A43"/>
          <w:spacing w:val="14"/>
          <w:sz w:val="29"/>
          <w:szCs w:val="29"/>
        </w:rPr>
        <w:t xml:space="preserve">3. THE EXTRACTION</w:t>
      </w:r>
    </w:p>
    <w:p>
      <w:pPr>
        <w:spacing w:after="160" w:line="296"/>
        <w:jc w:val="both"/>
      </w:pPr>
      <w:r>
        <w:rPr>
          <w:rFonts w:ascii="Constantia" w:cs="Constantia" w:eastAsia="Constantia" w:hAnsi="Constantia"/>
          <w:color w:val="243040"/>
          <w:sz w:val="21"/>
          <w:szCs w:val="21"/>
        </w:rPr>
        <w:t xml:space="preserve">The seven-part machine is the proliferative epithelium: the progenitor pool is the retained class, the accumulating neurons the terminal class, activation of the differentiation programme the one-way conversion, and the cell cycle the clock. Per cycle the progenitor count updates as A → 2(1−Q)A and the neuron count as B → B + 2Q·A; production and conversion are the gross births into each class, P = 2(1−Q)A and K = 2Q·A. The retention coordinate is x = A/(A+B) and the continuation pressure χ = K/(P·x) = [Q/(1−Q)]/x, with β = 0 for the closed epithelium. Integrating the measured Q(E) from E11 gives the trajectory below: as neurons accumulate, retention sweeps from one toward zero and the continuation pressure climbs without bound.</w:t>
      </w:r>
    </w:p>
    <w:tbl>
      <w:tblPr>
        <w:tblW w:type="dxa" w:w="9400"/>
        <w:tblBorders>
          <w:top w:val="single" w:color="D8CBA8" w:sz="4"/>
          <w:left w:val="single" w:color="D8CBA8" w:sz="4"/>
          <w:bottom w:val="single" w:color="D8CBA8" w:sz="4"/>
          <w:right w:val="single" w:color="D8CBA8" w:sz="4"/>
          <w:insideH w:val="single" w:color="D8CBA8" w:sz="4"/>
          <w:insideV w:val="single" w:color="D8CBA8" w:sz="4"/>
        </w:tblBorders>
      </w:tblPr>
      <w:tblGrid>
        <w:gridCol w:w="1500"/>
        <w:gridCol w:w="1600"/>
        <w:gridCol w:w="1500"/>
        <w:gridCol w:w="1900"/>
        <w:gridCol w:w="2900"/>
      </w:tblGrid>
      <w:tr>
        <w:trPr>
          <w:tblHeader/>
        </w:trPr>
        <w:tc>
          <w:tcPr>
            <w:tcW w:type="dxa" w:w="1500"/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6"/>
                <w:szCs w:val="16"/>
              </w:rPr>
              <w:t xml:space="preserve">Emb. day</w:t>
            </w:r>
          </w:p>
        </w:tc>
        <w:tc>
          <w:tcPr>
            <w:tcW w:type="dxa" w:w="1600"/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6"/>
                <w:szCs w:val="16"/>
              </w:rPr>
              <w:t xml:space="preserve">Q (leaving)</w:t>
            </w:r>
          </w:p>
        </w:tc>
        <w:tc>
          <w:tcPr>
            <w:tcW w:type="dxa" w:w="1500"/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6"/>
                <w:szCs w:val="16"/>
              </w:rPr>
              <w:t xml:space="preserve">Tc (h)</w:t>
            </w:r>
          </w:p>
        </w:tc>
        <w:tc>
          <w:tcPr>
            <w:tcW w:type="dxa" w:w="1900"/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6"/>
                <w:szCs w:val="16"/>
              </w:rPr>
              <w:t xml:space="preserve">x = A/(A+B)</w:t>
            </w:r>
          </w:p>
        </w:tc>
        <w:tc>
          <w:tcPr>
            <w:tcW w:type="dxa" w:w="2900"/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6"/>
                <w:szCs w:val="16"/>
              </w:rPr>
              <w:t xml:space="preserve">χ = [Q/(1−Q)]/x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/>
                <w:bCs/>
                <w:color w:val="102A43"/>
                <w:sz w:val="18"/>
                <w:szCs w:val="18"/>
              </w:rPr>
              <w:t xml:space="preserve">E11.0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0.080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5B6B7A"/>
                <w:sz w:val="18"/>
                <w:szCs w:val="18"/>
              </w:rPr>
              <w:t xml:space="preserve">9.0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1.000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0.087</w:t>
            </w:r>
          </w:p>
        </w:tc>
      </w:tr>
      <w:tr>
        <w:tc>
          <w:tcPr>
            <w:tcW w:type="dxa" w:w="15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/>
                <w:bCs/>
                <w:color w:val="102A43"/>
                <w:sz w:val="18"/>
                <w:szCs w:val="18"/>
              </w:rPr>
              <w:t xml:space="preserve">E11.4</w:t>
            </w:r>
          </w:p>
        </w:tc>
        <w:tc>
          <w:tcPr>
            <w:tcW w:type="dxa" w:w="16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0.091</w:t>
            </w:r>
          </w:p>
        </w:tc>
        <w:tc>
          <w:tcPr>
            <w:tcW w:type="dxa" w:w="15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5B6B7A"/>
                <w:sz w:val="18"/>
                <w:szCs w:val="18"/>
              </w:rPr>
              <w:t xml:space="preserve">10.2</w:t>
            </w:r>
          </w:p>
        </w:tc>
        <w:tc>
          <w:tcPr>
            <w:tcW w:type="dxa" w:w="19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0.920</w:t>
            </w:r>
          </w:p>
        </w:tc>
        <w:tc>
          <w:tcPr>
            <w:tcW w:type="dxa" w:w="29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0.109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/>
                <w:bCs/>
                <w:color w:val="102A43"/>
                <w:sz w:val="18"/>
                <w:szCs w:val="18"/>
              </w:rPr>
              <w:t xml:space="preserve">E11.8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0.103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5B6B7A"/>
                <w:sz w:val="18"/>
                <w:szCs w:val="18"/>
              </w:rPr>
              <w:t xml:space="preserve">11.4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0.871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0.132</w:t>
            </w:r>
          </w:p>
        </w:tc>
      </w:tr>
      <w:tr>
        <w:tc>
          <w:tcPr>
            <w:tcW w:type="dxa" w:w="15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/>
                <w:bCs/>
                <w:color w:val="102A43"/>
                <w:sz w:val="18"/>
                <w:szCs w:val="18"/>
              </w:rPr>
              <w:t xml:space="preserve">E12.2</w:t>
            </w:r>
          </w:p>
        </w:tc>
        <w:tc>
          <w:tcPr>
            <w:tcW w:type="dxa" w:w="16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0.125</w:t>
            </w:r>
          </w:p>
        </w:tc>
        <w:tc>
          <w:tcPr>
            <w:tcW w:type="dxa" w:w="15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5B6B7A"/>
                <w:sz w:val="18"/>
                <w:szCs w:val="18"/>
              </w:rPr>
              <w:t xml:space="preserve">15.1</w:t>
            </w:r>
          </w:p>
        </w:tc>
        <w:tc>
          <w:tcPr>
            <w:tcW w:type="dxa" w:w="19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0.835</w:t>
            </w:r>
          </w:p>
        </w:tc>
        <w:tc>
          <w:tcPr>
            <w:tcW w:type="dxa" w:w="29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0.170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/>
                <w:bCs/>
                <w:color w:val="102A43"/>
                <w:sz w:val="18"/>
                <w:szCs w:val="18"/>
              </w:rPr>
              <w:t xml:space="preserve">E12.6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0.159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5B6B7A"/>
                <w:sz w:val="18"/>
                <w:szCs w:val="18"/>
              </w:rPr>
              <w:t xml:space="preserve">17.5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0.797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0.238</w:t>
            </w:r>
          </w:p>
        </w:tc>
      </w:tr>
      <w:tr>
        <w:tc>
          <w:tcPr>
            <w:tcW w:type="dxa" w:w="15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/>
                <w:bCs/>
                <w:color w:val="102A43"/>
                <w:sz w:val="18"/>
                <w:szCs w:val="18"/>
              </w:rPr>
              <w:t xml:space="preserve">E13.1</w:t>
            </w:r>
          </w:p>
        </w:tc>
        <w:tc>
          <w:tcPr>
            <w:tcW w:type="dxa" w:w="16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0.201</w:t>
            </w:r>
          </w:p>
        </w:tc>
        <w:tc>
          <w:tcPr>
            <w:tcW w:type="dxa" w:w="15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5B6B7A"/>
                <w:sz w:val="18"/>
                <w:szCs w:val="18"/>
              </w:rPr>
              <w:t xml:space="preserve">18.4</w:t>
            </w:r>
          </w:p>
        </w:tc>
        <w:tc>
          <w:tcPr>
            <w:tcW w:type="dxa" w:w="19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0.746</w:t>
            </w:r>
          </w:p>
        </w:tc>
        <w:tc>
          <w:tcPr>
            <w:tcW w:type="dxa" w:w="29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0.337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/>
                <w:bCs/>
                <w:color w:val="102A43"/>
                <w:sz w:val="18"/>
                <w:szCs w:val="18"/>
              </w:rPr>
              <w:t xml:space="preserve">E13.6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0.274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5B6B7A"/>
                <w:sz w:val="18"/>
                <w:szCs w:val="18"/>
              </w:rPr>
              <w:t xml:space="preserve">18.4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0.683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0.552</w:t>
            </w:r>
          </w:p>
        </w:tc>
      </w:tr>
      <w:tr>
        <w:tc>
          <w:tcPr>
            <w:tcW w:type="dxa" w:w="15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/>
                <w:bCs/>
                <w:color w:val="102A43"/>
                <w:sz w:val="18"/>
                <w:szCs w:val="18"/>
              </w:rPr>
              <w:t xml:space="preserve">E14.1</w:t>
            </w:r>
          </w:p>
        </w:tc>
        <w:tc>
          <w:tcPr>
            <w:tcW w:type="dxa" w:w="16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0.370</w:t>
            </w:r>
          </w:p>
        </w:tc>
        <w:tc>
          <w:tcPr>
            <w:tcW w:type="dxa" w:w="15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5B6B7A"/>
                <w:sz w:val="18"/>
                <w:szCs w:val="18"/>
              </w:rPr>
              <w:t xml:space="preserve">18.4</w:t>
            </w:r>
          </w:p>
        </w:tc>
        <w:tc>
          <w:tcPr>
            <w:tcW w:type="dxa" w:w="19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0.589</w:t>
            </w:r>
          </w:p>
        </w:tc>
        <w:tc>
          <w:tcPr>
            <w:tcW w:type="dxa" w:w="29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0.996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/>
                <w:bCs/>
                <w:color w:val="102A43"/>
                <w:sz w:val="18"/>
                <w:szCs w:val="18"/>
              </w:rPr>
              <w:t xml:space="preserve">E14.8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0.530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5B6B7A"/>
                <w:sz w:val="18"/>
                <w:szCs w:val="18"/>
              </w:rPr>
              <w:t xml:space="preserve">18.4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0.467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2.414</w:t>
            </w:r>
          </w:p>
        </w:tc>
      </w:tr>
      <w:tr>
        <w:tc>
          <w:tcPr>
            <w:tcW w:type="dxa" w:w="15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/>
                <w:bCs/>
                <w:color w:val="102A43"/>
                <w:sz w:val="18"/>
                <w:szCs w:val="18"/>
              </w:rPr>
              <w:t xml:space="preserve">E15.5</w:t>
            </w:r>
          </w:p>
        </w:tc>
        <w:tc>
          <w:tcPr>
            <w:tcW w:type="dxa" w:w="16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0.567</w:t>
            </w:r>
          </w:p>
        </w:tc>
        <w:tc>
          <w:tcPr>
            <w:tcW w:type="dxa" w:w="15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5B6B7A"/>
                <w:sz w:val="18"/>
                <w:szCs w:val="18"/>
              </w:rPr>
              <w:t xml:space="preserve">18.4</w:t>
            </w:r>
          </w:p>
        </w:tc>
        <w:tc>
          <w:tcPr>
            <w:tcW w:type="dxa" w:w="19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0.299</w:t>
            </w:r>
          </w:p>
        </w:tc>
        <w:tc>
          <w:tcPr>
            <w:tcW w:type="dxa" w:w="29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4.370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/>
                <w:bCs/>
                <w:color w:val="102A43"/>
                <w:sz w:val="18"/>
                <w:szCs w:val="18"/>
              </w:rPr>
              <w:t xml:space="preserve">E16.2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0.616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5B6B7A"/>
                <w:sz w:val="18"/>
                <w:szCs w:val="18"/>
              </w:rPr>
              <w:t xml:space="preserve">18.4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0.200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8.049</w:t>
            </w:r>
          </w:p>
        </w:tc>
      </w:tr>
      <w:tr>
        <w:tc>
          <w:tcPr>
            <w:tcW w:type="dxa" w:w="15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/>
                <w:bCs/>
                <w:color w:val="102A43"/>
                <w:sz w:val="18"/>
                <w:szCs w:val="18"/>
              </w:rPr>
              <w:t xml:space="preserve">E17.0</w:t>
            </w:r>
          </w:p>
        </w:tc>
        <w:tc>
          <w:tcPr>
            <w:tcW w:type="dxa" w:w="16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0.892</w:t>
            </w:r>
          </w:p>
        </w:tc>
        <w:tc>
          <w:tcPr>
            <w:tcW w:type="dxa" w:w="15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5B6B7A"/>
                <w:sz w:val="18"/>
                <w:szCs w:val="18"/>
              </w:rPr>
              <w:t xml:space="preserve">18.4</w:t>
            </w:r>
          </w:p>
        </w:tc>
        <w:tc>
          <w:tcPr>
            <w:tcW w:type="dxa" w:w="19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0.128</w:t>
            </w:r>
          </w:p>
        </w:tc>
        <w:tc>
          <w:tcPr>
            <w:tcW w:type="dxa" w:w="29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64.961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B48A2E" w:sz="8" w:space="6"/>
        </w:pBdr>
        <w:spacing w:after="240" w:before="540"/>
      </w:pPr>
      <w:r>
        <w:rPr>
          <w:rFonts w:ascii="Constantia" w:cs="Constantia" w:eastAsia="Constantia" w:hAnsi="Constantia"/>
          <w:b/>
          <w:bCs/>
          <w:color w:val="102A43"/>
          <w:spacing w:val="14"/>
          <w:sz w:val="29"/>
          <w:szCs w:val="29"/>
        </w:rPr>
        <w:t xml:space="preserve">4. THE BLIND SCREEN</w:t>
      </w:r>
    </w:p>
    <w:p>
      <w:pPr>
        <w:spacing w:after="160" w:line="296"/>
        <w:jc w:val="both"/>
      </w:pPr>
      <w:r>
        <w:rPr>
          <w:rFonts w:ascii="Constantia" w:cs="Constantia" w:eastAsia="Constantia" w:hAnsi="Constantia"/>
          <w:color w:val="243040"/>
          <w:sz w:val="21"/>
          <w:szCs w:val="21"/>
        </w:rPr>
        <w:t xml:space="preserve">The rule was frozen, with its SHA-256 recorded, before the trajectory was integrated. The bridge asks that the machine settle at its fixed point — retention x = r and continuation χ = √5 reached together, within the residual ceiling.</w:t>
      </w:r>
    </w:p>
    <w:p>
      <w:pPr>
        <w:pBdr>
          <w:left w:val="single" w:color="B48A2E" w:sz="8" w:space="10"/>
        </w:pBdr>
        <w:spacing w:after="100" w:line="280"/>
        <w:ind w:left="284"/>
        <w:jc w:val="both"/>
      </w:pPr>
      <w:r>
        <w:rPr>
          <w:rFonts w:ascii="Constantia" w:cs="Constantia" w:eastAsia="Constantia" w:hAnsi="Constantia"/>
          <w:color w:val="243040"/>
          <w:sz w:val="17"/>
          <w:szCs w:val="17"/>
        </w:rPr>
        <w:t xml:space="preserve">PREREGISTERED before the trajectory was integrated (16 July 2026):</w:t>
      </w:r>
    </w:p>
    <w:p>
      <w:pPr>
        <w:pBdr>
          <w:left w:val="single" w:color="B48A2E" w:sz="8" w:space="10"/>
        </w:pBdr>
        <w:spacing w:after="100" w:line="280"/>
        <w:ind w:left="284"/>
        <w:jc w:val="both"/>
      </w:pPr>
      <w:r>
        <w:rPr>
          <w:rFonts w:ascii="Constantia" w:cs="Constantia" w:eastAsia="Constantia" w:hAnsi="Constantia"/>
          <w:color w:val="243040"/>
          <w:sz w:val="17"/>
          <w:szCs w:val="17"/>
        </w:rPr>
        <w:t xml:space="preserve">Dataset = murine neocortical neuronogenesis, Takahashi, Nowakowski &amp; Caviness (J Neurosci 1996):</w:t>
      </w:r>
    </w:p>
    <w:p>
      <w:pPr>
        <w:pBdr>
          <w:left w:val="single" w:color="B48A2E" w:sz="8" w:space="10"/>
        </w:pBdr>
        <w:spacing w:after="100" w:line="280"/>
        <w:ind w:left="284"/>
        <w:jc w:val="both"/>
      </w:pPr>
      <w:r>
        <w:rPr>
          <w:rFonts w:ascii="Constantia" w:cs="Constantia" w:eastAsia="Constantia" w:hAnsi="Constantia"/>
          <w:color w:val="243040"/>
          <w:sz w:val="17"/>
          <w:szCs w:val="17"/>
        </w:rPr>
        <w:t xml:space="preserve">  leaving fraction Q per embryonic day (Table 3) and cell-cycle length Tc (Table 2), E11-E17, 11 cycles.</w:t>
      </w:r>
    </w:p>
    <w:p>
      <w:pPr>
        <w:pBdr>
          <w:left w:val="single" w:color="B48A2E" w:sz="8" w:space="10"/>
        </w:pBdr>
        <w:spacing w:after="100" w:line="280"/>
        <w:ind w:left="284"/>
        <w:jc w:val="both"/>
      </w:pPr>
      <w:r>
        <w:rPr>
          <w:rFonts w:ascii="Constantia" w:cs="Constantia" w:eastAsia="Constantia" w:hAnsi="Constantia"/>
          <w:color w:val="243040"/>
          <w:sz w:val="17"/>
          <w:szCs w:val="17"/>
        </w:rPr>
        <w:t xml:space="preserve">Whole = the accumulating proliferative epithelium over the neuronogenetic interval (a growing history, not a steady state).</w:t>
      </w:r>
    </w:p>
    <w:p>
      <w:pPr>
        <w:pBdr>
          <w:left w:val="single" w:color="B48A2E" w:sz="8" w:space="10"/>
        </w:pBdr>
        <w:spacing w:after="100" w:line="280"/>
        <w:ind w:left="284"/>
        <w:jc w:val="both"/>
      </w:pPr>
      <w:r>
        <w:rPr>
          <w:rFonts w:ascii="Constantia" w:cs="Constantia" w:eastAsia="Constantia" w:hAnsi="Constantia"/>
          <w:color w:val="243040"/>
          <w:sz w:val="17"/>
          <w:szCs w:val="17"/>
        </w:rPr>
        <w:t xml:space="preserve">Currency = cells; classes progenitor (retained) and neuron (terminal, monotonically accumulating); x = progenitors/(progenitors+neurons).</w:t>
      </w:r>
    </w:p>
    <w:p>
      <w:pPr>
        <w:pBdr>
          <w:left w:val="single" w:color="B48A2E" w:sz="8" w:space="10"/>
        </w:pBdr>
        <w:spacing w:after="100" w:line="280"/>
        <w:ind w:left="284"/>
        <w:jc w:val="both"/>
      </w:pPr>
      <w:r>
        <w:rPr>
          <w:rFonts w:ascii="Constantia" w:cs="Constantia" w:eastAsia="Constantia" w:hAnsi="Constantia"/>
          <w:color w:val="243040"/>
          <w:sz w:val="17"/>
          <w:szCs w:val="17"/>
        </w:rPr>
        <w:t xml:space="preserve">Mapping = per cycle A -&gt; 2(1-Q)A, B -&gt; B + 2Q A; production P = 2(1-Q)A, conversion K = 2Q A; chi = [Q/(1-Q)]/x; beta = 0.</w:t>
      </w:r>
    </w:p>
    <w:p>
      <w:pPr>
        <w:pBdr>
          <w:left w:val="single" w:color="B48A2E" w:sz="8" w:space="10"/>
        </w:pBdr>
        <w:spacing w:after="100" w:line="280"/>
        <w:ind w:left="284"/>
        <w:jc w:val="both"/>
      </w:pPr>
      <w:r>
        <w:rPr>
          <w:rFonts w:ascii="Constantia" w:cs="Constantia" w:eastAsia="Constantia" w:hAnsi="Constantia"/>
          <w:color w:val="243040"/>
          <w:sz w:val="17"/>
          <w:szCs w:val="17"/>
        </w:rPr>
        <w:t xml:space="preserve">Bridge = chi = 1 + 4x; fixed point x* = r = 0.309017, chi* = 1 + 4r = sqrt(5) = 2.236068.</w:t>
      </w:r>
    </w:p>
    <w:p>
      <w:pPr>
        <w:pBdr>
          <w:left w:val="single" w:color="B48A2E" w:sz="8" w:space="10"/>
        </w:pBdr>
        <w:spacing w:after="100" w:line="280"/>
        <w:ind w:left="284"/>
        <w:jc w:val="both"/>
      </w:pPr>
      <w:r>
        <w:rPr>
          <w:rFonts w:ascii="Constantia" w:cs="Constantia" w:eastAsia="Constantia" w:hAnsi="Constantia"/>
          <w:color w:val="243040"/>
          <w:sz w:val="17"/>
          <w:szCs w:val="17"/>
        </w:rPr>
        <w:t xml:space="preserve">Frozen rule = PASS iff x settles at r and chi settles at sqrt5 simultaneously, |chi - sqrt5| &lt;= r^3 = 0.0295 at the x=r crossing.</w:t>
      </w:r>
    </w:p>
    <w:p>
      <w:pPr>
        <w:pBdr>
          <w:left w:val="single" w:color="B48A2E" w:sz="8" w:space="10"/>
        </w:pBdr>
        <w:spacing w:after="100" w:line="280"/>
        <w:ind w:left="284"/>
        <w:jc w:val="both"/>
      </w:pPr>
      <w:r>
        <w:rPr>
          <w:rFonts w:ascii="Constantia" w:cs="Constantia" w:eastAsia="Constantia" w:hAnsi="Constantia"/>
          <w:color w:val="243040"/>
          <w:sz w:val="17"/>
          <w:szCs w:val="17"/>
        </w:rPr>
        <w:t xml:space="preserve">No parameter is fitted; Q(t) and Tc(t) are the measured record.</w:t>
      </w:r>
    </w:p>
    <w:p>
      <w:pPr>
        <w:spacing w:after="240" w:before="160"/>
        <w:jc w:val="center"/>
      </w:pPr>
      <w:r>
        <w:rPr>
          <w:rFonts w:ascii="Constantia" w:cs="Constantia" w:eastAsia="Constantia" w:hAnsi="Constantia"/>
          <w:color w:val="5B6B7A"/>
          <w:sz w:val="15"/>
          <w:szCs w:val="15"/>
        </w:rPr>
        <w:t xml:space="preserve">SHA-256 of the frozen rule: 57ffad5f3c313c37f2a49c4a3c51e6ce7b9c5bd343095ce29eb32f072f4a7355</w:t>
      </w:r>
    </w:p>
    <w:p>
      <w:pPr>
        <w:spacing w:after="80" w:before="120"/>
        <w:jc w:val="center"/>
      </w:pPr>
      <w:r>
        <w:drawing>
          <wp:inline distT="0" distB="0" distL="0" distR="0">
            <wp:extent cx="5953125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ind w:left="380" w:right="380"/>
        <w:jc w:val="center"/>
      </w:pPr>
      <w:r>
        <w:rPr>
          <w:rFonts w:ascii="Constantia" w:cs="Constantia" w:eastAsia="Constantia" w:hAnsi="Constantia"/>
          <w:i/>
          <w:iCs/>
          <w:color w:val="5B6B7A"/>
          <w:sz w:val="18"/>
          <w:szCs w:val="18"/>
        </w:rPr>
        <w:t xml:space="preserve">Left: the real cortical trajectory (points coloured by embryonic day) in the plane of retention against continuation pressure; the gold line is the bridge relation χ = 1+4x and the gold disc its fixed point (r, √5). The trajectory crosses the bridge line at x = 0.44 near E14.9, away from the fixed point. Right: retention reaches r at E15.4 while continuation reaches √5 at E14.7 — the two never coincide.</w:t>
      </w:r>
    </w:p>
    <w:p>
      <w:pPr>
        <w:keepLines/>
        <w:pBdr>
          <w:top w:val="single" w:color="FAF5E9" w:sz="2" w:space="8"/>
          <w:bottom w:val="single" w:color="FAF5E9" w:sz="2" w:space="8"/>
          <w:left w:val="single" w:color="B48A2E" w:sz="14" w:space="12"/>
          <w:right w:val="single" w:color="FAF5E9" w:sz="2" w:space="8"/>
        </w:pBdr>
        <w:shd w:fill="FAF5E9" w:val="clear"/>
        <w:spacing w:after="240" w:before="200"/>
        <w:ind w:left="284" w:right="170"/>
      </w:pPr>
      <w:r>
        <w:rPr>
          <w:rFonts w:ascii="Constantia" w:cs="Constantia" w:eastAsia="Constantia" w:hAnsi="Constantia"/>
          <w:b/>
          <w:bCs/>
          <w:color w:val="B48A2E"/>
          <w:sz w:val="20"/>
          <w:szCs w:val="20"/>
        </w:rPr>
        <w:t xml:space="preserve">RECORD — REAL-DATA SCREEN, FAIL WITH A GRAZE — </w:t>
      </w:r>
      <w:r>
        <w:rPr>
          <w:rFonts w:ascii="Constantia" w:cs="Constantia" w:eastAsia="Constantia" w:hAnsi="Constantia"/>
          <w:color w:val="3A3222"/>
          <w:sz w:val="20"/>
          <w:szCs w:val="20"/>
        </w:rPr>
        <w:t xml:space="preserve">Retention passes through r at E15.4; continuation passes through √5 at E14.7; the crossings are 0.7 embryonic days apart, so the fixed point is never realised. At the x = r crossing χ = 4.26, missing √5 by 2.02, far outside the ceiling r³ = 0.0295. The screen fails. It fails narrowly: the trajectory does cross the bridge relation χ = 1+4x once, at x = 0.44 near E14.9 — it grazes the bridge, but at the wrong retention.</w:t>
      </w:r>
    </w:p>
    <w:p>
      <w:pPr>
        <w:pStyle w:val="Heading1"/>
        <w:keepNext/>
        <w:pBdr>
          <w:bottom w:val="single" w:color="B48A2E" w:sz="8" w:space="6"/>
        </w:pBdr>
        <w:spacing w:after="240" w:before="540"/>
      </w:pPr>
      <w:r>
        <w:rPr>
          <w:rFonts w:ascii="Constantia" w:cs="Constantia" w:eastAsia="Constantia" w:hAnsi="Constantia"/>
          <w:b/>
          <w:bCs/>
          <w:color w:val="102A43"/>
          <w:spacing w:val="14"/>
          <w:sz w:val="29"/>
          <w:szCs w:val="29"/>
        </w:rPr>
        <w:t xml:space="preserve">5. WHAT THE GRAZE DIAGNOSES</w:t>
      </w:r>
    </w:p>
    <w:p>
      <w:pPr>
        <w:spacing w:after="160" w:line="296"/>
        <w:jc w:val="both"/>
      </w:pPr>
      <w:r>
        <w:rPr>
          <w:rFonts w:ascii="Constantia" w:cs="Constantia" w:eastAsia="Constantia" w:hAnsi="Constantia"/>
          <w:color w:val="243040"/>
          <w:sz w:val="21"/>
          <w:szCs w:val="21"/>
        </w:rPr>
        <w:t xml:space="preserve">This is a sharper, closer failure than the avalanche case, and on real measured data. The cortical machine is a ramp, not a plateau: the leaving fraction climbs continuously from zero to one, so retention sweeps through r rather than resting at it, and the continuation pressure sweeps through √5 at a different moment. The bridge is a statement about a fixed point — a value a self-regulating machine settles onto and holds — and a ramping developmental sweep, by construction, holds nothing. The trajectory grazing the bridge relation at E14.9 is the geometric signature of a sweep passing near a fixed point it does not occupy, exactly as the diagnosis of Application 02 anticipated.</w:t>
      </w:r>
    </w:p>
    <w:p>
      <w:pPr>
        <w:keepLines/>
        <w:pBdr>
          <w:top w:val="single" w:color="FAF5E9" w:sz="2" w:space="8"/>
          <w:bottom w:val="single" w:color="FAF5E9" w:sz="2" w:space="8"/>
          <w:left w:val="single" w:color="B48A2E" w:sz="14" w:space="12"/>
          <w:right w:val="single" w:color="FAF5E9" w:sz="2" w:space="8"/>
        </w:pBdr>
        <w:shd w:fill="FAF5E9" w:val="clear"/>
        <w:spacing w:after="240" w:before="200"/>
        <w:ind w:left="284" w:right="170"/>
      </w:pPr>
      <w:r>
        <w:rPr>
          <w:rFonts w:ascii="Constantia" w:cs="Constantia" w:eastAsia="Constantia" w:hAnsi="Constantia"/>
          <w:b/>
          <w:bCs/>
          <w:color w:val="B48A2E"/>
          <w:sz w:val="20"/>
          <w:szCs w:val="20"/>
        </w:rPr>
        <w:t xml:space="preserve">DIAGNOSIS — SWEEP, NOT PLATEAU (CONFIRMED ON DATA) — </w:t>
      </w:r>
      <w:r>
        <w:rPr>
          <w:rFonts w:ascii="Constantia" w:cs="Constantia" w:eastAsia="Constantia" w:hAnsi="Constantia"/>
          <w:color w:val="3A3222"/>
          <w:sz w:val="20"/>
          <w:szCs w:val="20"/>
        </w:rPr>
        <w:t xml:space="preserve">Mammalian corticogenesis ramps its leaving fraction monotonically, so retention is never stationary and the bridge fixed point is not occupied. The screen correctly rejects it. The bridge's √5 lives in a system that holds its leaving fraction constant — a balanced self-renewing compartment at steady turnover, where retention settles at r and continuation at √5 together. That is the next dataset.</w:t>
      </w:r>
    </w:p>
    <w:p>
      <w:pPr>
        <w:spacing w:after="160" w:line="296"/>
        <w:jc w:val="both"/>
      </w:pPr>
      <w:r>
        <w:rPr>
          <w:rFonts w:ascii="Constantia" w:cs="Constantia" w:eastAsia="Constantia" w:hAnsi="Constantia"/>
          <w:color w:val="243040"/>
          <w:sz w:val="21"/>
          <w:szCs w:val="21"/>
        </w:rPr>
        <w:t xml:space="preserve">The remaining ambiguity is stated honestly. The extraction depends on the declared mapping — gross births into each class, β = 0 — and a different defensible accounting of production shifts the fixed-point leaving fraction. Fixing that mapping by the physics of the specific compartment, before any comparison, is a required preregistration step; it is also why the balanced-turnover test is stronger, since there the retained fraction is read directly from a standing progenitor-to-neuron ratio rather than reconstructed through an accumulation integral.</w:t>
      </w:r>
    </w:p>
    <w:p>
      <w:pPr>
        <w:pStyle w:val="Heading1"/>
        <w:keepNext/>
        <w:pBdr>
          <w:bottom w:val="single" w:color="B48A2E" w:sz="8" w:space="6"/>
        </w:pBdr>
        <w:spacing w:after="240" w:before="540"/>
      </w:pPr>
      <w:r>
        <w:rPr>
          <w:rFonts w:ascii="Constantia" w:cs="Constantia" w:eastAsia="Constantia" w:hAnsi="Constantia"/>
          <w:b/>
          <w:bCs/>
          <w:color w:val="102A43"/>
          <w:spacing w:val="14"/>
          <w:sz w:val="29"/>
          <w:szCs w:val="29"/>
        </w:rPr>
        <w:t xml:space="preserve">6. THE NEXT TEST, AND THE CONTROL</w:t>
      </w:r>
    </w:p>
    <w:p>
      <w:pPr>
        <w:spacing w:after="160" w:line="296"/>
        <w:jc w:val="both"/>
      </w:pPr>
      <w:r>
        <w:rPr>
          <w:rFonts w:ascii="Constantia" w:cs="Constantia" w:eastAsia="Constantia" w:hAnsi="Constantia"/>
          <w:color w:val="243040"/>
          <w:sz w:val="21"/>
          <w:szCs w:val="21"/>
        </w:rPr>
        <w:t xml:space="preserve">The preregistered target now moves to a compartment that holds its leaving fraction stationary. Adult and homeostatic neurogenesis — the subventricular and subgranular zones, or a self-renewing neural-stem-cell niche at balanced turnover — maintain a standing progenitor pool against continuous neuron output. There the retention coordinate is a directly measured standing ratio, x = progenitors/(progenitors+new neurons), and the frozen screen is a single measurement: does x sit at r = 0.309, equivalently does the steady leaving fraction hold the continuation pressure at √5, within r³. The invariant lineage of C. elegans provides the developmental control, the analogue of radioactive branching: a conserved two-class accumulation with a hard-wired programme and no feedback on the split, which the compiler should reject as a machine even where its terminal fraction is computable.</w:t>
      </w:r>
    </w:p>
    <w:p>
      <w:pPr>
        <w:spacing w:after="160" w:line="296"/>
        <w:jc w:val="both"/>
      </w:pPr>
      <w:r>
        <w:rPr>
          <w:rFonts w:ascii="Constantia" w:cs="Constantia" w:eastAsia="Constantia" w:hAnsi="Constantia"/>
          <w:color w:val="243040"/>
          <w:sz w:val="21"/>
          <w:szCs w:val="21"/>
        </w:rPr>
        <w:t xml:space="preserve">The standing result is a real-data failure that improves the question. Across three substrates now — stellar carbon–oxygen, cortical avalanches, and cortical neurogenesis — the compiler has made a falsifiable commitment away from cosmology and been told, each time with a specific diagnosis, either wrong regime or wrong Whole. That is the framework doing work: not interpreting everything, but isolating one machine at a time, screening it blind against a number fixed in advance, and recording where and why it fails. The bridge's single empirical claim — continuation pressure √5 under genuine self-regulation — remains open and now has its sharpest test named: a standing progenitor-to-neuron ratio of r in a balanced neurogenic niche.</w:t>
      </w:r>
    </w:p>
    <w:p>
      <w:pPr>
        <w:pBdr>
          <w:top w:val="single" w:color="D8CBA8" w:sz="4" w:space="14"/>
        </w:pBdr>
        <w:spacing w:after="0" w:before="700"/>
        <w:ind w:left="1800" w:right="1800"/>
        <w:jc w:val="center"/>
      </w:pPr>
      <w:r>
        <w:rPr>
          <w:rFonts w:ascii="Constantia" w:cs="Constantia" w:eastAsia="Constantia" w:hAnsi="Constantia"/>
          <w:color w:val="B48A2E"/>
          <w:spacing w:val="40"/>
          <w:sz w:val="17"/>
          <w:szCs w:val="17"/>
        </w:rPr>
        <w:t xml:space="preserve">UNIFIED MECHANICS · APPLICATIONS · 2026</w:t>
      </w:r>
    </w:p>
    <w:sectPr>
      <w:headerReference w:type="default" r:id="rId7"/>
      <w:headerReference w:type="first" r:id="rId8"/>
      <w:pgSz w:w="11906" w:h="16838" w:orient="portrait"/>
      <w:pgMar w:top="1134" w:right="1247" w:bottom="1020" w:left="1247" w:header="454" w:footer="45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BA8" w:sz="4" w:space="4"/>
      </w:pBdr>
      <w:spacing w:after="0"/>
      <w:jc w:val="center"/>
    </w:pPr>
    <w:r>
      <w:rPr>
        <w:rFonts w:ascii="Constantia" w:cs="Constantia" w:eastAsia="Constantia" w:hAnsi="Constantia"/>
        <w:color w:val="5B6B7A"/>
        <w:spacing w:val="40"/>
        <w:sz w:val="16"/>
        <w:szCs w:val="16"/>
      </w:rPr>
      <w:t xml:space="preserve">UNIFIED MECHANICS · APPLICATIONS · 16 JULY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tantia" w:cs="Constantia" w:eastAsia="Constantia" w:hAnsi="Constantia"/>
        <w:color w:val="2430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93ca889b27b82ad29f869cef2d2bb75d971ca20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Mechanics — Applications 03: The Accumulating-History Extraction (Cortical Neurogenesis)</dc:title>
  <dc:creator>Joseph Shields, with Claude (research assistant)</dc:creator>
  <cp:lastModifiedBy>Un-named</cp:lastModifiedBy>
  <cp:revision>1</cp:revision>
  <dcterms:created xsi:type="dcterms:W3CDTF">2026-07-16T09:38:24.435Z</dcterms:created>
  <dcterms:modified xsi:type="dcterms:W3CDTF">2026-07-16T09:38:24.436Z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