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18</w:t>
      </w:r>
    </w:p>
    <w:p>
      <w:pPr>
        <w:spacing w:after="200"/>
        <w:jc w:val="center"/>
      </w:pPr>
      <w:r>
        <w:rPr>
          <w:rFonts w:ascii="Constantia" w:cs="Constantia" w:eastAsia="Constantia" w:hAnsi="Constantia"/>
          <w:b/>
          <w:bCs/>
          <w:color w:val="102A43"/>
          <w:sz w:val="44"/>
          <w:szCs w:val="44"/>
        </w:rPr>
        <w:t xml:space="preserve">The Quantised Crossing</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And the closure of the open ledger: what the observation machinery forces, what it dissolves, and what it leaves standing by name.</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WITH THE THIRD PRINTING</w:t>
      </w:r>
    </w:p>
    <w:p>
      <w:pPr>
        <w:spacing w:after="160" w:line="296"/>
        <w:jc w:val="both"/>
      </w:pPr>
      <w:r>
        <w:rPr>
          <w:rFonts w:ascii="Constantia" w:cs="Constantia" w:eastAsia="Constantia" w:hAnsi="Constantia"/>
          <w:color w:val="243040"/>
          <w:sz w:val="21"/>
          <w:szCs w:val="21"/>
        </w:rPr>
        <w:t xml:space="preserve">On the grades. PROVED follows from stated definitions or assumptions. CONDITIONAL follows once a named condition is granted. PROPOSED is a physical reading offered for calculation and falsification. POSTULATE is a starting commitment. OPEN names what the present language can formulate but cannot yet calculate. DISSOLVED, used once in this paper, marks a question shown to be a convention rather than a physical unknown. This paper closes items from the corpus ledger using machinery the corpus did not have when the items were opened: the record condition of the observation principles, the additive readout rule of the wound, and the one-account requirement. Where an item is closed only relative to the framework’s own definitions, that dependence is stated, not hidden.</w:t>
      </w:r>
    </w:p>
    <w:p>
      <w:pPr>
        <w:keepNext/>
        <w:spacing w:after="60" w:before="460"/>
      </w:pPr>
      <w:r>
        <w:rPr>
          <w:rFonts w:ascii="Constantia" w:cs="Constantia" w:eastAsia="Constantia" w:hAnsi="Constantia"/>
          <w:b/>
          <w:bCs/>
          <w:color w:val="B48A2E"/>
          <w:spacing w:val="8"/>
          <w:sz w:val="22"/>
          <w:szCs w:val="22"/>
        </w:rPr>
        <w:t xml:space="preserve">SECTION ONE</w:t>
      </w:r>
    </w:p>
    <w:p>
      <w:pPr>
        <w:keepNext/>
        <w:pBdr>
          <w:bottom w:val="single" w:color="B48A2E" w:sz="8" w:space="6"/>
        </w:pBdr>
        <w:spacing w:after="200"/>
      </w:pPr>
      <w:r>
        <w:rPr>
          <w:rFonts w:ascii="Constantia" w:cs="Constantia" w:eastAsia="Constantia" w:hAnsi="Constantia"/>
          <w:b/>
          <w:bCs/>
          <w:color w:val="102A43"/>
          <w:sz w:val="28"/>
          <w:szCs w:val="28"/>
        </w:rPr>
        <w:t xml:space="preserve">The quantised crossing</w:t>
      </w:r>
    </w:p>
    <w:p>
      <w:pPr>
        <w:spacing w:after="160" w:line="296"/>
        <w:jc w:val="both"/>
      </w:pPr>
      <w:r>
        <w:rPr>
          <w:rFonts w:ascii="Constantia" w:cs="Constantia" w:eastAsia="Constantia" w:hAnsi="Constantia"/>
          <w:color w:val="243040"/>
          <w:sz w:val="21"/>
          <w:szCs w:val="21"/>
        </w:rPr>
        <w:t xml:space="preserve">The oldest open item in the corpus is the exactness of the traversal price. Movement Seven of the monograph states the price of crossing a three-channel body as r³ = 1/(8φ³) = (√5 − 2)/8, and flags as OPEN the load-bearing step: whether each crossing must cost exactly r rather than merely about r. The earlier cosmological framework carried the same quantity as a structural floor, ε = r³ ≈ 2.95% per traversal cycle, asserted rather than derived, and supported after the fact by agreement with measured discrepancies. That support was retrodictive, and the corpus has since regraded retrodictive support wherever it found it. This section replaces the assertion with a forcing.</w:t>
      </w:r>
    </w:p>
    <w:p>
      <w:pPr>
        <w:spacing w:after="160" w:line="296"/>
        <w:jc w:val="both"/>
      </w:pPr>
      <w:r>
        <w:rPr>
          <w:rFonts w:ascii="Constantia" w:cs="Constantia" w:eastAsia="Constantia" w:hAnsi="Constantia"/>
          <w:color w:val="243040"/>
          <w:sz w:val="21"/>
          <w:szCs w:val="21"/>
        </w:rPr>
        <w:t xml:space="preserve">Recall what r is. By Movement Four it is not an efficiency, a coupling, or a loss coefficient. It is the retained fraction of one act of self-description, pinned at 1/(2φ) by the two-sided reading with no adjustable quantity anywhere. An efficiency could vary by circumstance. A definitional fraction cannot: whatever is exactly one act retains exactly r, by what r is. The entire burden of exactness therefore rests on a single question: can a crossing be anything other than exactly one act?</w:t>
      </w:r>
    </w:p>
    <w:p>
      <w:pPr>
        <w:spacing w:after="160" w:line="296"/>
        <w:jc w:val="both"/>
      </w:pPr>
      <w:r>
        <w:rPr>
          <w:rFonts w:ascii="Constantia" w:cs="Constantia" w:eastAsia="Constantia" w:hAnsi="Constantia"/>
          <w:color w:val="243040"/>
          <w:sz w:val="21"/>
          <w:szCs w:val="21"/>
        </w:rPr>
        <w:t xml:space="preserve">The observation machinery answers no, and the answer is structural. The record condition of the Principle of Mechanical Observation is two-valued: a distinction either remains discriminable and recoverable under the relevant future dynamics, or it does not. There is no third state, because a partially recoverable distinction is not a weaker record but a failed one; whatever cannot be recovered has already left the account. The readout rule of the wound says the same thing from the other side: the record admits whole distinctions, joined by the rule that only adds, and there is no operation that retains half a distinction. Between zero closures and one closure the framework contains no admissible operation.</w:t>
      </w:r>
    </w:p>
    <w:p>
      <w:pPr>
        <w:spacing w:after="130" w:before="110"/>
        <w:jc w:val="center"/>
      </w:pPr>
      <w:r>
        <w:rPr>
          <w:rFonts w:ascii="Constantia" w:cs="Constantia" w:eastAsia="Constantia" w:hAnsi="Constantia"/>
          <w:b/>
          <w:bCs/>
          <w:color w:val="102A43"/>
          <w:sz w:val="22"/>
          <w:szCs w:val="22"/>
        </w:rPr>
        <w:t xml:space="preserve">a crossing either closes, one act, factor exactly r, or it fails, no record, and that failure is what opacity is</w:t>
      </w:r>
    </w:p>
    <w:p>
      <w:pPr>
        <w:spacing w:after="160" w:line="296"/>
        <w:jc w:val="both"/>
      </w:pPr>
      <w:r>
        <w:rPr>
          <w:rFonts w:ascii="Constantia" w:cs="Constantia" w:eastAsia="Constantia" w:hAnsi="Constantia"/>
          <w:color w:val="243040"/>
          <w:sz w:val="21"/>
          <w:szCs w:val="21"/>
        </w:rPr>
        <w:t xml:space="preserve">Lemma (the quantised crossing). Under the record condition and the readout rule, the price of a channel crossing takes exactly one of two values: r, when the crossing closes, and no traversal at all, when it does not. Intermediate prices would require a partial closure, and no partial closure exists in the framework’s operation set. The proof is short because the machinery was built for it: exactness follows from the discreteness of closure, not from fine tuning.</w:t>
      </w:r>
    </w:p>
    <w:p>
      <w:pPr>
        <w:spacing w:after="160" w:line="296"/>
        <w:jc w:val="both"/>
      </w:pPr>
      <w:r>
        <w:rPr>
          <w:rFonts w:ascii="Constantia" w:cs="Constantia" w:eastAsia="Constantia" w:hAnsi="Constantia"/>
          <w:color w:val="243040"/>
          <w:sz w:val="21"/>
          <w:szCs w:val="21"/>
        </w:rPr>
        <w:t xml:space="preserve">Corollary one. The traversal price of an n-channel body is exactly rⁿ, and for the three-channel whole of the monograph the price is exactly r³. The number was already written as a surd on purpose; it is now a surd with a reason.</w:t>
      </w:r>
    </w:p>
    <w:p>
      <w:pPr>
        <w:spacing w:after="160" w:line="296"/>
        <w:jc w:val="both"/>
      </w:pPr>
      <w:r>
        <w:rPr>
          <w:rFonts w:ascii="Constantia" w:cs="Constantia" w:eastAsia="Constantia" w:hAnsi="Constantia"/>
          <w:color w:val="243040"/>
          <w:sz w:val="21"/>
          <w:szCs w:val="21"/>
        </w:rPr>
        <w:t xml:space="preserve">Corollary two, the counting convention. A channel is one squared relation of the whole: direct, related, or held. A crossing is one closure of that relation. The count n assigned to any measurement pipeline is the number of closures its record chain performs, and the count must be declared from the pipeline’s architecture before any comparison with data. This convention is not an added assumption; it is the definition of channel and closure already in force, restated as an audit rule.</w:t>
      </w:r>
    </w:p>
    <w:p>
      <w:pPr>
        <w:spacing w:after="160" w:line="296"/>
        <w:jc w:val="both"/>
      </w:pPr>
      <w:r>
        <w:rPr>
          <w:rFonts w:ascii="Constantia" w:cs="Constantia" w:eastAsia="Constantia" w:hAnsi="Constantia"/>
          <w:color w:val="243040"/>
          <w:sz w:val="21"/>
          <w:szCs w:val="21"/>
        </w:rPr>
        <w:t xml:space="preserve">Corollary three, the price and the floor are one quantity. The earlier framework treated r³ as a noise floor accumulating additively, n × ε per n crossings. The monograph treats it as a retained price, compounding multiplicatively, so that what survives n crossings is (1 − r³)ⁿ of the account. These are the same fact seen from two sides: what a body retains, a receiver loses, and the additive floor is the first-order form of the exact multiplicative price. Going forward the exact form governs, and the linearised form is a small-n approximation, stated as such.</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record condition and the readout rule: the crossing lemma and corollaries one and three. The counting convention is definitional. Physical applicability inherits the grade of the observation principles themselves, which remain PROPOSED as a reading of real measurement chains. Movement Seven’s OPEN flag is closed relative to the framework’s definitions, and the closure is inherited by every result that waited on it.</w:t>
      </w:r>
    </w:p>
    <w:p>
      <w:pPr>
        <w:keepNext/>
        <w:spacing w:after="60" w:before="460"/>
      </w:pPr>
      <w:r>
        <w:rPr>
          <w:rFonts w:ascii="Constantia" w:cs="Constantia" w:eastAsia="Constantia" w:hAnsi="Constantia"/>
          <w:b/>
          <w:bCs/>
          <w:color w:val="B48A2E"/>
          <w:spacing w:val="8"/>
          <w:sz w:val="22"/>
          <w:szCs w:val="22"/>
        </w:rPr>
        <w:t xml:space="preserve">SECTION TWO</w:t>
      </w:r>
    </w:p>
    <w:p>
      <w:pPr>
        <w:keepNext/>
        <w:pBdr>
          <w:bottom w:val="single" w:color="B48A2E" w:sz="8" w:space="6"/>
        </w:pBdr>
        <w:spacing w:after="200"/>
      </w:pPr>
      <w:r>
        <w:rPr>
          <w:rFonts w:ascii="Constantia" w:cs="Constantia" w:eastAsia="Constantia" w:hAnsi="Constantia"/>
          <w:b/>
          <w:bCs/>
          <w:color w:val="102A43"/>
          <w:sz w:val="28"/>
          <w:szCs w:val="28"/>
        </w:rPr>
        <w:t xml:space="preserve">One wall, not two</w:t>
      </w:r>
    </w:p>
    <w:p>
      <w:pPr>
        <w:spacing w:after="160" w:line="296"/>
        <w:jc w:val="both"/>
      </w:pPr>
      <w:r>
        <w:rPr>
          <w:rFonts w:ascii="Constantia" w:cs="Constantia" w:eastAsia="Constantia" w:hAnsi="Constantia"/>
          <w:color w:val="243040"/>
          <w:sz w:val="21"/>
          <w:szCs w:val="21"/>
        </w:rPr>
        <w:t xml:space="preserve">The ledger carried two thresholds: the saturation condition of the ocean, where an accumulating single channel can no longer carry what it has taken on, and the critical impedance of the wound, the undetermined level at which a stretched face ruptures. Held side by side under the readout rule, they are one condition. A face under impedance is holding unresolved throughput. It can go on holding exactly as long as holding does not require overwriting content already held. The moment continuation as one face would demand overwrite, and overwrite is inadmissible because the one rule only adds, the distinction is forced. That moment is the rupture. But the moment when a single channel must either overwrite or split is precisely the definition of saturation from Movement Nineteen.</w:t>
      </w:r>
    </w:p>
    <w:p>
      <w:pPr>
        <w:spacing w:after="130" w:before="110"/>
        <w:jc w:val="center"/>
      </w:pPr>
      <w:r>
        <w:rPr>
          <w:rFonts w:ascii="Constantia" w:cs="Constantia" w:eastAsia="Constantia" w:hAnsi="Constantia"/>
          <w:b/>
          <w:bCs/>
          <w:color w:val="102A43"/>
          <w:sz w:val="22"/>
          <w:szCs w:val="22"/>
        </w:rPr>
        <w:t xml:space="preserve">the critical impedance is the saturation condition, stated locally</w:t>
      </w:r>
    </w:p>
    <w:p>
      <w:pPr>
        <w:spacing w:after="160" w:line="296"/>
        <w:jc w:val="both"/>
      </w:pPr>
      <w:r>
        <w:rPr>
          <w:rFonts w:ascii="Constantia" w:cs="Constantia" w:eastAsia="Constantia" w:hAnsi="Constantia"/>
          <w:color w:val="243040"/>
          <w:sz w:val="21"/>
          <w:szCs w:val="21"/>
        </w:rPr>
        <w:t xml:space="preserve">So the wound introduces no new unknown. The framework owes one wall, not two, and every question about where rupture occurs is the same question as where saturation sits. The consolidation does not tell us where the wall is. It tells us how many walls there are to find, which for a framework that counts its debts is not a small thing.</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an identity of conditions, given the one rule and the definitions of saturation and impedance. The location of the wall remains OPEN, now as a single item rather than two.</w:t>
      </w:r>
    </w:p>
    <w:p>
      <w:pPr>
        <w:keepNext/>
        <w:spacing w:after="60" w:before="460"/>
      </w:pPr>
      <w:r>
        <w:rPr>
          <w:rFonts w:ascii="Constantia" w:cs="Constantia" w:eastAsia="Constantia" w:hAnsi="Constantia"/>
          <w:b/>
          <w:bCs/>
          <w:color w:val="B48A2E"/>
          <w:spacing w:val="8"/>
          <w:sz w:val="22"/>
          <w:szCs w:val="22"/>
        </w:rPr>
        <w:t xml:space="preserve">SECTION THREE</w:t>
      </w:r>
    </w:p>
    <w:p>
      <w:pPr>
        <w:keepNext/>
        <w:pBdr>
          <w:bottom w:val="single" w:color="B48A2E" w:sz="8" w:space="6"/>
        </w:pBdr>
        <w:spacing w:after="200"/>
      </w:pPr>
      <w:r>
        <w:rPr>
          <w:rFonts w:ascii="Constantia" w:cs="Constantia" w:eastAsia="Constantia" w:hAnsi="Constantia"/>
          <w:b/>
          <w:bCs/>
          <w:color w:val="102A43"/>
          <w:sz w:val="28"/>
          <w:szCs w:val="28"/>
        </w:rPr>
        <w:t xml:space="preserve">The metering clause</w:t>
      </w:r>
    </w:p>
    <w:p>
      <w:pPr>
        <w:spacing w:after="160" w:line="296"/>
        <w:jc w:val="both"/>
      </w:pPr>
      <w:r>
        <w:rPr>
          <w:rFonts w:ascii="Constantia" w:cs="Constantia" w:eastAsia="Constantia" w:hAnsi="Constantia"/>
          <w:color w:val="243040"/>
          <w:sz w:val="21"/>
          <w:szCs w:val="21"/>
        </w:rPr>
        <w:t xml:space="preserve">The wound addendum left as OPEN the derivation of c, the finite readout rate, from the closed system. Swept properly, that item separates into three parts with three different fates.</w:t>
      </w:r>
    </w:p>
    <w:p>
      <w:pPr>
        <w:spacing w:after="160" w:line="296"/>
        <w:jc w:val="both"/>
      </w:pPr>
      <w:r>
        <w:rPr>
          <w:rFonts w:ascii="Constantia" w:cs="Constantia" w:eastAsia="Constantia" w:hAnsi="Constantia"/>
          <w:color w:val="243040"/>
          <w:sz w:val="21"/>
          <w:szCs w:val="21"/>
        </w:rPr>
        <w:t xml:space="preserve">Finiteness is already forced. The conversion of folded recursion into ordered record must be metered or it is not conserving; an unmetered release is the succession of replacements the wound cannot afford. This was Movement Twenty-Two’s result and it stands.</w:t>
      </w:r>
    </w:p>
    <w:p>
      <w:pPr>
        <w:spacing w:after="160" w:line="296"/>
        <w:jc w:val="both"/>
      </w:pPr>
      <w:r>
        <w:rPr>
          <w:rFonts w:ascii="Constantia" w:cs="Constantia" w:eastAsia="Constantia" w:hAnsi="Constantia"/>
          <w:color w:val="243040"/>
          <w:sz w:val="21"/>
          <w:szCs w:val="21"/>
        </w:rPr>
        <w:t xml:space="preserve">Uniformity is forced by the one-account requirement. Suppose the metering rate differed from reader to reader, or from region to region, with no rule connecting the differences. Then the domain would not possess one causal order but several, and its records could not be parts of a single account; the world would fragment into ledgers that cannot answer one another. One account demands one metering clause, holding everywhere and for every reader. And a domain with one universal rate and no privileged reader is a domain whose bookkeeping transforms between readers in exactly the manner worked out in 1905; the kinematics of special relativity is the established mathematics of precisely this pair of demands. The framework does not rederive Einstein. It derives Einstein’s two premises, an invariant finite rate and no privileged observer, from conservation and the one account, and then borrows the rest with its name attached, in the manner of Movement Fifteen of the monograph.</w:t>
      </w:r>
    </w:p>
    <w:p>
      <w:pPr>
        <w:spacing w:after="160" w:line="296"/>
        <w:jc w:val="both"/>
      </w:pPr>
      <w:r>
        <w:rPr>
          <w:rFonts w:ascii="Constantia" w:cs="Constantia" w:eastAsia="Constantia" w:hAnsi="Constantia"/>
          <w:color w:val="243040"/>
          <w:sz w:val="21"/>
          <w:szCs w:val="21"/>
        </w:rPr>
        <w:t xml:space="preserve">Magnitude, finally, is not a physical unknown at all. The numerical value 299,792,458 metres per second is a statement about metres and seconds, which are conventions calibrated inside the domain the rate itself defines. In the domain’s own units the rate is one; asking why c has the value it has is asking why humans cut their rulers where they did. The open item dissolves.</w:t>
      </w:r>
    </w:p>
    <w:p>
      <w:pPr>
        <w:spacing w:after="130" w:before="110"/>
        <w:jc w:val="center"/>
      </w:pPr>
      <w:r>
        <w:rPr>
          <w:rFonts w:ascii="Constantia" w:cs="Constantia" w:eastAsia="Constantia" w:hAnsi="Constantia"/>
          <w:b/>
          <w:bCs/>
          <w:color w:val="102A43"/>
          <w:sz w:val="22"/>
          <w:szCs w:val="22"/>
        </w:rPr>
        <w:t xml:space="preserve">finiteness forced by conservation · uniformity forced by the one account · magnitude a convention</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conservation postulate: finiteness. PROVED, given the one-account requirement: uniformity and the absence of a privileged reader, from which the Lorentzian kinematics follows as established mathematics. DISSOLVED: the magnitude of c. What remains genuinely OPEN, named exactly: why the metering clause takes the specific form of an invariant interval rather than any other one-account-compatible structure. That is a form of the structure not yet explained, and it is now the only part of this item that is.</w:t>
      </w:r>
    </w:p>
    <w:p>
      <w:pPr>
        <w:keepNext/>
        <w:spacing w:after="60" w:before="460"/>
      </w:pPr>
      <w:r>
        <w:rPr>
          <w:rFonts w:ascii="Constantia" w:cs="Constantia" w:eastAsia="Constantia" w:hAnsi="Constantia"/>
          <w:b/>
          <w:bCs/>
          <w:color w:val="B48A2E"/>
          <w:spacing w:val="8"/>
          <w:sz w:val="22"/>
          <w:szCs w:val="22"/>
        </w:rPr>
        <w:t xml:space="preserve">SECTION FOUR</w:t>
      </w:r>
    </w:p>
    <w:p>
      <w:pPr>
        <w:keepNext/>
        <w:pBdr>
          <w:bottom w:val="single" w:color="B48A2E" w:sz="8" w:space="6"/>
        </w:pBdr>
        <w:spacing w:after="200"/>
      </w:pPr>
      <w:r>
        <w:rPr>
          <w:rFonts w:ascii="Constantia" w:cs="Constantia" w:eastAsia="Constantia" w:hAnsi="Constantia"/>
          <w:b/>
          <w:bCs/>
          <w:color w:val="102A43"/>
          <w:sz w:val="28"/>
          <w:szCs w:val="28"/>
        </w:rPr>
        <w:t xml:space="preserve">The single outcome</w:t>
      </w:r>
    </w:p>
    <w:p>
      <w:pPr>
        <w:spacing w:after="160" w:line="296"/>
        <w:jc w:val="both"/>
      </w:pPr>
      <w:r>
        <w:rPr>
          <w:rFonts w:ascii="Constantia" w:cs="Constantia" w:eastAsia="Constantia" w:hAnsi="Constantia"/>
          <w:color w:val="243040"/>
          <w:sz w:val="21"/>
          <w:szCs w:val="21"/>
        </w:rPr>
        <w:t xml:space="preserve">Movement Eighteen closed on a deliberate silence: what, if anything, selects the single outcome a record keeps. The sweep can now split that silence into a theorem and a boundary.</w:t>
      </w:r>
    </w:p>
    <w:p>
      <w:pPr>
        <w:spacing w:after="160" w:line="296"/>
        <w:jc w:val="both"/>
      </w:pPr>
      <w:r>
        <w:rPr>
          <w:rFonts w:ascii="Constantia" w:cs="Constantia" w:eastAsia="Constantia" w:hAnsi="Constantia"/>
          <w:color w:val="243040"/>
          <w:sz w:val="21"/>
          <w:szCs w:val="21"/>
        </w:rPr>
        <w:t xml:space="preserve">The theorem: that a record holds a single outcome is forced, not mysterious. A record is a discriminable, recoverable distinction. A state of affairs in which both alternatives remain coherently present is precisely not discriminable as either, and is therefore not a record but an unresolved ledger, which is what superposition is. Singleness is not something that happens to a record; it is the definition of one. The question was never why records are single.</w:t>
      </w:r>
    </w:p>
    <w:p>
      <w:pPr>
        <w:spacing w:after="160" w:line="296"/>
        <w:jc w:val="both"/>
      </w:pPr>
      <w:r>
        <w:rPr>
          <w:rFonts w:ascii="Constantia" w:cs="Constantia" w:eastAsia="Constantia" w:hAnsi="Constantia"/>
          <w:color w:val="243040"/>
          <w:sz w:val="21"/>
          <w:szCs w:val="21"/>
        </w:rPr>
        <w:t xml:space="preserve">The boundary: which outcome. Suppose the framework, or any framework, offered an internal answer: some fact, readable in principle, that selected this outcome rather than that one. The answer would itself be a record, produced by some resolving event, and the same question would apply to it, without end. An answer to which, given from inside the domain of records, regresses. The selection therefore cannot be read from within any record chain, not because it is hidden but because reading is the wrong category for it: it stands to the record as the far side of the silver boundary stands to the pocket. The monograph’s discipline for such places is settled: mark the rim, decline to narrate past it.</w:t>
      </w:r>
    </w:p>
    <w:p>
      <w:pPr>
        <w:spacing w:after="130" w:before="110"/>
        <w:jc w:val="center"/>
      </w:pPr>
      <w:r>
        <w:rPr>
          <w:rFonts w:ascii="Constantia" w:cs="Constantia" w:eastAsia="Constantia" w:hAnsi="Constantia"/>
          <w:b/>
          <w:bCs/>
          <w:color w:val="102A43"/>
          <w:sz w:val="22"/>
          <w:szCs w:val="22"/>
        </w:rPr>
        <w:t xml:space="preserve">that the outcome is single is a theorem; which outcome it is lies past a rim</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record condition: singleness. PROVED, as a regress: the unreadability of selection from within the record domain. PROPOSED: that this exhausts what a physical framework owes the measurement problem. The competing interpretations are readings of the far side of this rim, and the framework holds its silence there deliberately.</w:t>
      </w:r>
    </w:p>
    <w:p>
      <w:pPr>
        <w:keepNext/>
        <w:spacing w:after="60" w:before="460"/>
      </w:pPr>
      <w:r>
        <w:rPr>
          <w:rFonts w:ascii="Constantia" w:cs="Constantia" w:eastAsia="Constantia" w:hAnsi="Constantia"/>
          <w:b/>
          <w:bCs/>
          <w:color w:val="B48A2E"/>
          <w:spacing w:val="8"/>
          <w:sz w:val="22"/>
          <w:szCs w:val="22"/>
        </w:rPr>
        <w:t xml:space="preserve">SECTION FIVE</w:t>
      </w:r>
    </w:p>
    <w:p>
      <w:pPr>
        <w:keepNext/>
        <w:pBdr>
          <w:bottom w:val="single" w:color="B48A2E" w:sz="8" w:space="6"/>
        </w:pBdr>
        <w:spacing w:after="200"/>
      </w:pPr>
      <w:r>
        <w:rPr>
          <w:rFonts w:ascii="Constantia" w:cs="Constantia" w:eastAsia="Constantia" w:hAnsi="Constantia"/>
          <w:b/>
          <w:bCs/>
          <w:color w:val="102A43"/>
          <w:sz w:val="28"/>
          <w:szCs w:val="28"/>
        </w:rPr>
        <w:t xml:space="preserve">Mixture is relative to the machinery</w:t>
      </w:r>
    </w:p>
    <w:p>
      <w:pPr>
        <w:spacing w:after="160" w:line="296"/>
        <w:jc w:val="both"/>
      </w:pPr>
      <w:r>
        <w:rPr>
          <w:rFonts w:ascii="Constantia" w:cs="Constantia" w:eastAsia="Constantia" w:hAnsi="Constantia"/>
          <w:color w:val="243040"/>
          <w:sz w:val="21"/>
          <w:szCs w:val="21"/>
        </w:rPr>
        <w:t xml:space="preserve">The research programme asked when environmental export turns a superposition class into a mixture class. The observation machinery makes the answer definitional. Cross-relations are exported to an environment; the ledger becomes a mixture for a given observer architecture at the point where no admissible operation of that architecture can return the exported relations to one account. The criterion is explicitly relative: a larger architecture, commanding more of the environment, may still hold the relations, and for it the class has not changed. Mixture-ness is not a property a state possesses absolutely. It is a verdict rendered jointly by a state and a machinery, which is exactly what the established in-principle reversibility of decoherence says in conventional language.</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definitions of the observation principles. The identification with laboratory decoherence thresholds is established physics read through the framework, PROPOSED as all such readings are.</w:t>
      </w:r>
    </w:p>
    <w:p>
      <w:pPr>
        <w:keepNext/>
        <w:spacing w:after="60" w:before="460"/>
      </w:pPr>
      <w:r>
        <w:rPr>
          <w:rFonts w:ascii="Constantia" w:cs="Constantia" w:eastAsia="Constantia" w:hAnsi="Constantia"/>
          <w:b/>
          <w:bCs/>
          <w:color w:val="B48A2E"/>
          <w:spacing w:val="8"/>
          <w:sz w:val="22"/>
          <w:szCs w:val="22"/>
        </w:rPr>
        <w:t xml:space="preserve">SECTION SIX</w:t>
      </w:r>
    </w:p>
    <w:p>
      <w:pPr>
        <w:keepNext/>
        <w:pBdr>
          <w:bottom w:val="single" w:color="B48A2E" w:sz="8" w:space="6"/>
        </w:pBdr>
        <w:spacing w:after="200"/>
      </w:pPr>
      <w:r>
        <w:rPr>
          <w:rFonts w:ascii="Constantia" w:cs="Constantia" w:eastAsia="Constantia" w:hAnsi="Constantia"/>
          <w:b/>
          <w:bCs/>
          <w:color w:val="102A43"/>
          <w:sz w:val="28"/>
          <w:szCs w:val="28"/>
        </w:rPr>
        <w:t xml:space="preserve">What the record forbids the sky to do</w:t>
      </w:r>
    </w:p>
    <w:p>
      <w:pPr>
        <w:spacing w:after="160" w:line="296"/>
        <w:jc w:val="both"/>
      </w:pPr>
      <w:r>
        <w:rPr>
          <w:rFonts w:ascii="Constantia" w:cs="Constantia" w:eastAsia="Constantia" w:hAnsi="Constantia"/>
          <w:color w:val="243040"/>
          <w:sz w:val="21"/>
          <w:szCs w:val="21"/>
        </w:rPr>
        <w:t xml:space="preserve">The expansion functional, joining the growth of the record to the measured scale factor, remains beyond this paper; deriving it is a calculation, not a sweep. But the sweep can force the sign. A contraction of the causal domain back toward coincidence would press distinctions that have been read and retained back into the unread simultaneity they came from, and that is overwrite by geometry: the deletion of the relations between resolved distinctions, forbidden by the same rule that forbade it at the wound. While the record stands and remainder is still being read, the domain does not recollapse.</w:t>
      </w:r>
    </w:p>
    <w:p>
      <w:pPr>
        <w:spacing w:after="130" w:before="110"/>
        <w:jc w:val="center"/>
      </w:pPr>
      <w:r>
        <w:rPr>
          <w:rFonts w:ascii="Constantia" w:cs="Constantia" w:eastAsia="Constantia" w:hAnsi="Constantia"/>
          <w:b/>
          <w:bCs/>
          <w:color w:val="102A43"/>
          <w:sz w:val="22"/>
          <w:szCs w:val="22"/>
        </w:rPr>
        <w:t xml:space="preserve">no recollapse while the record stands</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CONDITIONAL on the conservation postulate: recollapse to coincidence is inadmissible. The quantitative expansion history, the functional itself, remains OPEN, and it is the largest single calculation the framework now owes.</w:t>
      </w:r>
    </w:p>
    <w:p>
      <w:pPr>
        <w:keepNext/>
        <w:spacing w:after="60" w:before="460"/>
      </w:pPr>
      <w:r>
        <w:rPr>
          <w:rFonts w:ascii="Constantia" w:cs="Constantia" w:eastAsia="Constantia" w:hAnsi="Constantia"/>
          <w:b/>
          <w:bCs/>
          <w:color w:val="B48A2E"/>
          <w:spacing w:val="8"/>
          <w:sz w:val="22"/>
          <w:szCs w:val="22"/>
        </w:rPr>
        <w:t xml:space="preserve">SECTION SEVEN</w:t>
      </w:r>
    </w:p>
    <w:p>
      <w:pPr>
        <w:keepNext/>
        <w:pBdr>
          <w:bottom w:val="single" w:color="B48A2E" w:sz="8" w:space="6"/>
        </w:pBdr>
        <w:spacing w:after="200"/>
      </w:pPr>
      <w:r>
        <w:rPr>
          <w:rFonts w:ascii="Constantia" w:cs="Constantia" w:eastAsia="Constantia" w:hAnsi="Constantia"/>
          <w:b/>
          <w:bCs/>
          <w:color w:val="102A43"/>
          <w:sz w:val="28"/>
          <w:szCs w:val="28"/>
        </w:rPr>
        <w:t xml:space="preserve">The tension, regraded</w:t>
      </w:r>
    </w:p>
    <w:p>
      <w:pPr>
        <w:spacing w:after="160" w:line="296"/>
        <w:jc w:val="both"/>
      </w:pPr>
      <w:r>
        <w:rPr>
          <w:rFonts w:ascii="Constantia" w:cs="Constantia" w:eastAsia="Constantia" w:hAnsi="Constantia"/>
          <w:color w:val="243040"/>
          <w:sz w:val="21"/>
          <w:szCs w:val="21"/>
        </w:rPr>
        <w:t xml:space="preserve">The earlier framework read the Hubble tension as three floors’ worth of discrepancy, 3r³ = 8.85% against an observed gap of roughly nine percent, and spent the agreement as support. Under this paper the same fact changes jobs. The crossing lemma makes the price exact; the counting convention makes n auditable; and the reconciliation of price and floor fixes the composition rule, multiplicative exactly, additive only to first order, so the three-crossing gap is 1 − (1 − r³)³ = 8.59% exact, with 8.85% as its linearisation. What the framework now owes is not agreement but an audit: count the closures in the early-universe pipeline and the late-universe pipeline from their architectures, declare the difference n before looking at the numbers, and state which composition applies to the chain as built. Then the claim is exposed rather than supported: if the audited count is n and the measured gap is not the n-crossing price within stated errors, the physical reading of the traversal price fails, in public. The tension stops being a witness for the framework and becomes a witness against it that has not yet spoken.</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the exact composition of crossing prices. PROPOSED, pending audit: the old count of three, inherited from the earlier framework, now a declaration requiring justification from pipeline architecture rather than from the size of the gap it explains. The audit itself is the test, and it is pre-registered by this paragraph.</w:t>
      </w:r>
    </w:p>
    <w:p>
      <w:pPr>
        <w:keepNext/>
        <w:spacing w:after="60" w:before="460"/>
      </w:pPr>
      <w:r>
        <w:rPr>
          <w:rFonts w:ascii="Constantia" w:cs="Constantia" w:eastAsia="Constantia" w:hAnsi="Constantia"/>
          <w:b/>
          <w:bCs/>
          <w:color w:val="B48A2E"/>
          <w:spacing w:val="8"/>
          <w:sz w:val="22"/>
          <w:szCs w:val="22"/>
        </w:rPr>
        <w:t xml:space="preserve">SECTION EIGHT</w:t>
      </w:r>
    </w:p>
    <w:p>
      <w:pPr>
        <w:keepNext/>
        <w:pBdr>
          <w:bottom w:val="single" w:color="B48A2E" w:sz="8" w:space="6"/>
        </w:pBdr>
        <w:spacing w:after="200"/>
      </w:pPr>
      <w:r>
        <w:rPr>
          <w:rFonts w:ascii="Constantia" w:cs="Constantia" w:eastAsia="Constantia" w:hAnsi="Constantia"/>
          <w:b/>
          <w:bCs/>
          <w:color w:val="102A43"/>
          <w:sz w:val="28"/>
          <w:szCs w:val="28"/>
        </w:rPr>
        <w:t xml:space="preserve">The remaining ledger</w:t>
      </w:r>
    </w:p>
    <w:p>
      <w:pPr>
        <w:spacing w:after="160" w:line="296"/>
        <w:jc w:val="both"/>
      </w:pPr>
      <w:r>
        <w:rPr>
          <w:rFonts w:ascii="Constantia" w:cs="Constantia" w:eastAsia="Constantia" w:hAnsi="Constantia"/>
          <w:color w:val="243040"/>
          <w:sz w:val="21"/>
          <w:szCs w:val="21"/>
        </w:rPr>
        <w:t xml:space="preserve">After the sweep, the framework’s open ledger reads as follows, in full. One wall: where saturation sits, a single item appearing in the ocean and at the wound. One form: why the metering clause is an invariant interval rather than another one-account structure. One functional: the bridge from record growth to the measured expansion history. One count: the audited closure numbers of the real measurement pipelines, tension included. And one standing hunt, which belongs to the Standard rather than to this paper: a running, self-holding system returning r under a pre-declared convention. Everything else that stood open in the corpus this week is now proved relative to named commitments, dissolved as convention, consolidated into the items above, or placed past a rim on purpose.</w:t>
      </w:r>
    </w:p>
    <w:p>
      <w:pPr>
        <w:spacing w:after="160" w:line="296"/>
        <w:jc w:val="both"/>
      </w:pPr>
      <w:r>
        <w:rPr>
          <w:rFonts w:ascii="Constantia" w:cs="Constantia" w:eastAsia="Constantia" w:hAnsi="Constantia"/>
          <w:color w:val="243040"/>
          <w:sz w:val="21"/>
          <w:szCs w:val="21"/>
        </w:rPr>
        <w:t xml:space="preserve">That is what completion means here, and it is worth saying without embarrassment, because the word is often used more loosely. The structure is closed: no step of the story from the first distinction to the sky now waits on machinery the framework does not possess. What remains are locations, forms, and counts, the coordinates of the structure inside the measured world, and each one is named, single, and falsifiable-shaped. Anything still evading the language after this paper is not a missing plank in the floor. It is a form of the structure not yet explained, and the ledger above says exactly which forms those are: one wall, one form, one functional, one count, one hunt.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This section is an accounting, not a claim. Each item retains the grade assigned where it was closed or left standing.</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QUANTISED CROSSING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2026-07-26T07:06:11.686Z</dcterms:created>
  <dcterms:modified xsi:type="dcterms:W3CDTF">2026-07-26T07:06:11.687Z</dcterms:modified>
</cp:coreProperties>
</file>

<file path=docProps/custom.xml><?xml version="1.0" encoding="utf-8"?>
<Properties xmlns="http://schemas.openxmlformats.org/officeDocument/2006/custom-properties" xmlns:vt="http://schemas.openxmlformats.org/officeDocument/2006/docPropsVTypes"/>
</file>