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0" w:line="293" w:lineRule="auto"/>
        <w:jc w:val="both"/>
      </w:pPr>
    </w:p>
    <w:p>
      <w:pPr>
        <w:keepNext w:val="0"/>
        <w:spacing w:before="0" w:after="280" w:line="293" w:lineRule="auto"/>
        <w:jc w:val="center"/>
      </w:pPr>
      <w:r>
        <w:rPr>
          <w:rFonts w:ascii="Constantia" w:hAnsi="Constantia" w:eastAsia="Constantia"/>
          <w:b w:val="0"/>
          <w:i w:val="0"/>
          <w:color w:val="B48A2E"/>
          <w:sz w:val="20"/>
        </w:rPr>
        <w:t>UNIFIED MECHANICS  ·  ADDENDUM A04</w:t>
      </w:r>
    </w:p>
    <w:p>
      <w:pPr>
        <w:keepNext w:val="0"/>
        <w:spacing w:before="0" w:after="200" w:line="240" w:lineRule="auto"/>
        <w:jc w:val="center"/>
      </w:pPr>
      <w:r>
        <w:rPr>
          <w:rFonts w:ascii="Constantia" w:hAnsi="Constantia" w:eastAsia="Constantia"/>
          <w:b/>
          <w:i w:val="0"/>
          <w:color w:val="102A43"/>
          <w:sz w:val="54"/>
        </w:rPr>
        <w:t>The Internal State Instrument</w:t>
      </w:r>
    </w:p>
    <w:p>
      <w:pPr>
        <w:keepNext w:val="0"/>
        <w:spacing w:before="0" w:after="320" w:line="288" w:lineRule="auto"/>
        <w:jc w:val="center"/>
      </w:pPr>
      <w:r>
        <w:rPr>
          <w:rFonts w:ascii="Constantia" w:hAnsi="Constantia" w:eastAsia="Constantia"/>
          <w:b w:val="0"/>
          <w:i/>
          <w:color w:val="5B6B7A"/>
          <w:sz w:val="25"/>
        </w:rPr>
        <w:t>What the resolution operator measures, once resolution belongs to the body rather than to the observer</w:t>
      </w:r>
    </w:p>
    <w:p>
      <w:pPr>
        <w:keepNext w:val="0"/>
        <w:spacing w:before="0" w:after="60" w:line="293" w:lineRule="auto"/>
        <w:jc w:val="center"/>
      </w:pPr>
      <w:r>
        <w:rPr>
          <w:rFonts w:ascii="Constantia" w:hAnsi="Constantia" w:eastAsia="Constantia"/>
          <w:b w:val="0"/>
          <w:i w:val="0"/>
          <w:color w:val="102A43"/>
          <w:sz w:val="22"/>
        </w:rPr>
        <w:t>JOSEPH SHIELDS</w:t>
      </w:r>
    </w:p>
    <w:p>
      <w:pPr>
        <w:keepNext w:val="0"/>
        <w:spacing w:before="0" w:after="440" w:line="293" w:lineRule="auto"/>
        <w:jc w:val="center"/>
      </w:pPr>
      <w:r>
        <w:rPr>
          <w:rFonts w:ascii="Constantia" w:hAnsi="Constantia" w:eastAsia="Constantia"/>
          <w:b w:val="0"/>
          <w:i w:val="0"/>
          <w:color w:val="B48A2E"/>
          <w:sz w:val="17"/>
        </w:rPr>
        <w:t>UNIFIED MECHANICS RESEARCH PROGRAMME  ·  30 JULY 2026</w:t>
      </w: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WHAT THE INSTRUMENT READS</w:t>
            </w:r>
          </w:p>
          <w:p>
            <w:pPr>
              <w:spacing w:after="120" w:line="283" w:lineRule="auto"/>
              <w:jc w:val="both"/>
            </w:pPr>
            <w:r>
              <w:rPr>
                <w:rFonts w:ascii="Constantia" w:hAnsi="Constantia"/>
                <w:b w:val="0"/>
                <w:color w:val="243040"/>
                <w:sz w:val="19"/>
              </w:rPr>
              <w:t xml:space="preserve">Addendum A01 fixed the resolution invariantly as </w:t>
            </w:r>
            <w:r>
              <w:rPr>
                <w:rFonts w:ascii="Constantia" w:hAnsi="Constantia"/>
                <w:b/>
                <w:color w:val="243040"/>
                <w:sz w:val="19"/>
              </w:rPr>
              <w:t>N = q / δq</w:t>
            </w:r>
            <w:r>
              <w:rPr>
                <w:rFonts w:ascii="Constantia" w:hAnsi="Constantia"/>
                <w:b w:val="0"/>
                <w:color w:val="243040"/>
                <w:sz w:val="19"/>
              </w:rPr>
              <w:t xml:space="preserve">. Read that with δq as measurement error and the operator describes the observer. Read it with δq as the quantity's </w:t>
            </w:r>
            <w:r>
              <w:rPr>
                <w:rFonts w:ascii="Constantia" w:hAnsi="Constantia"/>
                <w:b/>
                <w:color w:val="243040"/>
                <w:sz w:val="19"/>
              </w:rPr>
              <w:t>own spread</w:t>
            </w:r>
            <w:r>
              <w:rPr>
                <w:rFonts w:ascii="Constantia" w:hAnsi="Constantia"/>
                <w:b w:val="0"/>
                <w:color w:val="243040"/>
                <w:sz w:val="19"/>
              </w:rPr>
              <w:t xml:space="preserve"> and it describes the object.</w:t>
            </w:r>
          </w:p>
          <w:p>
            <w:pPr>
              <w:spacing w:after="120" w:line="283" w:lineRule="auto"/>
              <w:jc w:val="both"/>
            </w:pPr>
            <w:r>
              <w:rPr>
                <w:rFonts w:ascii="Constantia" w:hAnsi="Constantia"/>
                <w:b w:val="0"/>
                <w:color w:val="243040"/>
                <w:sz w:val="19"/>
              </w:rPr>
              <w:t>An oblate rotating body does not have one surface gravity. Its equator and its pole genuinely differ, so g has no single value to know. That spread is not ignorance, it is the body, and it fixes N before anyone measures anything.</w:t>
            </w:r>
          </w:p>
          <w:p>
            <w:pPr>
              <w:spacing w:after="0" w:line="283" w:lineRule="auto"/>
              <w:jc w:val="both"/>
            </w:pPr>
            <w:r>
              <w:rPr>
                <w:rFonts w:ascii="Constantia" w:hAnsi="Constantia"/>
                <w:b/>
                <w:color w:val="243040"/>
                <w:sz w:val="19"/>
              </w:rPr>
              <w:t>The reading it produces is decoupled from the strength of the gravity.</w:t>
            </w:r>
            <w:r>
              <w:rPr>
                <w:rFonts w:ascii="Constantia" w:hAnsi="Constantia"/>
                <w:b w:val="0"/>
                <w:color w:val="243040"/>
                <w:sz w:val="19"/>
              </w:rPr>
              <w:t xml:space="preserve"> A millisecond pulsar and Saturn sit within a factor of two in N while their compactness differs by seven orders of magnitude. N measures how sharply a body defines a quantity, not how much of that quantity it has.</w:t>
            </w:r>
          </w:p>
        </w:tc>
      </w:tr>
    </w:tbl>
    <w:p>
      <w:pPr>
        <w:keepNext w:val="0"/>
        <w:spacing w:before="0" w:after="80" w:line="293" w:lineRule="auto"/>
        <w:jc w:val="both"/>
      </w:pPr>
    </w:p>
    <w:p>
      <w:pPr>
        <w:keepNext w:val="0"/>
        <w:spacing w:before="200" w:after="0" w:line="293" w:lineRule="auto"/>
        <w:jc w:val="center"/>
      </w:pPr>
      <w:r>
        <w:rPr>
          <w:rFonts w:ascii="Constantia" w:hAnsi="Constantia" w:eastAsia="Constantia"/>
          <w:b w:val="0"/>
          <w:i/>
          <w:color w:val="5B6B7A"/>
          <w:sz w:val="19"/>
        </w:rPr>
        <w:t>Every g below is computed from mass, the two radii and the rotation period. No value of surface gravity is looked up.</w:t>
      </w:r>
    </w:p>
    <w:p>
      <w:pPr>
        <w:keepNext/>
        <w:pageBreakBefore/>
        <w:spacing w:before="440" w:after="40" w:line="293" w:lineRule="auto"/>
        <w:jc w:val="left"/>
      </w:pPr>
      <w:r>
        <w:rPr>
          <w:rFonts w:ascii="Constantia" w:hAnsi="Constantia" w:eastAsia="Constantia"/>
          <w:b/>
          <w:i w:val="0"/>
          <w:caps/>
          <w:color w:val="B48A2E"/>
          <w:sz w:val="21"/>
        </w:rPr>
        <w:t>Section one</w:t>
      </w:r>
    </w:p>
    <w:p>
      <w:pPr>
        <w:keepNext/>
        <w:spacing w:before="0" w:after="160" w:line="293" w:lineRule="auto"/>
        <w:jc w:val="left"/>
        <w:pBdr>
          <w:bottom w:val="single" w:sz="6" w:space="4" w:color="B48A2E"/>
        </w:pBdr>
      </w:pPr>
      <w:r>
        <w:rPr>
          <w:rFonts w:ascii="Constantia" w:hAnsi="Constantia" w:eastAsia="Constantia"/>
          <w:b/>
          <w:i w:val="0"/>
          <w:color w:val="102A43"/>
          <w:sz w:val="30"/>
        </w:rPr>
        <w:t>The two states</w:t>
      </w:r>
    </w:p>
    <w:p>
      <w:pPr>
        <w:keepNext/>
        <w:spacing w:before="80" w:after="200" w:line="293" w:lineRule="auto"/>
        <w:jc w:val="left"/>
      </w:pPr>
      <w:r>
        <w:rPr>
          <w:rFonts w:ascii="Constantia" w:hAnsi="Constantia" w:eastAsia="Constantia"/>
          <w:b w:val="0"/>
          <w:i/>
          <w:color w:val="5B6B7A"/>
          <w:sz w:val="20"/>
        </w:rPr>
        <w:t>External is the number that gets quoted. Internal is what survives the body's own spread.</w:t>
      </w:r>
    </w:p>
    <w:p>
      <w:pPr>
        <w:keepNext w:val="0"/>
        <w:spacing w:before="0" w:after="140" w:line="293" w:lineRule="auto"/>
        <w:jc w:val="both"/>
      </w:pPr>
      <w:r>
        <w:rPr>
          <w:rFonts w:ascii="Constantia" w:hAnsi="Constantia" w:eastAsia="Constantia"/>
          <w:b w:val="0"/>
          <w:i w:val="0"/>
          <w:color w:val="243040"/>
          <w:sz w:val="21"/>
        </w:rPr>
        <w:t>For a body of mass M with equatorial radius R</w:t>
      </w:r>
      <w:r>
        <w:rPr>
          <w:rFonts w:ascii="Constantia" w:hAnsi="Constantia" w:eastAsia="Constantia"/>
          <w:b w:val="0"/>
          <w:i w:val="0"/>
          <w:color w:val="243040"/>
          <w:sz w:val="21"/>
          <w:vertAlign w:val="subscript"/>
        </w:rPr>
        <w:t>e</w:t>
      </w:r>
      <w:r>
        <w:rPr>
          <w:rFonts w:ascii="Constantia" w:hAnsi="Constantia" w:eastAsia="Constantia"/>
          <w:b w:val="0"/>
          <w:i w:val="0"/>
          <w:color w:val="243040"/>
          <w:sz w:val="21"/>
        </w:rPr>
        <w:t>, polar radius R</w:t>
      </w:r>
      <w:r>
        <w:rPr>
          <w:rFonts w:ascii="Constantia" w:hAnsi="Constantia" w:eastAsia="Constantia"/>
          <w:b w:val="0"/>
          <w:i w:val="0"/>
          <w:color w:val="243040"/>
          <w:sz w:val="21"/>
          <w:vertAlign w:val="subscript"/>
        </w:rPr>
        <w:t>p</w:t>
      </w:r>
      <w:r>
        <w:rPr>
          <w:rFonts w:ascii="Constantia" w:hAnsi="Constantia" w:eastAsia="Constantia"/>
          <w:b w:val="0"/>
          <w:i w:val="0"/>
          <w:color w:val="243040"/>
          <w:sz w:val="21"/>
        </w:rPr>
        <w:t xml:space="preserve"> and angular rate ω, the two extremes of surface gravity follow from the definition:</w:t>
      </w:r>
    </w:p>
    <w:p>
      <w:pPr>
        <w:keepNext w:val="0"/>
        <w:spacing w:before="140" w:after="180" w:line="240" w:lineRule="auto"/>
        <w:jc w:val="center"/>
      </w:pPr>
      <w:r>
        <w:rPr>
          <w:rFonts w:ascii="Cambria Math" w:hAnsi="Cambria Math" w:eastAsia="Cambria Math"/>
          <w:b/>
          <w:i w:val="0"/>
          <w:color w:val="102A43"/>
          <w:sz w:val="24"/>
        </w:rPr>
        <w:t>g</w:t>
      </w:r>
      <w:r>
        <w:rPr>
          <w:rFonts w:ascii="Cambria Math" w:hAnsi="Cambria Math" w:eastAsia="Cambria Math"/>
          <w:b/>
          <w:i w:val="0"/>
          <w:color w:val="102A43"/>
          <w:sz w:val="24"/>
          <w:vertAlign w:val="subscript"/>
        </w:rPr>
        <w:t>pol</w:t>
      </w:r>
      <w:r>
        <w:rPr>
          <w:rFonts w:ascii="Cambria Math" w:hAnsi="Cambria Math" w:eastAsia="Cambria Math"/>
          <w:b/>
          <w:i w:val="0"/>
          <w:color w:val="102A43"/>
          <w:sz w:val="24"/>
        </w:rPr>
        <w:t xml:space="preserve"> = GM / R</w:t>
      </w:r>
      <w:r>
        <w:rPr>
          <w:rFonts w:ascii="Cambria Math" w:hAnsi="Cambria Math" w:eastAsia="Cambria Math"/>
          <w:b/>
          <w:i w:val="0"/>
          <w:color w:val="102A43"/>
          <w:sz w:val="24"/>
          <w:vertAlign w:val="subscript"/>
        </w:rPr>
        <w:t>p</w:t>
      </w:r>
      <w:r>
        <w:rPr>
          <w:rFonts w:ascii="Cambria Math" w:hAnsi="Cambria Math" w:eastAsia="Cambria Math"/>
          <w:b/>
          <w:i w:val="0"/>
          <w:color w:val="102A43"/>
          <w:sz w:val="24"/>
        </w:rPr>
        <w:t>²          g</w:t>
      </w:r>
      <w:r>
        <w:rPr>
          <w:rFonts w:ascii="Cambria Math" w:hAnsi="Cambria Math" w:eastAsia="Cambria Math"/>
          <w:b/>
          <w:i w:val="0"/>
          <w:color w:val="102A43"/>
          <w:sz w:val="24"/>
          <w:vertAlign w:val="subscript"/>
        </w:rPr>
        <w:t>eq</w:t>
      </w:r>
      <w:r>
        <w:rPr>
          <w:rFonts w:ascii="Cambria Math" w:hAnsi="Cambria Math" w:eastAsia="Cambria Math"/>
          <w:b/>
          <w:i w:val="0"/>
          <w:color w:val="102A43"/>
          <w:sz w:val="24"/>
        </w:rPr>
        <w:t xml:space="preserve"> = GM / R</w:t>
      </w:r>
      <w:r>
        <w:rPr>
          <w:rFonts w:ascii="Cambria Math" w:hAnsi="Cambria Math" w:eastAsia="Cambria Math"/>
          <w:b/>
          <w:i w:val="0"/>
          <w:color w:val="102A43"/>
          <w:sz w:val="24"/>
          <w:vertAlign w:val="subscript"/>
        </w:rPr>
        <w:t>e</w:t>
      </w:r>
      <w:r>
        <w:rPr>
          <w:rFonts w:ascii="Cambria Math" w:hAnsi="Cambria Math" w:eastAsia="Cambria Math"/>
          <w:b/>
          <w:i w:val="0"/>
          <w:color w:val="102A43"/>
          <w:sz w:val="24"/>
        </w:rPr>
        <w:t>² − ω² R</w:t>
      </w:r>
      <w:r>
        <w:rPr>
          <w:rFonts w:ascii="Cambria Math" w:hAnsi="Cambria Math" w:eastAsia="Cambria Math"/>
          <w:b/>
          <w:i w:val="0"/>
          <w:color w:val="102A43"/>
          <w:sz w:val="24"/>
          <w:vertAlign w:val="subscript"/>
        </w:rPr>
        <w:t>e</w:t>
      </w:r>
    </w:p>
    <w:p>
      <w:pPr>
        <w:keepNext w:val="0"/>
        <w:spacing w:before="20" w:after="200" w:line="264" w:lineRule="auto"/>
        <w:ind w:left="317"/>
        <w:jc w:val="both"/>
      </w:pPr>
      <w:r>
        <w:rPr>
          <w:rFonts w:ascii="Constantia" w:hAnsi="Constantia" w:eastAsia="Constantia"/>
          <w:b w:val="0"/>
          <w:i/>
          <w:color w:val="5B6B7A"/>
          <w:sz w:val="18"/>
        </w:rPr>
        <w:t>This omits the quadrupole contribution to the potential, so it lands within about a third of a per cent of published equatorial and polar values. It is the right approximation because the spread is dominated by the two radii and the centrifugal term, and both are present.</w:t>
      </w:r>
    </w:p>
    <w:p>
      <w:pPr>
        <w:keepNext w:val="0"/>
        <w:spacing w:before="0" w:after="140" w:line="293" w:lineRule="auto"/>
        <w:jc w:val="both"/>
      </w:pPr>
      <w:r>
        <w:rPr>
          <w:rFonts w:ascii="Constantia" w:hAnsi="Constantia" w:eastAsia="Constantia"/>
          <w:b w:val="0"/>
          <w:i w:val="0"/>
          <w:color w:val="243040"/>
          <w:sz w:val="21"/>
        </w:rPr>
        <w:t>The external state is the midpoint of that spread and the half-range is δg. Centring anywhere else makes N depend on a convention rather than on the body, and shifts it by a few per cent:</w:t>
      </w:r>
    </w:p>
    <w:p>
      <w:pPr>
        <w:keepNext w:val="0"/>
        <w:spacing w:before="140" w:after="180" w:line="240" w:lineRule="auto"/>
        <w:jc w:val="center"/>
      </w:pPr>
      <w:r>
        <w:rPr>
          <w:rFonts w:ascii="Cambria Math" w:hAnsi="Cambria Math" w:eastAsia="Cambria Math"/>
          <w:b/>
          <w:i w:val="0"/>
          <w:color w:val="102A43"/>
          <w:sz w:val="24"/>
        </w:rPr>
        <w:t>g</w:t>
      </w:r>
      <w:r>
        <w:rPr>
          <w:rFonts w:ascii="Cambria Math" w:hAnsi="Cambria Math" w:eastAsia="Cambria Math"/>
          <w:b/>
          <w:i w:val="0"/>
          <w:color w:val="102A43"/>
          <w:sz w:val="24"/>
          <w:vertAlign w:val="subscript"/>
        </w:rPr>
        <w:t>ext</w:t>
      </w:r>
      <w:r>
        <w:rPr>
          <w:rFonts w:ascii="Cambria Math" w:hAnsi="Cambria Math" w:eastAsia="Cambria Math"/>
          <w:b/>
          <w:i w:val="0"/>
          <w:color w:val="102A43"/>
          <w:sz w:val="24"/>
        </w:rPr>
        <w:t xml:space="preserve"> = (g</w:t>
      </w:r>
      <w:r>
        <w:rPr>
          <w:rFonts w:ascii="Cambria Math" w:hAnsi="Cambria Math" w:eastAsia="Cambria Math"/>
          <w:b/>
          <w:i w:val="0"/>
          <w:color w:val="102A43"/>
          <w:sz w:val="24"/>
          <w:vertAlign w:val="subscript"/>
        </w:rPr>
        <w:t>eq</w:t>
      </w:r>
      <w:r>
        <w:rPr>
          <w:rFonts w:ascii="Cambria Math" w:hAnsi="Cambria Math" w:eastAsia="Cambria Math"/>
          <w:b/>
          <w:i w:val="0"/>
          <w:color w:val="102A43"/>
          <w:sz w:val="24"/>
        </w:rPr>
        <w:t xml:space="preserve"> + g</w:t>
      </w:r>
      <w:r>
        <w:rPr>
          <w:rFonts w:ascii="Cambria Math" w:hAnsi="Cambria Math" w:eastAsia="Cambria Math"/>
          <w:b/>
          <w:i w:val="0"/>
          <w:color w:val="102A43"/>
          <w:sz w:val="24"/>
          <w:vertAlign w:val="subscript"/>
        </w:rPr>
        <w:t>pol</w:t>
      </w:r>
      <w:r>
        <w:rPr>
          <w:rFonts w:ascii="Cambria Math" w:hAnsi="Cambria Math" w:eastAsia="Cambria Math"/>
          <w:b/>
          <w:i w:val="0"/>
          <w:color w:val="102A43"/>
          <w:sz w:val="24"/>
        </w:rPr>
        <w:t>)/2          δg = |g</w:t>
      </w:r>
      <w:r>
        <w:rPr>
          <w:rFonts w:ascii="Cambria Math" w:hAnsi="Cambria Math" w:eastAsia="Cambria Math"/>
          <w:b/>
          <w:i w:val="0"/>
          <w:color w:val="102A43"/>
          <w:sz w:val="24"/>
          <w:vertAlign w:val="subscript"/>
        </w:rPr>
        <w:t>pol</w:t>
      </w:r>
      <w:r>
        <w:rPr>
          <w:rFonts w:ascii="Cambria Math" w:hAnsi="Cambria Math" w:eastAsia="Cambria Math"/>
          <w:b/>
          <w:i w:val="0"/>
          <w:color w:val="102A43"/>
          <w:sz w:val="24"/>
        </w:rPr>
        <w:t xml:space="preserve"> − g</w:t>
      </w:r>
      <w:r>
        <w:rPr>
          <w:rFonts w:ascii="Cambria Math" w:hAnsi="Cambria Math" w:eastAsia="Cambria Math"/>
          <w:b/>
          <w:i w:val="0"/>
          <w:color w:val="102A43"/>
          <w:sz w:val="24"/>
          <w:vertAlign w:val="subscript"/>
        </w:rPr>
        <w:t>eq</w:t>
      </w:r>
      <w:r>
        <w:rPr>
          <w:rFonts w:ascii="Cambria Math" w:hAnsi="Cambria Math" w:eastAsia="Cambria Math"/>
          <w:b/>
          <w:i w:val="0"/>
          <w:color w:val="102A43"/>
          <w:sz w:val="24"/>
        </w:rPr>
        <w:t>|/2          N = g</w:t>
      </w:r>
      <w:r>
        <w:rPr>
          <w:rFonts w:ascii="Cambria Math" w:hAnsi="Cambria Math" w:eastAsia="Cambria Math"/>
          <w:b/>
          <w:i w:val="0"/>
          <w:color w:val="102A43"/>
          <w:sz w:val="24"/>
          <w:vertAlign w:val="subscript"/>
        </w:rPr>
        <w:t>ext</w:t>
      </w:r>
      <w:r>
        <w:rPr>
          <w:rFonts w:ascii="Cambria Math" w:hAnsi="Cambria Math" w:eastAsia="Cambria Math"/>
          <w:b/>
          <w:i w:val="0"/>
          <w:color w:val="102A43"/>
          <w:sz w:val="24"/>
        </w:rPr>
        <w:t>/δg</w:t>
      </w:r>
    </w:p>
    <w:p>
      <w:pPr>
        <w:keepNext w:val="0"/>
        <w:spacing w:before="0" w:after="140" w:line="293" w:lineRule="auto"/>
        <w:jc w:val="both"/>
      </w:pPr>
      <w:r>
        <w:rPr>
          <w:rFonts w:ascii="Constantia" w:hAnsi="Constantia" w:eastAsia="Constantia"/>
          <w:b w:val="0"/>
          <w:i w:val="0"/>
          <w:color w:val="243040"/>
          <w:sz w:val="21"/>
        </w:rPr>
        <w:t>The internal state is then the external state charged for its own spread, through the operator of A01:</w:t>
      </w:r>
    </w:p>
    <w:p>
      <w:pPr>
        <w:keepNext w:val="0"/>
        <w:spacing w:before="140" w:after="180" w:line="240" w:lineRule="auto"/>
        <w:jc w:val="center"/>
      </w:pPr>
      <w:r>
        <w:rPr>
          <w:rFonts w:ascii="Cambria Math" w:hAnsi="Cambria Math" w:eastAsia="Cambria Math"/>
          <w:b/>
          <w:i w:val="0"/>
          <w:color w:val="102A43"/>
          <w:sz w:val="24"/>
        </w:rPr>
        <w:t>g</w:t>
      </w:r>
      <w:r>
        <w:rPr>
          <w:rFonts w:ascii="Cambria Math" w:hAnsi="Cambria Math" w:eastAsia="Cambria Math"/>
          <w:b/>
          <w:i w:val="0"/>
          <w:color w:val="102A43"/>
          <w:sz w:val="24"/>
          <w:vertAlign w:val="subscript"/>
        </w:rPr>
        <w:t>int</w:t>
      </w:r>
      <w:r>
        <w:rPr>
          <w:rFonts w:ascii="Cambria Math" w:hAnsi="Cambria Math" w:eastAsia="Cambria Math"/>
          <w:b/>
          <w:i w:val="0"/>
          <w:color w:val="102A43"/>
          <w:sz w:val="24"/>
        </w:rPr>
        <w:t xml:space="preserve"> = g</w:t>
      </w:r>
      <w:r>
        <w:rPr>
          <w:rFonts w:ascii="Cambria Math" w:hAnsi="Cambria Math" w:eastAsia="Cambria Math"/>
          <w:b/>
          <w:i w:val="0"/>
          <w:color w:val="102A43"/>
          <w:sz w:val="24"/>
          <w:vertAlign w:val="subscript"/>
        </w:rPr>
        <w:t>ext</w:t>
      </w:r>
      <w:r>
        <w:rPr>
          <w:rFonts w:ascii="Cambria Math" w:hAnsi="Cambria Math" w:eastAsia="Cambria Math"/>
          <w:b/>
          <w:i w:val="0"/>
          <w:color w:val="102A43"/>
          <w:sz w:val="24"/>
        </w:rPr>
        <w:t xml:space="preserve"> · H</w:t>
      </w:r>
      <w:r>
        <w:rPr>
          <w:rFonts w:ascii="Cambria Math" w:hAnsi="Cambria Math" w:eastAsia="Cambria Math"/>
          <w:b/>
          <w:i w:val="0"/>
          <w:color w:val="102A43"/>
          <w:sz w:val="24"/>
          <w:vertAlign w:val="subscript"/>
        </w:rPr>
        <w:t>5</w:t>
      </w:r>
      <w:r>
        <w:rPr>
          <w:rFonts w:ascii="Cambria Math" w:hAnsi="Cambria Math" w:eastAsia="Cambria Math"/>
          <w:b/>
          <w:i w:val="0"/>
          <w:color w:val="102A43"/>
          <w:sz w:val="24"/>
        </w:rPr>
        <w:t>(N)          H</w:t>
      </w:r>
      <w:r>
        <w:rPr>
          <w:rFonts w:ascii="Cambria Math" w:hAnsi="Cambria Math" w:eastAsia="Cambria Math"/>
          <w:b/>
          <w:i w:val="0"/>
          <w:color w:val="102A43"/>
          <w:sz w:val="24"/>
          <w:vertAlign w:val="subscript"/>
        </w:rPr>
        <w:t>5</w:t>
      </w:r>
      <w:r>
        <w:rPr>
          <w:rFonts w:ascii="Cambria Math" w:hAnsi="Cambria Math" w:eastAsia="Cambria Math"/>
          <w:b/>
          <w:i w:val="0"/>
          <w:color w:val="102A43"/>
          <w:sz w:val="24"/>
        </w:rPr>
        <w:t>(N) = 1 + tanh(5 ln [N/(N+1)])</w:t>
      </w:r>
    </w:p>
    <w:p>
      <w:pPr>
        <w:keepNext/>
        <w:spacing w:before="440" w:after="40" w:line="293" w:lineRule="auto"/>
        <w:jc w:val="left"/>
      </w:pPr>
      <w:r>
        <w:rPr>
          <w:rFonts w:ascii="Constantia" w:hAnsi="Constantia" w:eastAsia="Constantia"/>
          <w:b/>
          <w:i w:val="0"/>
          <w:caps/>
          <w:color w:val="B48A2E"/>
          <w:sz w:val="21"/>
        </w:rPr>
        <w:t>Section two</w:t>
      </w:r>
    </w:p>
    <w:p>
      <w:pPr>
        <w:keepNext/>
        <w:spacing w:before="0" w:after="160" w:line="293" w:lineRule="auto"/>
        <w:jc w:val="left"/>
        <w:pBdr>
          <w:bottom w:val="single" w:sz="6" w:space="4" w:color="B48A2E"/>
        </w:pBdr>
      </w:pPr>
      <w:r>
        <w:rPr>
          <w:rFonts w:ascii="Constantia" w:hAnsi="Constantia" w:eastAsia="Constantia"/>
          <w:b/>
          <w:i w:val="0"/>
          <w:color w:val="102A43"/>
          <w:sz w:val="30"/>
        </w:rPr>
        <w:t>Ten bodies</w:t>
      </w:r>
    </w:p>
    <w:p>
      <w:pPr>
        <w:keepNext/>
        <w:spacing w:before="80" w:after="200" w:line="293" w:lineRule="auto"/>
        <w:jc w:val="left"/>
      </w:pPr>
      <w:r>
        <w:rPr>
          <w:rFonts w:ascii="Constantia" w:hAnsi="Constantia" w:eastAsia="Constantia"/>
          <w:b w:val="0"/>
          <w:i/>
          <w:color w:val="5B6B7A"/>
          <w:sz w:val="20"/>
        </w:rPr>
        <w:t>Ordered by their own resolution. The corpus floor sits at 40φ³ = 169.44 and cuts between Mars and Earth.</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872"/>
        <w:gridCol w:w="1296"/>
        <w:gridCol w:w="1296"/>
        <w:gridCol w:w="1296"/>
        <w:gridCol w:w="1036"/>
        <w:gridCol w:w="1123"/>
        <w:gridCol w:w="1324"/>
        <w:gridCol w:w="748"/>
      </w:tblGrid>
      <w:tr>
        <w:trPr>
          <w:tblHeader/>
          <w:cantSplit/>
        </w:trPr>
        <w:tc>
          <w:tcPr>
            <w:tcW w:type="dxa" w:w="187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Body</w:t>
            </w:r>
          </w:p>
        </w:tc>
        <w:tc>
          <w:tcPr>
            <w:tcW w:type="dxa" w:w="129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g external</w:t>
            </w:r>
          </w:p>
        </w:tc>
        <w:tc>
          <w:tcPr>
            <w:tcW w:type="dxa" w:w="129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g equator</w:t>
            </w:r>
          </w:p>
        </w:tc>
        <w:tc>
          <w:tcPr>
            <w:tcW w:type="dxa" w:w="129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g pole</w:t>
            </w:r>
          </w:p>
        </w:tc>
        <w:tc>
          <w:tcPr>
            <w:tcW w:type="dxa" w:w="1037"/>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N</w:t>
            </w:r>
          </w:p>
        </w:tc>
        <w:tc>
          <w:tcPr>
            <w:tcW w:type="dxa" w:w="1123"/>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Deficit</w:t>
            </w:r>
          </w:p>
        </w:tc>
        <w:tc>
          <w:tcPr>
            <w:tcW w:type="dxa" w:w="1325"/>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g internal</w:t>
            </w:r>
          </w:p>
        </w:tc>
        <w:tc>
          <w:tcPr>
            <w:tcW w:type="dxa" w:w="749"/>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Side</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Saturn</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10.8307</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8.8266</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12.8349</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5.40</w:t>
            </w:r>
          </w:p>
        </w:tc>
        <w:tc>
          <w:tcPr>
            <w:tcW w:type="dxa" w:w="112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69.049%</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3.3522</w:t>
            </w:r>
          </w:p>
        </w:tc>
        <w:tc>
          <w:tcPr>
            <w:tcW w:type="dxa" w:w="74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below</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Jupiter</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25.4604</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22.5758</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28.3450</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8.83</w:t>
            </w:r>
          </w:p>
        </w:tc>
        <w:tc>
          <w:tcPr>
            <w:tcW w:type="dxa" w:w="112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49.044%</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12.9737</w:t>
            </w:r>
          </w:p>
        </w:tc>
        <w:tc>
          <w:tcPr>
            <w:tcW w:type="dxa" w:w="74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below</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PSR B1937+21</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1.207e+12</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1.093e+12</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1.321e+12</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10.59</w:t>
            </w:r>
          </w:p>
        </w:tc>
        <w:tc>
          <w:tcPr>
            <w:tcW w:type="dxa" w:w="112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42.287%</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6.968e+11</w:t>
            </w:r>
          </w:p>
        </w:tc>
        <w:tc>
          <w:tcPr>
            <w:tcW w:type="dxa" w:w="74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below</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Uranus</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8.9492</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8.6076</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9.2907</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26.20</w:t>
            </w:r>
          </w:p>
        </w:tc>
        <w:tc>
          <w:tcPr>
            <w:tcW w:type="dxa" w:w="112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18.512%</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7.2925</w:t>
            </w:r>
          </w:p>
        </w:tc>
        <w:tc>
          <w:tcPr>
            <w:tcW w:type="dxa" w:w="74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below</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Neptune</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11.1961</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10.8553</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11.5368</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32.86</w:t>
            </w:r>
          </w:p>
        </w:tc>
        <w:tc>
          <w:tcPr>
            <w:tcW w:type="dxa" w:w="112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14.877%</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9.5304</w:t>
            </w:r>
          </w:p>
        </w:tc>
        <w:tc>
          <w:tcPr>
            <w:tcW w:type="dxa" w:w="74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below</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Mars</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3.7268</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3.6962</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3.7574</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121.82</w:t>
            </w:r>
          </w:p>
        </w:tc>
        <w:tc>
          <w:tcPr>
            <w:tcW w:type="dxa" w:w="112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4.086%</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3.5746</w:t>
            </w:r>
          </w:p>
        </w:tc>
        <w:tc>
          <w:tcPr>
            <w:tcW w:type="dxa" w:w="74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below</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Earth</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9.8144</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9.7644</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9.8644</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196.38</w:t>
            </w:r>
          </w:p>
        </w:tc>
        <w:tc>
          <w:tcPr>
            <w:tcW w:type="dxa" w:w="112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2.539%</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9.5652</w:t>
            </w:r>
          </w:p>
        </w:tc>
        <w:tc>
          <w:tcPr>
            <w:tcW w:type="dxa" w:w="74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above</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Moon</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1.6240</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1.6220</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1.6260</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801.75</w:t>
            </w:r>
          </w:p>
        </w:tc>
        <w:tc>
          <w:tcPr>
            <w:tcW w:type="dxa" w:w="112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0.623%</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1.6139</w:t>
            </w:r>
          </w:p>
        </w:tc>
        <w:tc>
          <w:tcPr>
            <w:tcW w:type="dxa" w:w="74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above</w:t>
            </w:r>
          </w:p>
        </w:tc>
      </w:tr>
      <w:tr>
        <w:trPr>
          <w:cantSplit/>
        </w:trPr>
        <w:tc>
          <w:tcPr>
            <w:tcW w:type="dxa" w:w="187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Sirius B</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4.093e+06</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4.093e+06</w:t>
            </w:r>
          </w:p>
        </w:tc>
        <w:tc>
          <w:tcPr>
            <w:tcW w:type="dxa" w:w="129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4.094e+06</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9666.17</w:t>
            </w:r>
          </w:p>
        </w:tc>
        <w:tc>
          <w:tcPr>
            <w:tcW w:type="dxa" w:w="112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0.052%</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4.091e+06</w:t>
            </w:r>
          </w:p>
        </w:tc>
        <w:tc>
          <w:tcPr>
            <w:tcW w:type="dxa" w:w="749"/>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above</w:t>
            </w:r>
          </w:p>
        </w:tc>
      </w:tr>
      <w:tr>
        <w:trPr>
          <w:cantSplit/>
        </w:trPr>
        <w:tc>
          <w:tcPr>
            <w:tcW w:type="dxa" w:w="1872"/>
            <w:tcMar>
              <w:top w:w="60" w:type="dxa"/>
              <w:start w:w="90" w:type="dxa"/>
              <w:bottom w:w="60" w:type="dxa"/>
              <w:end w:w="90" w:type="dxa"/>
            </w:tcMar>
          </w:tcPr>
          <w:p>
            <w:pPr>
              <w:spacing w:after="0" w:line="269" w:lineRule="auto"/>
              <w:jc w:val="left"/>
            </w:pPr>
            <w:r/>
            <w:r>
              <w:rPr>
                <w:rFonts w:ascii="Constantia" w:hAnsi="Constantia"/>
                <w:b w:val="0"/>
                <w:i w:val="0"/>
                <w:color w:val="243040"/>
                <w:sz w:val="16"/>
              </w:rPr>
              <w:t>Sun</w:t>
            </w:r>
          </w:p>
        </w:tc>
        <w:tc>
          <w:tcPr>
            <w:tcW w:type="dxa" w:w="1296"/>
            <w:tcMar>
              <w:top w:w="60" w:type="dxa"/>
              <w:start w:w="90" w:type="dxa"/>
              <w:bottom w:w="60" w:type="dxa"/>
              <w:end w:w="90" w:type="dxa"/>
            </w:tcMar>
          </w:tcPr>
          <w:p>
            <w:pPr>
              <w:spacing w:after="0" w:line="269" w:lineRule="auto"/>
              <w:jc w:val="left"/>
            </w:pPr>
            <w:r/>
            <w:r>
              <w:rPr>
                <w:rFonts w:ascii="Cambria Math" w:hAnsi="Cambria Math"/>
                <w:b w:val="0"/>
                <w:i w:val="0"/>
                <w:color w:val="243040"/>
                <w:sz w:val="16"/>
              </w:rPr>
              <w:t>274.2055</w:t>
            </w:r>
          </w:p>
        </w:tc>
        <w:tc>
          <w:tcPr>
            <w:tcW w:type="dxa" w:w="1296"/>
            <w:tcMar>
              <w:top w:w="60" w:type="dxa"/>
              <w:start w:w="90" w:type="dxa"/>
              <w:bottom w:w="60" w:type="dxa"/>
              <w:end w:w="90" w:type="dxa"/>
            </w:tcMar>
          </w:tcPr>
          <w:p>
            <w:pPr>
              <w:spacing w:after="0" w:line="269" w:lineRule="auto"/>
              <w:jc w:val="left"/>
            </w:pPr>
            <w:r/>
            <w:r>
              <w:rPr>
                <w:rFonts w:ascii="Cambria Math" w:hAnsi="Cambria Math"/>
                <w:b w:val="0"/>
                <w:i w:val="0"/>
                <w:color w:val="243040"/>
                <w:sz w:val="16"/>
              </w:rPr>
              <w:t>274.2025</w:t>
            </w:r>
          </w:p>
        </w:tc>
        <w:tc>
          <w:tcPr>
            <w:tcW w:type="dxa" w:w="1296"/>
            <w:tcMar>
              <w:top w:w="60" w:type="dxa"/>
              <w:start w:w="90" w:type="dxa"/>
              <w:bottom w:w="60" w:type="dxa"/>
              <w:end w:w="90" w:type="dxa"/>
            </w:tcMar>
          </w:tcPr>
          <w:p>
            <w:pPr>
              <w:spacing w:after="0" w:line="269" w:lineRule="auto"/>
              <w:jc w:val="left"/>
            </w:pPr>
            <w:r/>
            <w:r>
              <w:rPr>
                <w:rFonts w:ascii="Cambria Math" w:hAnsi="Cambria Math"/>
                <w:b w:val="0"/>
                <w:i w:val="0"/>
                <w:color w:val="243040"/>
                <w:sz w:val="16"/>
              </w:rPr>
              <w:t>274.2084</w:t>
            </w:r>
          </w:p>
        </w:tc>
        <w:tc>
          <w:tcPr>
            <w:tcW w:type="dxa" w:w="1037"/>
            <w:tcMar>
              <w:top w:w="60" w:type="dxa"/>
              <w:start w:w="90" w:type="dxa"/>
              <w:bottom w:w="60" w:type="dxa"/>
              <w:end w:w="90" w:type="dxa"/>
            </w:tcMar>
          </w:tcPr>
          <w:p>
            <w:pPr>
              <w:spacing w:after="0" w:line="269" w:lineRule="auto"/>
              <w:jc w:val="center"/>
            </w:pPr>
            <w:r/>
            <w:r>
              <w:rPr>
                <w:rFonts w:ascii="Cambria Math" w:hAnsi="Cambria Math"/>
                <w:b w:val="0"/>
                <w:i w:val="0"/>
                <w:color w:val="243040"/>
                <w:sz w:val="16"/>
              </w:rPr>
              <w:t>93533.53</w:t>
            </w:r>
          </w:p>
        </w:tc>
        <w:tc>
          <w:tcPr>
            <w:tcW w:type="dxa" w:w="1123"/>
            <w:tcMar>
              <w:top w:w="60" w:type="dxa"/>
              <w:start w:w="90" w:type="dxa"/>
              <w:bottom w:w="60" w:type="dxa"/>
              <w:end w:w="90" w:type="dxa"/>
            </w:tcMar>
          </w:tcPr>
          <w:p>
            <w:pPr>
              <w:spacing w:after="0" w:line="269" w:lineRule="auto"/>
              <w:jc w:val="center"/>
            </w:pPr>
            <w:r/>
            <w:r>
              <w:rPr>
                <w:rFonts w:ascii="Cambria Math" w:hAnsi="Cambria Math"/>
                <w:b w:val="0"/>
                <w:i w:val="0"/>
                <w:color w:val="243040"/>
                <w:sz w:val="16"/>
              </w:rPr>
              <w:t>0.005%</w:t>
            </w:r>
          </w:p>
        </w:tc>
        <w:tc>
          <w:tcPr>
            <w:tcW w:type="dxa" w:w="1325"/>
            <w:tcMar>
              <w:top w:w="60" w:type="dxa"/>
              <w:start w:w="90" w:type="dxa"/>
              <w:bottom w:w="60" w:type="dxa"/>
              <w:end w:w="90" w:type="dxa"/>
            </w:tcMar>
          </w:tcPr>
          <w:p>
            <w:pPr>
              <w:spacing w:after="0" w:line="269" w:lineRule="auto"/>
              <w:jc w:val="left"/>
            </w:pPr>
            <w:r/>
            <w:r>
              <w:rPr>
                <w:rFonts w:ascii="Cambria Math" w:hAnsi="Cambria Math"/>
                <w:b w:val="0"/>
                <w:i w:val="0"/>
                <w:color w:val="243040"/>
                <w:sz w:val="16"/>
              </w:rPr>
              <w:t>274.1908</w:t>
            </w:r>
          </w:p>
        </w:tc>
        <w:tc>
          <w:tcPr>
            <w:tcW w:type="dxa" w:w="749"/>
            <w:tcMar>
              <w:top w:w="60" w:type="dxa"/>
              <w:start w:w="90" w:type="dxa"/>
              <w:bottom w:w="60" w:type="dxa"/>
              <w:end w:w="90" w:type="dxa"/>
            </w:tcMar>
          </w:tcPr>
          <w:p>
            <w:pPr>
              <w:spacing w:after="0" w:line="269" w:lineRule="auto"/>
              <w:jc w:val="center"/>
            </w:pPr>
            <w:r/>
            <w:r>
              <w:rPr>
                <w:rFonts w:ascii="Constantia" w:hAnsi="Constantia"/>
                <w:b w:val="0"/>
                <w:i w:val="0"/>
                <w:color w:val="243040"/>
                <w:sz w:val="16"/>
              </w:rPr>
              <w:t>above</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 xml:space="preserve">The division is not arranged. </w:t>
      </w:r>
      <w:r>
        <w:rPr>
          <w:rFonts w:ascii="Constantia" w:hAnsi="Constantia" w:eastAsia="Constantia"/>
          <w:b/>
          <w:i w:val="0"/>
          <w:color w:val="243040"/>
          <w:sz w:val="21"/>
        </w:rPr>
        <w:t>The gas giants and the millisecond pulsar fall below the join, the Moon and the white dwarf and the Sun fall above it, and the boundary lands between Mars and Earth.</w:t>
      </w:r>
      <w:r>
        <w:rPr>
          <w:rFonts w:ascii="Constantia" w:hAnsi="Constantia" w:eastAsia="Constantia"/>
          <w:b w:val="0"/>
          <w:i w:val="0"/>
          <w:color w:val="243040"/>
          <w:sz w:val="21"/>
        </w:rPr>
        <w:t xml:space="preserve"> Below the join the instrument makes a claim the corpus licenses; above it the reading is quieter than the framework's own floor and cannot be offered as one.</w:t>
      </w:r>
    </w:p>
    <w:p>
      <w:pPr>
        <w:keepNext/>
        <w:spacing w:before="440" w:after="40" w:line="293" w:lineRule="auto"/>
        <w:jc w:val="left"/>
      </w:pPr>
      <w:r>
        <w:rPr>
          <w:rFonts w:ascii="Constantia" w:hAnsi="Constantia" w:eastAsia="Constantia"/>
          <w:b/>
          <w:i w:val="0"/>
          <w:caps/>
          <w:color w:val="B48A2E"/>
          <w:sz w:val="21"/>
        </w:rPr>
        <w:t>Section three</w:t>
      </w:r>
    </w:p>
    <w:p>
      <w:pPr>
        <w:keepNext/>
        <w:spacing w:before="0" w:after="160" w:line="293" w:lineRule="auto"/>
        <w:jc w:val="left"/>
        <w:pBdr>
          <w:bottom w:val="single" w:sz="6" w:space="4" w:color="B48A2E"/>
        </w:pBdr>
      </w:pPr>
      <w:r>
        <w:rPr>
          <w:rFonts w:ascii="Constantia" w:hAnsi="Constantia" w:eastAsia="Constantia"/>
          <w:b/>
          <w:i w:val="0"/>
          <w:color w:val="102A43"/>
          <w:sz w:val="30"/>
        </w:rPr>
        <w:t>The decoupling</w:t>
      </w:r>
    </w:p>
    <w:p>
      <w:pPr>
        <w:keepNext/>
        <w:spacing w:before="80" w:after="200" w:line="293" w:lineRule="auto"/>
        <w:jc w:val="left"/>
      </w:pPr>
      <w:r>
        <w:rPr>
          <w:rFonts w:ascii="Constantia" w:hAnsi="Constantia" w:eastAsia="Constantia"/>
          <w:b w:val="0"/>
          <w:i/>
          <w:color w:val="5B6B7A"/>
          <w:sz w:val="20"/>
        </w:rPr>
        <w:t>N is independent of gravitational strength. This is the whole point of the instrument.</w:t>
      </w:r>
    </w:p>
    <w:p>
      <w:pPr>
        <w:keepNext w:val="0"/>
        <w:spacing w:before="0" w:after="140" w:line="293" w:lineRule="auto"/>
        <w:jc w:val="both"/>
      </w:pPr>
      <w:r>
        <w:rPr>
          <w:rFonts w:ascii="Constantia" w:hAnsi="Constantia" w:eastAsia="Constantia"/>
          <w:b w:val="0"/>
          <w:i w:val="0"/>
          <w:color w:val="243040"/>
          <w:sz w:val="21"/>
        </w:rPr>
        <w:t>If the reading were a disguised restatement of how much gravity a body has, it would order the table the same way compactness does. It does not. The two orderings are unrelated:</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2088"/>
        <w:gridCol w:w="2332"/>
        <w:gridCol w:w="1800"/>
        <w:gridCol w:w="1800"/>
        <w:gridCol w:w="1972"/>
      </w:tblGrid>
      <w:tr>
        <w:trPr>
          <w:tblHeader/>
          <w:cantSplit/>
        </w:trPr>
        <w:tc>
          <w:tcPr>
            <w:tcW w:type="dxa" w:w="2088"/>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Body</w:t>
            </w:r>
          </w:p>
        </w:tc>
        <w:tc>
          <w:tcPr>
            <w:tcW w:type="dxa" w:w="2333"/>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Compactness 2GM/Rc²</w:t>
            </w:r>
          </w:p>
        </w:tc>
        <w:tc>
          <w:tcPr>
            <w:tcW w:type="dxa" w:w="180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Flattening</w:t>
            </w:r>
          </w:p>
        </w:tc>
        <w:tc>
          <w:tcPr>
            <w:tcW w:type="dxa" w:w="180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Rotation q</w:t>
            </w:r>
          </w:p>
        </w:tc>
        <w:tc>
          <w:tcPr>
            <w:tcW w:type="dxa" w:w="1973"/>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N</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Saturn</w:t>
            </w:r>
          </w:p>
        </w:tc>
        <w:tc>
          <w:tcPr>
            <w:tcW w:type="dxa" w:w="233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1.473e-08</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9.796e-02</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1.548e-01</w:t>
            </w:r>
          </w:p>
        </w:tc>
        <w:tc>
          <w:tcPr>
            <w:tcW w:type="dxa" w:w="197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5.40</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Jupiter</w:t>
            </w:r>
          </w:p>
        </w:tc>
        <w:tc>
          <w:tcPr>
            <w:tcW w:type="dxa" w:w="233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4.076e-08</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6.487e-02</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8.919e-02</w:t>
            </w:r>
          </w:p>
        </w:tc>
        <w:tc>
          <w:tcPr>
            <w:tcW w:type="dxa" w:w="197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8.83</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PSR B1937+21</w:t>
            </w:r>
          </w:p>
        </w:tc>
        <w:tc>
          <w:tcPr>
            <w:tcW w:type="dxa" w:w="233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3.462e-01</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1.250e-02</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1.515e-01</w:t>
            </w:r>
          </w:p>
        </w:tc>
        <w:tc>
          <w:tcPr>
            <w:tcW w:type="dxa" w:w="197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10.59</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Uranus</w:t>
            </w:r>
          </w:p>
        </w:tc>
        <w:tc>
          <w:tcPr>
            <w:tcW w:type="dxa" w:w="233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5.103e-09</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2.293e-02</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2.953e-02</w:t>
            </w:r>
          </w:p>
        </w:tc>
        <w:tc>
          <w:tcPr>
            <w:tcW w:type="dxa" w:w="197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26.20</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Neptune</w:t>
            </w:r>
          </w:p>
        </w:tc>
        <w:tc>
          <w:tcPr>
            <w:tcW w:type="dxa" w:w="233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6.195e-09</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1.708e-02</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2.608e-02</w:t>
            </w:r>
          </w:p>
        </w:tc>
        <w:tc>
          <w:tcPr>
            <w:tcW w:type="dxa" w:w="197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32.86</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Mars</w:t>
            </w:r>
          </w:p>
        </w:tc>
        <w:tc>
          <w:tcPr>
            <w:tcW w:type="dxa" w:w="233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2.815e-10</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5.889e-03</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4.595e-03</w:t>
            </w:r>
          </w:p>
        </w:tc>
        <w:tc>
          <w:tcPr>
            <w:tcW w:type="dxa" w:w="197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121.82</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Earth</w:t>
            </w:r>
          </w:p>
        </w:tc>
        <w:tc>
          <w:tcPr>
            <w:tcW w:type="dxa" w:w="233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1.393e-09</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3.353e-03</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3.461e-03</w:t>
            </w:r>
          </w:p>
        </w:tc>
        <w:tc>
          <w:tcPr>
            <w:tcW w:type="dxa" w:w="197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196.38</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Moon</w:t>
            </w:r>
          </w:p>
        </w:tc>
        <w:tc>
          <w:tcPr>
            <w:tcW w:type="dxa" w:w="233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6.278e-11</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1.243e-03</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7.592e-06</w:t>
            </w:r>
          </w:p>
        </w:tc>
        <w:tc>
          <w:tcPr>
            <w:tcW w:type="dxa" w:w="197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801.75</w:t>
            </w:r>
          </w:p>
        </w:tc>
      </w:tr>
      <w:tr>
        <w:trPr>
          <w:cantSplit/>
        </w:trPr>
        <w:tc>
          <w:tcPr>
            <w:tcW w:type="dxa" w:w="2088"/>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Sirius B</w:t>
            </w:r>
          </w:p>
        </w:tc>
        <w:tc>
          <w:tcPr>
            <w:tcW w:type="dxa" w:w="233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5.283e-04</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1.034e-04</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0.000e+00</w:t>
            </w:r>
          </w:p>
        </w:tc>
        <w:tc>
          <w:tcPr>
            <w:tcW w:type="dxa" w:w="1973"/>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9666.17</w:t>
            </w:r>
          </w:p>
        </w:tc>
      </w:tr>
      <w:tr>
        <w:trPr>
          <w:cantSplit/>
        </w:trPr>
        <w:tc>
          <w:tcPr>
            <w:tcW w:type="dxa" w:w="2088"/>
            <w:tcMar>
              <w:top w:w="60" w:type="dxa"/>
              <w:start w:w="90" w:type="dxa"/>
              <w:bottom w:w="60" w:type="dxa"/>
              <w:end w:w="90" w:type="dxa"/>
            </w:tcMar>
          </w:tcPr>
          <w:p>
            <w:pPr>
              <w:spacing w:after="0" w:line="269" w:lineRule="auto"/>
              <w:jc w:val="left"/>
            </w:pPr>
            <w:r/>
            <w:r>
              <w:rPr>
                <w:rFonts w:ascii="Constantia" w:hAnsi="Constantia"/>
                <w:b w:val="0"/>
                <w:i w:val="0"/>
                <w:color w:val="243040"/>
                <w:sz w:val="17"/>
              </w:rPr>
              <w:t>Sun</w:t>
            </w:r>
          </w:p>
        </w:tc>
        <w:tc>
          <w:tcPr>
            <w:tcW w:type="dxa" w:w="2333"/>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4.245e-06</w:t>
            </w:r>
          </w:p>
        </w:tc>
        <w:tc>
          <w:tcPr>
            <w:tcW w:type="dxa" w:w="1800"/>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0.000e+00</w:t>
            </w:r>
          </w:p>
        </w:tc>
        <w:tc>
          <w:tcPr>
            <w:tcW w:type="dxa" w:w="1800"/>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2.138e-05</w:t>
            </w:r>
          </w:p>
        </w:tc>
        <w:tc>
          <w:tcPr>
            <w:tcW w:type="dxa" w:w="1973"/>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93533.53</w:t>
            </w:r>
          </w:p>
        </w:tc>
      </w:tr>
    </w:tbl>
    <w:p>
      <w:pPr>
        <w:keepNext w:val="0"/>
        <w:spacing w:before="0" w:after="80" w:line="293" w:lineRule="auto"/>
        <w:jc w:val="both"/>
      </w:pP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TWO OBJECTS THAT SETTLE IT</w:t>
            </w:r>
          </w:p>
          <w:p>
            <w:pPr>
              <w:spacing w:after="120" w:line="283" w:lineRule="auto"/>
              <w:jc w:val="both"/>
            </w:pPr>
            <w:r>
              <w:rPr>
                <w:rFonts w:ascii="Constantia" w:hAnsi="Constantia"/>
                <w:b/>
                <w:color w:val="243040"/>
                <w:sz w:val="19"/>
              </w:rPr>
              <w:t>Sirius B</w:t>
            </w:r>
            <w:r>
              <w:rPr>
                <w:rFonts w:ascii="Constantia" w:hAnsi="Constantia"/>
                <w:b w:val="0"/>
                <w:color w:val="243040"/>
                <w:sz w:val="19"/>
              </w:rPr>
              <w:t>, a white dwarf. Compactness 5.28 × 10⁻⁴, some two thousand times the Earth's. It is also one of the sharpest bodies in the table, N = 9666, because it barely rotates and is very nearly spherical. Enormous gravity, almost no internal ambiguity.</w:t>
            </w:r>
          </w:p>
          <w:p>
            <w:pPr>
              <w:spacing w:after="120" w:line="283" w:lineRule="auto"/>
              <w:jc w:val="both"/>
            </w:pPr>
            <w:r>
              <w:rPr>
                <w:rFonts w:ascii="Constantia" w:hAnsi="Constantia"/>
                <w:b/>
                <w:color w:val="243040"/>
                <w:sz w:val="19"/>
              </w:rPr>
              <w:t>PSR B1937+21</w:t>
            </w:r>
            <w:r>
              <w:rPr>
                <w:rFonts w:ascii="Constantia" w:hAnsi="Constantia"/>
                <w:b w:val="0"/>
                <w:color w:val="243040"/>
                <w:sz w:val="19"/>
              </w:rPr>
              <w:t xml:space="preserve">, a millisecond pulsar turning at 642 hertz. Compactness 0.346, the most extreme entry by seven orders of magnitude. Its N is 10.6, </w:t>
            </w:r>
            <w:r>
              <w:rPr>
                <w:rFonts w:ascii="Constantia" w:hAnsi="Constantia"/>
                <w:b/>
                <w:color w:val="243040"/>
                <w:sz w:val="19"/>
              </w:rPr>
              <w:t>below the join</w:t>
            </w:r>
            <w:r>
              <w:rPr>
                <w:rFonts w:ascii="Constantia" w:hAnsi="Constantia"/>
                <w:b w:val="0"/>
                <w:color w:val="243040"/>
                <w:sz w:val="19"/>
              </w:rPr>
              <w:t>, alongside Jupiter. Enormous gravity, enormous internal ambiguity.</w:t>
            </w:r>
          </w:p>
          <w:p>
            <w:pPr>
              <w:spacing w:after="0" w:line="283" w:lineRule="auto"/>
              <w:jc w:val="both"/>
            </w:pPr>
            <w:r>
              <w:rPr>
                <w:rFonts w:ascii="Constantia" w:hAnsi="Constantia"/>
                <w:b w:val="0"/>
                <w:color w:val="243040"/>
                <w:sz w:val="19"/>
              </w:rPr>
              <w:t xml:space="preserve">So the instrument is reading something gravity does not determine. That is the uncoupling: </w:t>
            </w:r>
            <w:r>
              <w:rPr>
                <w:rFonts w:ascii="Constantia" w:hAnsi="Constantia"/>
                <w:b/>
                <w:color w:val="243040"/>
                <w:sz w:val="19"/>
              </w:rPr>
              <w:t>an object's internal state is not recoverable from its external one</w:t>
            </w:r>
            <w:r>
              <w:rPr>
                <w:rFonts w:ascii="Constantia" w:hAnsi="Constantia"/>
                <w:b w:val="0"/>
                <w:color w:val="243040"/>
                <w:sz w:val="19"/>
              </w:rPr>
              <w:t>, and N is what separates them.</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What N does track is shape and spin. Flattening and the rotational parameter both order the table nearly as N does, which is the expected result: a quantity is smeared across a body exactly to the extent the body fails to be a sphere at rest.</w:t>
      </w:r>
    </w:p>
    <w:p>
      <w:pPr>
        <w:keepNext/>
        <w:spacing w:before="440" w:after="40" w:line="293" w:lineRule="auto"/>
        <w:jc w:val="left"/>
      </w:pPr>
      <w:r>
        <w:rPr>
          <w:rFonts w:ascii="Constantia" w:hAnsi="Constantia" w:eastAsia="Constantia"/>
          <w:b/>
          <w:i w:val="0"/>
          <w:caps/>
          <w:color w:val="B48A2E"/>
          <w:sz w:val="21"/>
        </w:rPr>
        <w:t>Section four</w:t>
      </w:r>
    </w:p>
    <w:p>
      <w:pPr>
        <w:keepNext/>
        <w:spacing w:before="0" w:after="160" w:line="293" w:lineRule="auto"/>
        <w:jc w:val="left"/>
        <w:pBdr>
          <w:bottom w:val="single" w:sz="6" w:space="4" w:color="B48A2E"/>
        </w:pBdr>
      </w:pPr>
      <w:r>
        <w:rPr>
          <w:rFonts w:ascii="Constantia" w:hAnsi="Constantia" w:eastAsia="Constantia"/>
          <w:b/>
          <w:i w:val="0"/>
          <w:color w:val="102A43"/>
          <w:sz w:val="30"/>
        </w:rPr>
        <w:t>Where the linear reading stops working</w:t>
      </w:r>
    </w:p>
    <w:p>
      <w:pPr>
        <w:keepNext/>
        <w:spacing w:before="80" w:after="200" w:line="293" w:lineRule="auto"/>
        <w:jc w:val="left"/>
      </w:pPr>
      <w:r>
        <w:rPr>
          <w:rFonts w:ascii="Constantia" w:hAnsi="Constantia" w:eastAsia="Constantia"/>
          <w:b w:val="0"/>
          <w:i/>
          <w:color w:val="5B6B7A"/>
          <w:sz w:val="20"/>
        </w:rPr>
        <w:t>The deficit is 5δq/q only above the join. Below it the exact operator is required.</w:t>
      </w:r>
    </w:p>
    <w:p>
      <w:pPr>
        <w:keepNext w:val="0"/>
        <w:spacing w:before="0" w:after="140" w:line="293" w:lineRule="auto"/>
        <w:jc w:val="both"/>
      </w:pPr>
      <w:r>
        <w:rPr>
          <w:rFonts w:ascii="Constantia" w:hAnsi="Constantia" w:eastAsia="Constantia"/>
          <w:b w:val="0"/>
          <w:i w:val="0"/>
          <w:color w:val="243040"/>
          <w:sz w:val="21"/>
        </w:rPr>
        <w:t>A01 gives the unresolved fraction as 5/N to leading order, which invites using 5δq/q everywhere. It does not hold everywhere:</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944"/>
        <w:gridCol w:w="1368"/>
        <w:gridCol w:w="1944"/>
        <w:gridCol w:w="1944"/>
        <w:gridCol w:w="2793"/>
      </w:tblGrid>
      <w:tr>
        <w:trPr>
          <w:tblHeader/>
          <w:cantSplit/>
        </w:trPr>
        <w:tc>
          <w:tcPr>
            <w:tcW w:type="dxa" w:w="194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Body</w:t>
            </w:r>
          </w:p>
        </w:tc>
        <w:tc>
          <w:tcPr>
            <w:tcW w:type="dxa" w:w="1368"/>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N</w:t>
            </w:r>
          </w:p>
        </w:tc>
        <w:tc>
          <w:tcPr>
            <w:tcW w:type="dxa" w:w="194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Exact deficit</w:t>
            </w:r>
          </w:p>
        </w:tc>
        <w:tc>
          <w:tcPr>
            <w:tcW w:type="dxa" w:w="194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Linear 5/N</w:t>
            </w:r>
          </w:p>
        </w:tc>
        <w:tc>
          <w:tcPr>
            <w:tcW w:type="dxa" w:w="279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Error of the linear form</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Saturn</w:t>
            </w:r>
          </w:p>
        </w:tc>
        <w:tc>
          <w:tcPr>
            <w:tcW w:type="dxa" w:w="136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5.40</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69.0491%</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92.5212%</w:t>
            </w:r>
          </w:p>
        </w:tc>
        <w:tc>
          <w:tcPr>
            <w:tcW w:type="dxa" w:w="279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+34.0%</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Jupiter</w:t>
            </w:r>
          </w:p>
        </w:tc>
        <w:tc>
          <w:tcPr>
            <w:tcW w:type="dxa" w:w="136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8.83</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49.0437%</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56.6492%</w:t>
            </w:r>
          </w:p>
        </w:tc>
        <w:tc>
          <w:tcPr>
            <w:tcW w:type="dxa" w:w="279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+15.5%</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PSR B1937+21</w:t>
            </w:r>
          </w:p>
        </w:tc>
        <w:tc>
          <w:tcPr>
            <w:tcW w:type="dxa" w:w="136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10.59</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42.2874%</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47.2170%</w:t>
            </w:r>
          </w:p>
        </w:tc>
        <w:tc>
          <w:tcPr>
            <w:tcW w:type="dxa" w:w="279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+11.7%</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Uranus</w:t>
            </w:r>
          </w:p>
        </w:tc>
        <w:tc>
          <w:tcPr>
            <w:tcW w:type="dxa" w:w="136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26.20</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18.5115%</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19.0826%</w:t>
            </w:r>
          </w:p>
        </w:tc>
        <w:tc>
          <w:tcPr>
            <w:tcW w:type="dxa" w:w="279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+3.1%</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Neptune</w:t>
            </w:r>
          </w:p>
        </w:tc>
        <w:tc>
          <w:tcPr>
            <w:tcW w:type="dxa" w:w="136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32.86</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14.8774%</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15.2156%</w:t>
            </w:r>
          </w:p>
        </w:tc>
        <w:tc>
          <w:tcPr>
            <w:tcW w:type="dxa" w:w="279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+2.3%</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Mars</w:t>
            </w:r>
          </w:p>
        </w:tc>
        <w:tc>
          <w:tcPr>
            <w:tcW w:type="dxa" w:w="136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121.82</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4.0855%</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4.1045%</w:t>
            </w:r>
          </w:p>
        </w:tc>
        <w:tc>
          <w:tcPr>
            <w:tcW w:type="dxa" w:w="279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+0.5%</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Earth</w:t>
            </w:r>
          </w:p>
        </w:tc>
        <w:tc>
          <w:tcPr>
            <w:tcW w:type="dxa" w:w="136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196.38</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2.5391%</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2.5461%</w:t>
            </w:r>
          </w:p>
        </w:tc>
        <w:tc>
          <w:tcPr>
            <w:tcW w:type="dxa" w:w="279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+0.3%</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Moon</w:t>
            </w:r>
          </w:p>
        </w:tc>
        <w:tc>
          <w:tcPr>
            <w:tcW w:type="dxa" w:w="136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801.75</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0.6232%</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0.6236%</w:t>
            </w:r>
          </w:p>
        </w:tc>
        <w:tc>
          <w:tcPr>
            <w:tcW w:type="dxa" w:w="279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+0.1%</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Sirius B</w:t>
            </w:r>
          </w:p>
        </w:tc>
        <w:tc>
          <w:tcPr>
            <w:tcW w:type="dxa" w:w="136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9666.17</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0.0517%</w:t>
            </w:r>
          </w:p>
        </w:tc>
        <w:tc>
          <w:tcPr>
            <w:tcW w:type="dxa" w:w="194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0.0517%</w:t>
            </w:r>
          </w:p>
        </w:tc>
        <w:tc>
          <w:tcPr>
            <w:tcW w:type="dxa" w:w="279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+0.0%</w:t>
            </w:r>
          </w:p>
        </w:tc>
      </w:tr>
      <w:tr>
        <w:trPr>
          <w:cantSplit/>
        </w:trPr>
        <w:tc>
          <w:tcPr>
            <w:tcW w:type="dxa" w:w="1944"/>
            <w:tcMar>
              <w:top w:w="60" w:type="dxa"/>
              <w:start w:w="90" w:type="dxa"/>
              <w:bottom w:w="60" w:type="dxa"/>
              <w:end w:w="90" w:type="dxa"/>
            </w:tcMar>
          </w:tcPr>
          <w:p>
            <w:pPr>
              <w:spacing w:after="0" w:line="269" w:lineRule="auto"/>
              <w:jc w:val="left"/>
            </w:pPr>
            <w:r/>
            <w:r>
              <w:rPr>
                <w:rFonts w:ascii="Constantia" w:hAnsi="Constantia"/>
                <w:b w:val="0"/>
                <w:i w:val="0"/>
                <w:color w:val="243040"/>
                <w:sz w:val="17"/>
              </w:rPr>
              <w:t>Sun</w:t>
            </w:r>
          </w:p>
        </w:tc>
        <w:tc>
          <w:tcPr>
            <w:tcW w:type="dxa" w:w="1368"/>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93533.53</w:t>
            </w:r>
          </w:p>
        </w:tc>
        <w:tc>
          <w:tcPr>
            <w:tcW w:type="dxa" w:w="1944"/>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0.0053%</w:t>
            </w:r>
          </w:p>
        </w:tc>
        <w:tc>
          <w:tcPr>
            <w:tcW w:type="dxa" w:w="1944"/>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0.0053%</w:t>
            </w:r>
          </w:p>
        </w:tc>
        <w:tc>
          <w:tcPr>
            <w:tcW w:type="dxa" w:w="2794"/>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+0.0%</w:t>
            </w:r>
          </w:p>
        </w:tc>
      </w:tr>
    </w:tbl>
    <w:p>
      <w:pPr>
        <w:keepNext w:val="0"/>
        <w:spacing w:before="0" w:after="80" w:line="293" w:lineRule="auto"/>
        <w:jc w:val="both"/>
      </w:pP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THE JOIN DOES TWO JOBS, NOT ONE</w:t>
            </w:r>
          </w:p>
          <w:p>
            <w:pPr>
              <w:spacing w:after="120" w:line="283" w:lineRule="auto"/>
              <w:jc w:val="both"/>
            </w:pPr>
            <w:r>
              <w:rPr>
                <w:rFonts w:ascii="Constantia" w:hAnsi="Constantia"/>
                <w:b w:val="0"/>
                <w:color w:val="243040"/>
                <w:sz w:val="19"/>
              </w:rPr>
              <w:t>The linear form is good to better than half a per cent from Mars upward (N = 122) and fails badly below it, reaching a 26 per cent overstatement at Saturn.</w:t>
            </w:r>
          </w:p>
          <w:p>
            <w:pPr>
              <w:spacing w:after="0" w:line="283" w:lineRule="auto"/>
              <w:jc w:val="both"/>
            </w:pPr>
            <w:r>
              <w:rPr>
                <w:rFonts w:ascii="Constantia" w:hAnsi="Constantia"/>
                <w:b w:val="0"/>
                <w:color w:val="243040"/>
                <w:sz w:val="19"/>
              </w:rPr>
              <w:t xml:space="preserve">So </w:t>
            </w:r>
            <w:r>
              <w:rPr>
                <w:rFonts w:ascii="Constantia" w:hAnsi="Constantia"/>
                <w:b/>
                <w:color w:val="243040"/>
                <w:sz w:val="19"/>
              </w:rPr>
              <w:t>N† = 40φ³ is both the resolution where the deficit drops below the corpus floor and, to within the width of one body, the resolution where the linear reading becomes trustworthy.</w:t>
            </w:r>
            <w:r>
              <w:rPr>
                <w:rFonts w:ascii="Constantia" w:hAnsi="Constantia"/>
                <w:b w:val="0"/>
                <w:color w:val="243040"/>
                <w:sz w:val="19"/>
              </w:rPr>
              <w:t xml:space="preserve"> Above the join you may use 5δq/q but the answer is sub-floor. Below the join the answer is claimable but you must use the exact operator. The two regimes are cleanly separated and the separation was not put there by hand.</w:t>
            </w:r>
          </w:p>
        </w:tc>
      </w:tr>
    </w:tbl>
    <w:p>
      <w:pPr>
        <w:keepNext w:val="0"/>
        <w:spacing w:before="0" w:after="80" w:line="293" w:lineRule="auto"/>
        <w:jc w:val="both"/>
      </w:pPr>
    </w:p>
    <w:p>
      <w:pPr>
        <w:keepNext/>
        <w:spacing w:before="440" w:after="40" w:line="293" w:lineRule="auto"/>
        <w:jc w:val="left"/>
      </w:pPr>
      <w:r>
        <w:rPr>
          <w:rFonts w:ascii="Constantia" w:hAnsi="Constantia" w:eastAsia="Constantia"/>
          <w:b/>
          <w:i w:val="0"/>
          <w:caps/>
          <w:color w:val="B48A2E"/>
          <w:sz w:val="21"/>
        </w:rPr>
        <w:t>Section five</w:t>
      </w:r>
    </w:p>
    <w:p>
      <w:pPr>
        <w:keepNext/>
        <w:spacing w:before="0" w:after="160" w:line="293" w:lineRule="auto"/>
        <w:jc w:val="left"/>
        <w:pBdr>
          <w:bottom w:val="single" w:sz="6" w:space="4" w:color="B48A2E"/>
        </w:pBdr>
      </w:pPr>
      <w:r>
        <w:rPr>
          <w:rFonts w:ascii="Constantia" w:hAnsi="Constantia" w:eastAsia="Constantia"/>
          <w:b/>
          <w:i w:val="0"/>
          <w:color w:val="102A43"/>
          <w:sz w:val="30"/>
        </w:rPr>
        <w:t>That it is genuinely unit-free</w:t>
      </w:r>
    </w:p>
    <w:p>
      <w:pPr>
        <w:keepNext/>
        <w:spacing w:before="80" w:after="200" w:line="293" w:lineRule="auto"/>
        <w:jc w:val="left"/>
      </w:pPr>
      <w:r>
        <w:rPr>
          <w:rFonts w:ascii="Constantia" w:hAnsi="Constantia" w:eastAsia="Constantia"/>
          <w:b w:val="0"/>
          <w:i/>
          <w:color w:val="5B6B7A"/>
          <w:sz w:val="20"/>
        </w:rPr>
        <w:t>Jupiter's reading in five unit systems, including a deliberately absurd one.</w:t>
      </w:r>
    </w:p>
    <w:p>
      <w:pPr>
        <w:keepNext w:val="0"/>
        <w:spacing w:before="0" w:after="140" w:line="293" w:lineRule="auto"/>
        <w:jc w:val="both"/>
      </w:pPr>
      <w:r>
        <w:rPr>
          <w:rFonts w:ascii="Constantia" w:hAnsi="Constantia" w:eastAsia="Constantia"/>
          <w:b w:val="0"/>
          <w:i w:val="0"/>
          <w:color w:val="243040"/>
          <w:sz w:val="21"/>
        </w:rPr>
        <w:t>The invariance is not a claim about care with units. It is structural: N is a ratio of two quantities that carry the same dimension, so no change of unit can touch it.</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2520"/>
        <w:gridCol w:w="1944"/>
        <w:gridCol w:w="1872"/>
        <w:gridCol w:w="1872"/>
        <w:gridCol w:w="1785"/>
      </w:tblGrid>
      <w:tr>
        <w:trPr>
          <w:tblHeader/>
          <w:cantSplit/>
        </w:trPr>
        <w:tc>
          <w:tcPr>
            <w:tcW w:type="dxa" w:w="252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Declared unit</w:t>
            </w:r>
          </w:p>
        </w:tc>
        <w:tc>
          <w:tcPr>
            <w:tcW w:type="dxa" w:w="194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g external</w:t>
            </w:r>
          </w:p>
        </w:tc>
        <w:tc>
          <w:tcPr>
            <w:tcW w:type="dxa" w:w="187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δg</w:t>
            </w:r>
          </w:p>
        </w:tc>
        <w:tc>
          <w:tcPr>
            <w:tcW w:type="dxa" w:w="187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N</w:t>
            </w:r>
          </w:p>
        </w:tc>
        <w:tc>
          <w:tcPr>
            <w:tcW w:type="dxa" w:w="178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Deficit</w:t>
            </w:r>
          </w:p>
        </w:tc>
      </w:tr>
      <w:tr>
        <w:trPr>
          <w:cantSplit/>
        </w:trPr>
        <w:tc>
          <w:tcPr>
            <w:tcW w:type="dxa" w:w="2520"/>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m/s²</w:t>
            </w:r>
          </w:p>
        </w:tc>
        <w:tc>
          <w:tcPr>
            <w:tcW w:type="dxa" w:w="1944"/>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25.4604</w:t>
            </w:r>
          </w:p>
        </w:tc>
        <w:tc>
          <w:tcPr>
            <w:tcW w:type="dxa" w:w="187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2.88462</w:t>
            </w:r>
          </w:p>
        </w:tc>
        <w:tc>
          <w:tcPr>
            <w:tcW w:type="dxa" w:w="1872"/>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8.82625</w:t>
            </w:r>
          </w:p>
        </w:tc>
        <w:tc>
          <w:tcPr>
            <w:tcW w:type="dxa" w:w="1786"/>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49.0437%</w:t>
            </w:r>
          </w:p>
        </w:tc>
      </w:tr>
      <w:tr>
        <w:trPr>
          <w:cantSplit/>
        </w:trPr>
        <w:tc>
          <w:tcPr>
            <w:tcW w:type="dxa" w:w="2520"/>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cm/s²</w:t>
            </w:r>
          </w:p>
        </w:tc>
        <w:tc>
          <w:tcPr>
            <w:tcW w:type="dxa" w:w="1944"/>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2546.04</w:t>
            </w:r>
          </w:p>
        </w:tc>
        <w:tc>
          <w:tcPr>
            <w:tcW w:type="dxa" w:w="187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288.462</w:t>
            </w:r>
          </w:p>
        </w:tc>
        <w:tc>
          <w:tcPr>
            <w:tcW w:type="dxa" w:w="1872"/>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8.82625</w:t>
            </w:r>
          </w:p>
        </w:tc>
        <w:tc>
          <w:tcPr>
            <w:tcW w:type="dxa" w:w="1786"/>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49.0437%</w:t>
            </w:r>
          </w:p>
        </w:tc>
      </w:tr>
      <w:tr>
        <w:trPr>
          <w:cantSplit/>
        </w:trPr>
        <w:tc>
          <w:tcPr>
            <w:tcW w:type="dxa" w:w="2520"/>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ft/s²</w:t>
            </w:r>
          </w:p>
        </w:tc>
        <w:tc>
          <w:tcPr>
            <w:tcW w:type="dxa" w:w="1944"/>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83.5316</w:t>
            </w:r>
          </w:p>
        </w:tc>
        <w:tc>
          <w:tcPr>
            <w:tcW w:type="dxa" w:w="187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9.46397</w:t>
            </w:r>
          </w:p>
        </w:tc>
        <w:tc>
          <w:tcPr>
            <w:tcW w:type="dxa" w:w="1872"/>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8.82625</w:t>
            </w:r>
          </w:p>
        </w:tc>
        <w:tc>
          <w:tcPr>
            <w:tcW w:type="dxa" w:w="1786"/>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49.0437%</w:t>
            </w:r>
          </w:p>
        </w:tc>
      </w:tr>
      <w:tr>
        <w:trPr>
          <w:cantSplit/>
        </w:trPr>
        <w:tc>
          <w:tcPr>
            <w:tcW w:type="dxa" w:w="2520"/>
            <w:tcMar>
              <w:top w:w="60" w:type="dxa"/>
              <w:start w:w="90" w:type="dxa"/>
              <w:bottom w:w="60" w:type="dxa"/>
              <w:end w:w="90" w:type="dxa"/>
            </w:tcMar>
          </w:tcPr>
          <w:p>
            <w:pPr>
              <w:keepNext/>
              <w:spacing w:after="0" w:line="269" w:lineRule="auto"/>
              <w:jc w:val="left"/>
            </w:pPr>
            <w:r/>
            <w:r>
              <w:rPr>
                <w:rFonts w:ascii="Constantia" w:hAnsi="Constantia"/>
                <w:b w:val="0"/>
                <w:i w:val="0"/>
                <w:color w:val="243040"/>
                <w:sz w:val="17"/>
              </w:rPr>
              <w:t>g (Earth)</w:t>
            </w:r>
          </w:p>
        </w:tc>
        <w:tc>
          <w:tcPr>
            <w:tcW w:type="dxa" w:w="1944"/>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2.59627</w:t>
            </w:r>
          </w:p>
        </w:tc>
        <w:tc>
          <w:tcPr>
            <w:tcW w:type="dxa" w:w="187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7"/>
              </w:rPr>
              <w:t>0.294148</w:t>
            </w:r>
          </w:p>
        </w:tc>
        <w:tc>
          <w:tcPr>
            <w:tcW w:type="dxa" w:w="1872"/>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8.82625</w:t>
            </w:r>
          </w:p>
        </w:tc>
        <w:tc>
          <w:tcPr>
            <w:tcW w:type="dxa" w:w="1786"/>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7"/>
              </w:rPr>
              <w:t>49.0437%</w:t>
            </w:r>
          </w:p>
        </w:tc>
      </w:tr>
      <w:tr>
        <w:trPr>
          <w:cantSplit/>
        </w:trPr>
        <w:tc>
          <w:tcPr>
            <w:tcW w:type="dxa" w:w="2520"/>
            <w:tcMar>
              <w:top w:w="60" w:type="dxa"/>
              <w:start w:w="90" w:type="dxa"/>
              <w:bottom w:w="60" w:type="dxa"/>
              <w:end w:w="90" w:type="dxa"/>
            </w:tcMar>
          </w:tcPr>
          <w:p>
            <w:pPr>
              <w:spacing w:after="0" w:line="269" w:lineRule="auto"/>
              <w:jc w:val="left"/>
            </w:pPr>
            <w:r/>
            <w:r>
              <w:rPr>
                <w:rFonts w:ascii="Constantia" w:hAnsi="Constantia"/>
                <w:b w:val="0"/>
                <w:i w:val="0"/>
                <w:color w:val="243040"/>
                <w:sz w:val="17"/>
              </w:rPr>
              <w:t>furlong / fortnight²</w:t>
            </w:r>
          </w:p>
        </w:tc>
        <w:tc>
          <w:tcPr>
            <w:tcW w:type="dxa" w:w="1944"/>
            <w:tcMar>
              <w:top w:w="60" w:type="dxa"/>
              <w:start w:w="90" w:type="dxa"/>
              <w:bottom w:w="60" w:type="dxa"/>
              <w:end w:w="90" w:type="dxa"/>
            </w:tcMar>
          </w:tcPr>
          <w:p>
            <w:pPr>
              <w:spacing w:after="0" w:line="269" w:lineRule="auto"/>
              <w:jc w:val="left"/>
            </w:pPr>
            <w:r/>
            <w:r>
              <w:rPr>
                <w:rFonts w:ascii="Cambria Math" w:hAnsi="Cambria Math"/>
                <w:b w:val="0"/>
                <w:i w:val="0"/>
                <w:color w:val="243040"/>
                <w:sz w:val="17"/>
              </w:rPr>
              <w:t>1.95043e7</w:t>
            </w:r>
          </w:p>
        </w:tc>
        <w:tc>
          <w:tcPr>
            <w:tcW w:type="dxa" w:w="1872"/>
            <w:tcMar>
              <w:top w:w="60" w:type="dxa"/>
              <w:start w:w="90" w:type="dxa"/>
              <w:bottom w:w="60" w:type="dxa"/>
              <w:end w:w="90" w:type="dxa"/>
            </w:tcMar>
          </w:tcPr>
          <w:p>
            <w:pPr>
              <w:spacing w:after="0" w:line="269" w:lineRule="auto"/>
              <w:jc w:val="left"/>
            </w:pPr>
            <w:r/>
            <w:r>
              <w:rPr>
                <w:rFonts w:ascii="Cambria Math" w:hAnsi="Cambria Math"/>
                <w:b w:val="0"/>
                <w:i w:val="0"/>
                <w:color w:val="243040"/>
                <w:sz w:val="17"/>
              </w:rPr>
              <w:t>2.20978e6</w:t>
            </w:r>
          </w:p>
        </w:tc>
        <w:tc>
          <w:tcPr>
            <w:tcW w:type="dxa" w:w="1872"/>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8.82625</w:t>
            </w:r>
          </w:p>
        </w:tc>
        <w:tc>
          <w:tcPr>
            <w:tcW w:type="dxa" w:w="1786"/>
            <w:tcMar>
              <w:top w:w="60" w:type="dxa"/>
              <w:start w:w="90" w:type="dxa"/>
              <w:bottom w:w="60" w:type="dxa"/>
              <w:end w:w="90" w:type="dxa"/>
            </w:tcMar>
          </w:tcPr>
          <w:p>
            <w:pPr>
              <w:spacing w:after="0" w:line="269" w:lineRule="auto"/>
              <w:jc w:val="center"/>
            </w:pPr>
            <w:r/>
            <w:r>
              <w:rPr>
                <w:rFonts w:ascii="Cambria Math" w:hAnsi="Cambria Math"/>
                <w:b w:val="0"/>
                <w:i w:val="0"/>
                <w:color w:val="243040"/>
                <w:sz w:val="17"/>
              </w:rPr>
              <w:t>49.0437%</w:t>
            </w:r>
          </w:p>
        </w:tc>
      </w:tr>
    </w:tbl>
    <w:p>
      <w:pPr>
        <w:keepNext w:val="0"/>
        <w:spacing w:before="0" w:after="80" w:line="293" w:lineRule="auto"/>
        <w:jc w:val="both"/>
      </w:pPr>
    </w:p>
    <w:p>
      <w:pPr>
        <w:keepNext w:val="0"/>
        <w:spacing w:before="20" w:after="200" w:line="264" w:lineRule="auto"/>
        <w:ind w:left="317"/>
        <w:jc w:val="both"/>
      </w:pPr>
      <w:r>
        <w:rPr>
          <w:rFonts w:ascii="Constantia" w:hAnsi="Constantia" w:eastAsia="Constantia"/>
          <w:b w:val="0"/>
          <w:i/>
          <w:color w:val="5B6B7A"/>
          <w:sz w:val="18"/>
        </w:rPr>
        <w:t>The same instrument on the same body returns one number. Compare this with the decimal-lift form of the original formulation, where the Jupiter residual moved from −0.020 per cent to −19.2 per cent on a change of unit alone. That was the defect A01 removed, and this table is the check that it stayed removed.</w:t>
      </w:r>
    </w:p>
    <w:p>
      <w:pPr>
        <w:keepNext/>
        <w:spacing w:before="440" w:after="40" w:line="293" w:lineRule="auto"/>
        <w:jc w:val="left"/>
      </w:pPr>
      <w:r>
        <w:rPr>
          <w:rFonts w:ascii="Constantia" w:hAnsi="Constantia" w:eastAsia="Constantia"/>
          <w:b/>
          <w:i w:val="0"/>
          <w:caps/>
          <w:color w:val="B48A2E"/>
          <w:sz w:val="21"/>
        </w:rPr>
        <w:t>Section six</w:t>
      </w:r>
    </w:p>
    <w:p>
      <w:pPr>
        <w:keepNext/>
        <w:spacing w:before="0" w:after="160" w:line="293" w:lineRule="auto"/>
        <w:jc w:val="left"/>
        <w:pBdr>
          <w:bottom w:val="single" w:sz="6" w:space="4" w:color="B48A2E"/>
        </w:pBdr>
      </w:pPr>
      <w:r>
        <w:rPr>
          <w:rFonts w:ascii="Constantia" w:hAnsi="Constantia" w:eastAsia="Constantia"/>
          <w:b/>
          <w:i w:val="0"/>
          <w:color w:val="102A43"/>
          <w:sz w:val="30"/>
        </w:rPr>
        <w:t>Distances</w:t>
      </w:r>
    </w:p>
    <w:p>
      <w:pPr>
        <w:keepNext/>
        <w:spacing w:before="80" w:after="200" w:line="293" w:lineRule="auto"/>
        <w:jc w:val="left"/>
      </w:pPr>
      <w:r>
        <w:rPr>
          <w:rFonts w:ascii="Constantia" w:hAnsi="Constantia" w:eastAsia="Constantia"/>
          <w:b w:val="0"/>
          <w:i/>
          <w:color w:val="5B6B7A"/>
          <w:sz w:val="20"/>
        </w:rPr>
        <w:t>The same instrument, wherever a separation genuinely fails to have one value.</w:t>
      </w:r>
    </w:p>
    <w:p>
      <w:pPr>
        <w:keepNext w:val="0"/>
        <w:spacing w:before="0" w:after="140" w:line="293" w:lineRule="auto"/>
        <w:jc w:val="both"/>
      </w:pPr>
      <w:r>
        <w:rPr>
          <w:rFonts w:ascii="Constantia" w:hAnsi="Constantia" w:eastAsia="Constantia"/>
          <w:b w:val="0"/>
          <w:i w:val="0"/>
          <w:color w:val="243040"/>
          <w:sz w:val="21"/>
        </w:rPr>
        <w:t>Nothing in the construction is about gravity. It needs a quantity and a spread that belongs to the quantity rather than to the instrument, and separations supply both: an orbit has a perigee and an apogee, and a parallax has a formal error.</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843"/>
        <w:gridCol w:w="1324"/>
        <w:gridCol w:w="1324"/>
        <w:gridCol w:w="1036"/>
        <w:gridCol w:w="1080"/>
        <w:gridCol w:w="792"/>
        <w:gridCol w:w="2592"/>
      </w:tblGrid>
      <w:tr>
        <w:trPr>
          <w:tblHeader/>
          <w:cantSplit/>
        </w:trPr>
        <w:tc>
          <w:tcPr>
            <w:tcW w:type="dxa" w:w="1843"/>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Separation</w:t>
            </w:r>
          </w:p>
        </w:tc>
        <w:tc>
          <w:tcPr>
            <w:tcW w:type="dxa" w:w="1325"/>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q (m)</w:t>
            </w:r>
          </w:p>
        </w:tc>
        <w:tc>
          <w:tcPr>
            <w:tcW w:type="dxa" w:w="1325"/>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δq (m)</w:t>
            </w:r>
          </w:p>
        </w:tc>
        <w:tc>
          <w:tcPr>
            <w:tcW w:type="dxa" w:w="1037"/>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N</w:t>
            </w:r>
          </w:p>
        </w:tc>
        <w:tc>
          <w:tcPr>
            <w:tcW w:type="dxa" w:w="108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Deficit</w:t>
            </w:r>
          </w:p>
        </w:tc>
        <w:tc>
          <w:tcPr>
            <w:tcW w:type="dxa" w:w="79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Side</w:t>
            </w:r>
          </w:p>
        </w:tc>
        <w:tc>
          <w:tcPr>
            <w:tcW w:type="dxa" w:w="259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What smears it</w:t>
            </w:r>
          </w:p>
        </w:tc>
      </w:tr>
      <w:tr>
        <w:trPr>
          <w:cantSplit/>
        </w:trPr>
        <w:tc>
          <w:tcPr>
            <w:tcW w:type="dxa" w:w="184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Earth to Moon</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3.8440e+08</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2.1000e+07</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18.30</w:t>
            </w:r>
          </w:p>
        </w:tc>
        <w:tc>
          <w:tcPr>
            <w:tcW w:type="dxa" w:w="108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25.985%</w:t>
            </w:r>
          </w:p>
        </w:tc>
        <w:tc>
          <w:tcPr>
            <w:tcW w:type="dxa" w:w="79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below</w:t>
            </w:r>
          </w:p>
        </w:tc>
        <w:tc>
          <w:tcPr>
            <w:tcW w:type="dxa" w:w="259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perigee to apogee, a real excursion</w:t>
            </w:r>
          </w:p>
        </w:tc>
      </w:tr>
      <w:tr>
        <w:trPr>
          <w:cantSplit/>
        </w:trPr>
        <w:tc>
          <w:tcPr>
            <w:tcW w:type="dxa" w:w="184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1 AU</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1.4960e+11</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2.5000e+09</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59.84</w:t>
            </w:r>
          </w:p>
        </w:tc>
        <w:tc>
          <w:tcPr>
            <w:tcW w:type="dxa" w:w="108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8.268%</w:t>
            </w:r>
          </w:p>
        </w:tc>
        <w:tc>
          <w:tcPr>
            <w:tcW w:type="dxa" w:w="79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below</w:t>
            </w:r>
          </w:p>
        </w:tc>
        <w:tc>
          <w:tcPr>
            <w:tcW w:type="dxa" w:w="259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Earth's own orbital eccentricity</w:t>
            </w:r>
          </w:p>
        </w:tc>
      </w:tr>
      <w:tr>
        <w:trPr>
          <w:cantSplit/>
        </w:trPr>
        <w:tc>
          <w:tcPr>
            <w:tcW w:type="dxa" w:w="184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Earth to Mars</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2.2500e+11</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1.0000e+11</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2.25</w:t>
            </w:r>
          </w:p>
        </w:tc>
        <w:tc>
          <w:tcPr>
            <w:tcW w:type="dxa" w:w="108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95.066%</w:t>
            </w:r>
          </w:p>
        </w:tc>
        <w:tc>
          <w:tcPr>
            <w:tcW w:type="dxa" w:w="79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below</w:t>
            </w:r>
          </w:p>
        </w:tc>
        <w:tc>
          <w:tcPr>
            <w:tcW w:type="dxa" w:w="259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opposition to conjunction</w:t>
            </w:r>
          </w:p>
        </w:tc>
      </w:tr>
      <w:tr>
        <w:trPr>
          <w:cantSplit/>
        </w:trPr>
        <w:tc>
          <w:tcPr>
            <w:tcW w:type="dxa" w:w="184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Proxima Centauri</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4.0175e+16</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2.8000e+12</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14348.21</w:t>
            </w:r>
          </w:p>
        </w:tc>
        <w:tc>
          <w:tcPr>
            <w:tcW w:type="dxa" w:w="108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0.035%</w:t>
            </w:r>
          </w:p>
        </w:tc>
        <w:tc>
          <w:tcPr>
            <w:tcW w:type="dxa" w:w="79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above</w:t>
            </w:r>
          </w:p>
        </w:tc>
        <w:tc>
          <w:tcPr>
            <w:tcW w:type="dxa" w:w="259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Gaia DR3 parallax</w:t>
            </w:r>
          </w:p>
        </w:tc>
      </w:tr>
      <w:tr>
        <w:trPr>
          <w:cantSplit/>
        </w:trPr>
        <w:tc>
          <w:tcPr>
            <w:tcW w:type="dxa" w:w="184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Galactic centre</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2.5567e+20</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9.4600e+17</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270.26</w:t>
            </w:r>
          </w:p>
        </w:tc>
        <w:tc>
          <w:tcPr>
            <w:tcW w:type="dxa" w:w="108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1.846%</w:t>
            </w:r>
          </w:p>
        </w:tc>
        <w:tc>
          <w:tcPr>
            <w:tcW w:type="dxa" w:w="79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above</w:t>
            </w:r>
          </w:p>
        </w:tc>
        <w:tc>
          <w:tcPr>
            <w:tcW w:type="dxa" w:w="259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8.28 +- 0.031 kpc</w:t>
            </w:r>
          </w:p>
        </w:tc>
      </w:tr>
      <w:tr>
        <w:trPr>
          <w:cantSplit/>
        </w:trPr>
        <w:tc>
          <w:tcPr>
            <w:tcW w:type="dxa" w:w="1843"/>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Andromeda</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2.3995e+22</w:t>
            </w:r>
          </w:p>
        </w:tc>
        <w:tc>
          <w:tcPr>
            <w:tcW w:type="dxa" w:w="1325"/>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6"/>
              </w:rPr>
              <w:t>6.6200e+20</w:t>
            </w:r>
          </w:p>
        </w:tc>
        <w:tc>
          <w:tcPr>
            <w:tcW w:type="dxa" w:w="1037"/>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36.25</w:t>
            </w:r>
          </w:p>
        </w:tc>
        <w:tc>
          <w:tcPr>
            <w:tcW w:type="dxa" w:w="108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6"/>
              </w:rPr>
              <w:t>13.524%</w:t>
            </w:r>
          </w:p>
        </w:tc>
        <w:tc>
          <w:tcPr>
            <w:tcW w:type="dxa" w:w="792"/>
            <w:tcMar>
              <w:top w:w="60" w:type="dxa"/>
              <w:start w:w="90" w:type="dxa"/>
              <w:bottom w:w="60" w:type="dxa"/>
              <w:end w:w="90" w:type="dxa"/>
            </w:tcMar>
          </w:tcPr>
          <w:p>
            <w:pPr>
              <w:keepNext/>
              <w:spacing w:after="0" w:line="269" w:lineRule="auto"/>
              <w:jc w:val="center"/>
            </w:pPr>
            <w:r/>
            <w:r>
              <w:rPr>
                <w:rFonts w:ascii="Constantia" w:hAnsi="Constantia"/>
                <w:b w:val="0"/>
                <w:i w:val="0"/>
                <w:color w:val="243040"/>
                <w:sz w:val="16"/>
              </w:rPr>
              <w:t>below</w:t>
            </w:r>
          </w:p>
        </w:tc>
        <w:tc>
          <w:tcPr>
            <w:tcW w:type="dxa" w:w="2592"/>
            <w:tcMar>
              <w:top w:w="60" w:type="dxa"/>
              <w:start w:w="90" w:type="dxa"/>
              <w:bottom w:w="60" w:type="dxa"/>
              <w:end w:w="90" w:type="dxa"/>
            </w:tcMar>
          </w:tcPr>
          <w:p>
            <w:pPr>
              <w:keepNext/>
              <w:spacing w:after="0" w:line="269" w:lineRule="auto"/>
              <w:jc w:val="left"/>
            </w:pPr>
            <w:r/>
            <w:r>
              <w:rPr>
                <w:rFonts w:ascii="Constantia" w:hAnsi="Constantia"/>
                <w:b w:val="0"/>
                <w:i w:val="0"/>
                <w:color w:val="243040"/>
                <w:sz w:val="16"/>
              </w:rPr>
              <w:t>2.537 +- 0.070 Mly</w:t>
            </w:r>
          </w:p>
        </w:tc>
      </w:tr>
      <w:tr>
        <w:trPr>
          <w:cantSplit/>
        </w:trPr>
        <w:tc>
          <w:tcPr>
            <w:tcW w:type="dxa" w:w="1843"/>
            <w:tcMar>
              <w:top w:w="60" w:type="dxa"/>
              <w:start w:w="90" w:type="dxa"/>
              <w:bottom w:w="60" w:type="dxa"/>
              <w:end w:w="90" w:type="dxa"/>
            </w:tcMar>
          </w:tcPr>
          <w:p>
            <w:pPr>
              <w:spacing w:after="0" w:line="269" w:lineRule="auto"/>
              <w:jc w:val="left"/>
            </w:pPr>
            <w:r/>
            <w:r>
              <w:rPr>
                <w:rFonts w:ascii="Constantia" w:hAnsi="Constantia"/>
                <w:b w:val="0"/>
                <w:i w:val="0"/>
                <w:color w:val="243040"/>
                <w:sz w:val="16"/>
              </w:rPr>
              <w:t>Hubble length</w:t>
            </w:r>
          </w:p>
        </w:tc>
        <w:tc>
          <w:tcPr>
            <w:tcW w:type="dxa" w:w="1325"/>
            <w:tcMar>
              <w:top w:w="60" w:type="dxa"/>
              <w:start w:w="90" w:type="dxa"/>
              <w:bottom w:w="60" w:type="dxa"/>
              <w:end w:w="90" w:type="dxa"/>
            </w:tcMar>
          </w:tcPr>
          <w:p>
            <w:pPr>
              <w:spacing w:after="0" w:line="269" w:lineRule="auto"/>
              <w:jc w:val="left"/>
            </w:pPr>
            <w:r/>
            <w:r>
              <w:rPr>
                <w:rFonts w:ascii="Cambria Math" w:hAnsi="Cambria Math"/>
                <w:b w:val="0"/>
                <w:i w:val="0"/>
                <w:color w:val="243040"/>
                <w:sz w:val="16"/>
              </w:rPr>
              <w:t>1.3700e+26</w:t>
            </w:r>
          </w:p>
        </w:tc>
        <w:tc>
          <w:tcPr>
            <w:tcW w:type="dxa" w:w="1325"/>
            <w:tcMar>
              <w:top w:w="60" w:type="dxa"/>
              <w:start w:w="90" w:type="dxa"/>
              <w:bottom w:w="60" w:type="dxa"/>
              <w:end w:w="90" w:type="dxa"/>
            </w:tcMar>
          </w:tcPr>
          <w:p>
            <w:pPr>
              <w:spacing w:after="0" w:line="269" w:lineRule="auto"/>
              <w:jc w:val="left"/>
            </w:pPr>
            <w:r/>
            <w:r>
              <w:rPr>
                <w:rFonts w:ascii="Cambria Math" w:hAnsi="Cambria Math"/>
                <w:b w:val="0"/>
                <w:i w:val="0"/>
                <w:color w:val="243040"/>
                <w:sz w:val="16"/>
              </w:rPr>
              <w:t>1.1000e+25</w:t>
            </w:r>
          </w:p>
        </w:tc>
        <w:tc>
          <w:tcPr>
            <w:tcW w:type="dxa" w:w="1037"/>
            <w:tcMar>
              <w:top w:w="60" w:type="dxa"/>
              <w:start w:w="90" w:type="dxa"/>
              <w:bottom w:w="60" w:type="dxa"/>
              <w:end w:w="90" w:type="dxa"/>
            </w:tcMar>
          </w:tcPr>
          <w:p>
            <w:pPr>
              <w:spacing w:after="0" w:line="269" w:lineRule="auto"/>
              <w:jc w:val="center"/>
            </w:pPr>
            <w:r/>
            <w:r>
              <w:rPr>
                <w:rFonts w:ascii="Cambria Math" w:hAnsi="Cambria Math"/>
                <w:b w:val="0"/>
                <w:i w:val="0"/>
                <w:color w:val="243040"/>
                <w:sz w:val="16"/>
              </w:rPr>
              <w:t>12.45</w:t>
            </w:r>
          </w:p>
        </w:tc>
        <w:tc>
          <w:tcPr>
            <w:tcW w:type="dxa" w:w="1080"/>
            <w:tcMar>
              <w:top w:w="60" w:type="dxa"/>
              <w:start w:w="90" w:type="dxa"/>
              <w:bottom w:w="60" w:type="dxa"/>
              <w:end w:w="90" w:type="dxa"/>
            </w:tcMar>
          </w:tcPr>
          <w:p>
            <w:pPr>
              <w:spacing w:after="0" w:line="269" w:lineRule="auto"/>
              <w:jc w:val="center"/>
            </w:pPr>
            <w:r/>
            <w:r>
              <w:rPr>
                <w:rFonts w:ascii="Cambria Math" w:hAnsi="Cambria Math"/>
                <w:b w:val="0"/>
                <w:i w:val="0"/>
                <w:color w:val="243040"/>
                <w:sz w:val="16"/>
              </w:rPr>
              <w:t>36.804%</w:t>
            </w:r>
          </w:p>
        </w:tc>
        <w:tc>
          <w:tcPr>
            <w:tcW w:type="dxa" w:w="792"/>
            <w:tcMar>
              <w:top w:w="60" w:type="dxa"/>
              <w:start w:w="90" w:type="dxa"/>
              <w:bottom w:w="60" w:type="dxa"/>
              <w:end w:w="90" w:type="dxa"/>
            </w:tcMar>
          </w:tcPr>
          <w:p>
            <w:pPr>
              <w:spacing w:after="0" w:line="269" w:lineRule="auto"/>
              <w:jc w:val="center"/>
            </w:pPr>
            <w:r/>
            <w:r>
              <w:rPr>
                <w:rFonts w:ascii="Constantia" w:hAnsi="Constantia"/>
                <w:b w:val="0"/>
                <w:i w:val="0"/>
                <w:color w:val="243040"/>
                <w:sz w:val="16"/>
              </w:rPr>
              <w:t>below</w:t>
            </w:r>
          </w:p>
        </w:tc>
        <w:tc>
          <w:tcPr>
            <w:tcW w:type="dxa" w:w="2592"/>
            <w:tcMar>
              <w:top w:w="60" w:type="dxa"/>
              <w:start w:w="90" w:type="dxa"/>
              <w:bottom w:w="60" w:type="dxa"/>
              <w:end w:w="90" w:type="dxa"/>
            </w:tcMar>
          </w:tcPr>
          <w:p>
            <w:pPr>
              <w:spacing w:after="0" w:line="269" w:lineRule="auto"/>
              <w:jc w:val="left"/>
            </w:pPr>
            <w:r/>
            <w:r>
              <w:rPr>
                <w:rFonts w:ascii="Constantia" w:hAnsi="Constantia"/>
                <w:b w:val="0"/>
                <w:i w:val="0"/>
                <w:color w:val="243040"/>
                <w:sz w:val="16"/>
              </w:rPr>
              <w:t>the H0 basins themselves</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i w:val="0"/>
          <w:color w:val="243040"/>
          <w:sz w:val="21"/>
        </w:rPr>
        <w:t>The Hubble length is below the join.</w:t>
      </w:r>
      <w:r>
        <w:rPr>
          <w:rFonts w:ascii="Constantia" w:hAnsi="Constantia" w:eastAsia="Constantia"/>
          <w:b w:val="0"/>
          <w:i w:val="0"/>
          <w:color w:val="243040"/>
          <w:sz w:val="21"/>
        </w:rPr>
        <w:t xml:space="preserve"> Its spread is the disagreement between the two H₀ basins, which is the one entry in this table where the smearing is not a geometric excursion or a formal error but a genuine disagreement between two ways of asking. Addendum A03 treats that spread as structure rather than as error, and this reading is consistent with it: a quantity measured in two basins does not have one value, and its N says so.</w:t>
      </w:r>
    </w:p>
    <w:p>
      <w:pPr>
        <w:keepNext/>
        <w:spacing w:before="440" w:after="40" w:line="293" w:lineRule="auto"/>
        <w:jc w:val="left"/>
      </w:pPr>
      <w:r>
        <w:rPr>
          <w:rFonts w:ascii="Constantia" w:hAnsi="Constantia" w:eastAsia="Constantia"/>
          <w:b/>
          <w:i w:val="0"/>
          <w:caps/>
          <w:color w:val="B48A2E"/>
          <w:sz w:val="21"/>
        </w:rPr>
        <w:t>Section seven</w:t>
      </w:r>
    </w:p>
    <w:p>
      <w:pPr>
        <w:keepNext/>
        <w:spacing w:before="0" w:after="160" w:line="293" w:lineRule="auto"/>
        <w:jc w:val="left"/>
        <w:pBdr>
          <w:bottom w:val="single" w:sz="6" w:space="4" w:color="B48A2E"/>
        </w:pBdr>
      </w:pPr>
      <w:r>
        <w:rPr>
          <w:rFonts w:ascii="Constantia" w:hAnsi="Constantia" w:eastAsia="Constantia"/>
          <w:b/>
          <w:i w:val="0"/>
          <w:color w:val="102A43"/>
          <w:sz w:val="30"/>
        </w:rPr>
        <w:t>What the instrument is good for</w:t>
      </w:r>
    </w:p>
    <w:p>
      <w:pPr>
        <w:keepNext/>
        <w:spacing w:before="80" w:after="200" w:line="293" w:lineRule="auto"/>
        <w:jc w:val="left"/>
      </w:pPr>
      <w:r>
        <w:rPr>
          <w:rFonts w:ascii="Constantia" w:hAnsi="Constantia" w:eastAsia="Constantia"/>
          <w:b w:val="0"/>
          <w:i/>
          <w:color w:val="5B6B7A"/>
          <w:sz w:val="20"/>
        </w:rPr>
        <w:t>Three uses that follow, and one that does not.</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6336"/>
        <w:gridCol w:w="3657"/>
      </w:tblGrid>
      <w:tr>
        <w:trPr>
          <w:tblHeader/>
          <w:cantSplit/>
        </w:trPr>
        <w:tc>
          <w:tcPr>
            <w:tcW w:type="dxa" w:w="633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Use</w:t>
            </w:r>
          </w:p>
        </w:tc>
        <w:tc>
          <w:tcPr>
            <w:tcW w:type="dxa" w:w="3658"/>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Status</w:t>
            </w:r>
          </w:p>
        </w:tc>
      </w:tr>
      <w:tr>
        <w:trPr>
          <w:cantSplit/>
        </w:trPr>
        <w:tc>
          <w:tcPr>
            <w:tcW w:type="dxa" w:w="633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Ranking bodies by definitional sharpness.</w:t>
            </w:r>
            <w:r>
              <w:rPr>
                <w:rFonts w:ascii="Constantia" w:hAnsi="Constantia"/>
                <w:b w:val="0"/>
                <w:i w:val="0"/>
                <w:color w:val="243040"/>
                <w:sz w:val="17"/>
              </w:rPr>
              <w:t xml:space="preserve"> The ordering by N is computable from mass, radii and period alone, needs no measurement of the quantity itself, and is unit-free.</w:t>
            </w:r>
          </w:p>
        </w:tc>
        <w:tc>
          <w:tcPr>
            <w:tcW w:type="dxa" w:w="3658"/>
            <w:tcMar>
              <w:top w:w="60" w:type="dxa"/>
              <w:start w:w="90" w:type="dxa"/>
              <w:bottom w:w="60" w:type="dxa"/>
              <w:end w:w="90" w:type="dxa"/>
            </w:tcMar>
          </w:tcPr>
          <w:p>
            <w:pPr>
              <w:keepNext/>
              <w:spacing w:after="0" w:line="269" w:lineRule="auto"/>
              <w:jc w:val="left"/>
            </w:pPr>
            <w:r/>
            <w:r>
              <w:rPr>
                <w:rFonts w:ascii="Constantia" w:hAnsi="Constantia"/>
                <w:b/>
                <w:i w:val="0"/>
                <w:color w:val="243040"/>
                <w:sz w:val="17"/>
              </w:rPr>
              <w:t>PROVED.</w:t>
            </w:r>
            <w:r>
              <w:rPr>
                <w:rFonts w:ascii="Constantia" w:hAnsi="Constantia"/>
                <w:b w:val="0"/>
                <w:i w:val="0"/>
                <w:color w:val="243040"/>
                <w:sz w:val="17"/>
              </w:rPr>
              <w:t xml:space="preserve"> Section two.</w:t>
            </w:r>
          </w:p>
        </w:tc>
      </w:tr>
      <w:tr>
        <w:trPr>
          <w:cantSplit/>
        </w:trPr>
        <w:tc>
          <w:tcPr>
            <w:tcW w:type="dxa" w:w="633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Separating internal from external state.</w:t>
            </w:r>
            <w:r>
              <w:rPr>
                <w:rFonts w:ascii="Constantia" w:hAnsi="Constantia"/>
                <w:b w:val="0"/>
                <w:i w:val="0"/>
                <w:color w:val="243040"/>
                <w:sz w:val="17"/>
              </w:rPr>
              <w:t xml:space="preserve"> The gap g</w:t>
            </w:r>
            <w:r>
              <w:rPr>
                <w:rFonts w:ascii="Constantia" w:hAnsi="Constantia"/>
                <w:b w:val="0"/>
                <w:i w:val="0"/>
                <w:color w:val="243040"/>
                <w:sz w:val="17"/>
                <w:vertAlign w:val="subscript"/>
              </w:rPr>
              <w:t>ext</w:t>
            </w:r>
            <w:r>
              <w:rPr>
                <w:rFonts w:ascii="Constantia" w:hAnsi="Constantia"/>
                <w:b w:val="0"/>
                <w:i w:val="0"/>
                <w:color w:val="243040"/>
                <w:sz w:val="17"/>
              </w:rPr>
              <w:t xml:space="preserve"> − g</w:t>
            </w:r>
            <w:r>
              <w:rPr>
                <w:rFonts w:ascii="Constantia" w:hAnsi="Constantia"/>
                <w:b w:val="0"/>
                <w:i w:val="0"/>
                <w:color w:val="243040"/>
                <w:sz w:val="17"/>
                <w:vertAlign w:val="subscript"/>
              </w:rPr>
              <w:t>int</w:t>
            </w:r>
            <w:r>
              <w:rPr>
                <w:rFonts w:ascii="Constantia" w:hAnsi="Constantia"/>
                <w:b w:val="0"/>
                <w:i w:val="0"/>
                <w:color w:val="243040"/>
                <w:sz w:val="17"/>
              </w:rPr>
              <w:t xml:space="preserve"> is fixed by the body and not by the observer, and is not recoverable from the gravitational strength.</w:t>
            </w:r>
          </w:p>
        </w:tc>
        <w:tc>
          <w:tcPr>
            <w:tcW w:type="dxa" w:w="3658"/>
            <w:tcMar>
              <w:top w:w="60" w:type="dxa"/>
              <w:start w:w="90" w:type="dxa"/>
              <w:bottom w:w="60" w:type="dxa"/>
              <w:end w:w="90" w:type="dxa"/>
            </w:tcMar>
          </w:tcPr>
          <w:p>
            <w:pPr>
              <w:keepNext/>
              <w:spacing w:after="0" w:line="269" w:lineRule="auto"/>
              <w:jc w:val="left"/>
            </w:pPr>
            <w:r/>
            <w:r>
              <w:rPr>
                <w:rFonts w:ascii="Constantia" w:hAnsi="Constantia"/>
                <w:b/>
                <w:i w:val="0"/>
                <w:color w:val="243040"/>
                <w:sz w:val="17"/>
              </w:rPr>
              <w:t>PROVED</w:t>
            </w:r>
            <w:r>
              <w:rPr>
                <w:rFonts w:ascii="Constantia" w:hAnsi="Constantia"/>
                <w:b w:val="0"/>
                <w:i w:val="0"/>
                <w:color w:val="243040"/>
                <w:sz w:val="17"/>
              </w:rPr>
              <w:t xml:space="preserve"> as a construction. Section three.</w:t>
            </w:r>
          </w:p>
        </w:tc>
      </w:tr>
      <w:tr>
        <w:trPr>
          <w:cantSplit/>
        </w:trPr>
        <w:tc>
          <w:tcPr>
            <w:tcW w:type="dxa" w:w="6336"/>
            <w:tcMar>
              <w:top w:w="60" w:type="dxa"/>
              <w:start w:w="90" w:type="dxa"/>
              <w:bottom w:w="60" w:type="dxa"/>
              <w:end w:w="90" w:type="dxa"/>
            </w:tcMar>
          </w:tcPr>
          <w:p>
            <w:pPr>
              <w:keepNext/>
              <w:spacing w:after="0" w:line="269" w:lineRule="auto"/>
              <w:jc w:val="left"/>
            </w:pPr>
            <w:r/>
            <w:r>
              <w:rPr>
                <w:rFonts w:ascii="Constantia" w:hAnsi="Constantia"/>
                <w:b/>
                <w:i w:val="0"/>
                <w:color w:val="243040"/>
                <w:sz w:val="17"/>
              </w:rPr>
              <w:t>Deciding whether a claim is licensed.</w:t>
            </w:r>
            <w:r>
              <w:rPr>
                <w:rFonts w:ascii="Constantia" w:hAnsi="Constantia"/>
                <w:b w:val="0"/>
                <w:i w:val="0"/>
                <w:color w:val="243040"/>
                <w:sz w:val="17"/>
              </w:rPr>
              <w:t xml:space="preserve"> N below 40φ³ means the reading exceeds the corpus floor and can be argued; N above means it cannot.</w:t>
            </w:r>
          </w:p>
        </w:tc>
        <w:tc>
          <w:tcPr>
            <w:tcW w:type="dxa" w:w="3658"/>
            <w:tcMar>
              <w:top w:w="60" w:type="dxa"/>
              <w:start w:w="90" w:type="dxa"/>
              <w:bottom w:w="60" w:type="dxa"/>
              <w:end w:w="90" w:type="dxa"/>
            </w:tcMar>
          </w:tcPr>
          <w:p>
            <w:pPr>
              <w:keepNext/>
              <w:spacing w:after="0" w:line="269" w:lineRule="auto"/>
              <w:jc w:val="left"/>
            </w:pPr>
            <w:r/>
            <w:r>
              <w:rPr>
                <w:rFonts w:ascii="Constantia" w:hAnsi="Constantia"/>
                <w:b/>
                <w:i w:val="0"/>
                <w:color w:val="243040"/>
                <w:sz w:val="17"/>
              </w:rPr>
              <w:t>PROVED.</w:t>
            </w:r>
            <w:r>
              <w:rPr>
                <w:rFonts w:ascii="Constantia" w:hAnsi="Constantia"/>
                <w:b w:val="0"/>
                <w:i w:val="0"/>
                <w:color w:val="243040"/>
                <w:sz w:val="17"/>
              </w:rPr>
              <w:t xml:space="preserve"> Sections two and four.</w:t>
            </w:r>
          </w:p>
        </w:tc>
      </w:tr>
      <w:tr>
        <w:trPr>
          <w:cantSplit/>
        </w:trPr>
        <w:tc>
          <w:tcPr>
            <w:tcW w:type="dxa" w:w="6336"/>
            <w:tcMar>
              <w:top w:w="60" w:type="dxa"/>
              <w:start w:w="90" w:type="dxa"/>
              <w:bottom w:w="60" w:type="dxa"/>
              <w:end w:w="90" w:type="dxa"/>
            </w:tcMar>
          </w:tcPr>
          <w:p>
            <w:pPr>
              <w:spacing w:after="0" w:line="269" w:lineRule="auto"/>
              <w:jc w:val="left"/>
            </w:pPr>
            <w:r/>
            <w:r>
              <w:rPr>
                <w:rFonts w:ascii="Constantia" w:hAnsi="Constantia"/>
                <w:b/>
                <w:i w:val="0"/>
                <w:color w:val="243040"/>
                <w:sz w:val="17"/>
              </w:rPr>
              <w:t>Predicting a measured value more accurately than general relativity.</w:t>
            </w:r>
          </w:p>
        </w:tc>
        <w:tc>
          <w:tcPr>
            <w:tcW w:type="dxa" w:w="3658"/>
            <w:tcMar>
              <w:top w:w="60" w:type="dxa"/>
              <w:start w:w="90" w:type="dxa"/>
              <w:bottom w:w="60" w:type="dxa"/>
              <w:end w:w="90" w:type="dxa"/>
            </w:tcMar>
          </w:tcPr>
          <w:p>
            <w:pPr>
              <w:spacing w:after="0" w:line="269" w:lineRule="auto"/>
              <w:jc w:val="left"/>
            </w:pPr>
            <w:r/>
            <w:r>
              <w:rPr>
                <w:rFonts w:ascii="Constantia" w:hAnsi="Constantia"/>
                <w:b/>
                <w:i w:val="0"/>
                <w:color w:val="243040"/>
                <w:sz w:val="17"/>
              </w:rPr>
              <w:t>OPEN, and not supported here.</w:t>
            </w:r>
            <w:r>
              <w:rPr>
                <w:rFonts w:ascii="Constantia" w:hAnsi="Constantia"/>
                <w:b w:val="0"/>
                <w:i w:val="0"/>
                <w:color w:val="243040"/>
                <w:sz w:val="17"/>
              </w:rPr>
              <w:t xml:space="preserve"> The instrument returns an internal state; nothing in this addendum identifies that state with an observable that has been measured. Section eight states what would.</w:t>
            </w:r>
          </w:p>
        </w:tc>
      </w:tr>
    </w:tbl>
    <w:p>
      <w:pPr>
        <w:keepNext w:val="0"/>
        <w:spacing w:before="0" w:after="80" w:line="293" w:lineRule="auto"/>
        <w:jc w:val="both"/>
      </w:pPr>
    </w:p>
    <w:p>
      <w:pPr>
        <w:keepNext/>
        <w:spacing w:before="440" w:after="40" w:line="293" w:lineRule="auto"/>
        <w:jc w:val="left"/>
      </w:pPr>
      <w:r>
        <w:rPr>
          <w:rFonts w:ascii="Constantia" w:hAnsi="Constantia" w:eastAsia="Constantia"/>
          <w:b/>
          <w:i w:val="0"/>
          <w:caps/>
          <w:color w:val="B48A2E"/>
          <w:sz w:val="21"/>
        </w:rPr>
        <w:t>Section eight</w:t>
      </w:r>
    </w:p>
    <w:p>
      <w:pPr>
        <w:keepNext/>
        <w:spacing w:before="0" w:after="160" w:line="293" w:lineRule="auto"/>
        <w:jc w:val="left"/>
        <w:pBdr>
          <w:bottom w:val="single" w:sz="6" w:space="4" w:color="B48A2E"/>
        </w:pBdr>
      </w:pPr>
      <w:r>
        <w:rPr>
          <w:rFonts w:ascii="Constantia" w:hAnsi="Constantia" w:eastAsia="Constantia"/>
          <w:b/>
          <w:i w:val="0"/>
          <w:color w:val="102A43"/>
          <w:sz w:val="30"/>
        </w:rPr>
        <w:t>What would test it</w:t>
      </w:r>
    </w:p>
    <w:p>
      <w:pPr>
        <w:keepNext/>
        <w:spacing w:before="80" w:after="200" w:line="293" w:lineRule="auto"/>
        <w:jc w:val="left"/>
      </w:pPr>
      <w:r>
        <w:rPr>
          <w:rFonts w:ascii="Constantia" w:hAnsi="Constantia" w:eastAsia="Constantia"/>
          <w:b w:val="0"/>
          <w:i/>
          <w:color w:val="5B6B7A"/>
          <w:sz w:val="20"/>
        </w:rPr>
        <w:t>The instrument is a construction until an internal state is matched to something measured.</w:t>
      </w:r>
    </w:p>
    <w:p>
      <w:pPr>
        <w:keepNext w:val="0"/>
        <w:spacing w:before="0" w:after="140" w:line="293" w:lineRule="auto"/>
        <w:jc w:val="both"/>
      </w:pPr>
      <w:r>
        <w:rPr>
          <w:rFonts w:ascii="Constantia" w:hAnsi="Constantia" w:eastAsia="Constantia"/>
          <w:b w:val="0"/>
          <w:i w:val="0"/>
          <w:color w:val="243040"/>
          <w:sz w:val="21"/>
        </w:rPr>
        <w:t>The honest position is that sections two through six establish a well-defined, unit-free, body-determined quantity, and do not establish that it corresponds to anything. The gap g</w:t>
      </w:r>
      <w:r>
        <w:rPr>
          <w:rFonts w:ascii="Constantia" w:hAnsi="Constantia" w:eastAsia="Constantia"/>
          <w:b w:val="0"/>
          <w:i w:val="0"/>
          <w:color w:val="243040"/>
          <w:sz w:val="21"/>
          <w:vertAlign w:val="subscript"/>
        </w:rPr>
        <w:t>ext</w:t>
      </w:r>
      <w:r>
        <w:rPr>
          <w:rFonts w:ascii="Constantia" w:hAnsi="Constantia" w:eastAsia="Constantia"/>
          <w:b w:val="0"/>
          <w:i w:val="0"/>
          <w:color w:val="243040"/>
          <w:sz w:val="21"/>
        </w:rPr>
        <w:t xml:space="preserve"> − g</w:t>
      </w:r>
      <w:r>
        <w:rPr>
          <w:rFonts w:ascii="Constantia" w:hAnsi="Constantia" w:eastAsia="Constantia"/>
          <w:b w:val="0"/>
          <w:i w:val="0"/>
          <w:color w:val="243040"/>
          <w:sz w:val="21"/>
          <w:vertAlign w:val="subscript"/>
        </w:rPr>
        <w:t>int</w:t>
      </w:r>
      <w:r>
        <w:rPr>
          <w:rFonts w:ascii="Constantia" w:hAnsi="Constantia" w:eastAsia="Constantia"/>
          <w:b w:val="0"/>
          <w:i w:val="0"/>
          <w:color w:val="243040"/>
          <w:sz w:val="21"/>
        </w:rPr>
        <w:t xml:space="preserve"> for Jupiter is twelve and a half metres per second squared, which is not a small correction to a measurement, it is half the value. So the internal state is not a refined estimate of surface gravity and must not be presented as one.</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792"/>
        <w:gridCol w:w="9201"/>
      </w:tblGrid>
      <w:tr>
        <w:trPr>
          <w:tblHeader/>
          <w:cantSplit/>
        </w:trPr>
        <w:tc>
          <w:tcPr>
            <w:tcW w:type="dxa" w:w="79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Step</w:t>
            </w:r>
          </w:p>
        </w:tc>
        <w:tc>
          <w:tcPr>
            <w:tcW w:type="dxa" w:w="920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What it requires</w:t>
            </w:r>
          </w:p>
        </w:tc>
      </w:tr>
      <w:tr>
        <w:trPr>
          <w:cantSplit/>
        </w:trPr>
        <w:tc>
          <w:tcPr>
            <w:tcW w:type="dxa" w:w="79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1</w:t>
            </w:r>
          </w:p>
        </w:tc>
        <w:tc>
          <w:tcPr>
            <w:tcW w:type="dxa" w:w="920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Name the observable the internal state is supposed to be. A quantity that is half the external one is a different quantity, not a better measurement of the same one.</w:t>
            </w:r>
          </w:p>
        </w:tc>
      </w:tr>
      <w:tr>
        <w:trPr>
          <w:cantSplit/>
        </w:trPr>
        <w:tc>
          <w:tcPr>
            <w:tcW w:type="dxa" w:w="79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2</w:t>
            </w:r>
          </w:p>
        </w:tc>
        <w:tc>
          <w:tcPr>
            <w:tcW w:type="dxa" w:w="920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Find a body pair with nearly equal compactness and very different N, or the reverse. Section three supplies both. Any observable that tracks N and not compactness is a candidate.</w:t>
            </w:r>
          </w:p>
        </w:tc>
      </w:tr>
      <w:tr>
        <w:trPr>
          <w:cantSplit/>
        </w:trPr>
        <w:tc>
          <w:tcPr>
            <w:tcW w:type="dxa" w:w="79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3</w:t>
            </w:r>
          </w:p>
        </w:tc>
        <w:tc>
          <w:tcPr>
            <w:tcW w:type="dxa" w:w="920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Keep the instrument locked. The same δq rule, the same centring, across every body, declared before the comparison.</w:t>
            </w:r>
          </w:p>
        </w:tc>
      </w:tr>
      <w:tr>
        <w:trPr>
          <w:cantSplit/>
        </w:trPr>
        <w:tc>
          <w:tcPr>
            <w:tcW w:type="dxa" w:w="792"/>
            <w:tcMar>
              <w:top w:w="60" w:type="dxa"/>
              <w:start w:w="90" w:type="dxa"/>
              <w:bottom w:w="60" w:type="dxa"/>
              <w:end w:w="90" w:type="dxa"/>
            </w:tcMar>
          </w:tcPr>
          <w:p>
            <w:pPr>
              <w:spacing w:after="0" w:line="269" w:lineRule="auto"/>
              <w:jc w:val="center"/>
            </w:pPr>
            <w:r/>
            <w:r>
              <w:rPr>
                <w:rFonts w:ascii="Constantia" w:hAnsi="Constantia"/>
                <w:b w:val="0"/>
                <w:i w:val="0"/>
                <w:color w:val="243040"/>
                <w:sz w:val="18"/>
              </w:rPr>
              <w:t>4</w:t>
            </w:r>
          </w:p>
        </w:tc>
        <w:tc>
          <w:tcPr>
            <w:tcW w:type="dxa" w:w="9202"/>
            <w:tcMar>
              <w:top w:w="60" w:type="dxa"/>
              <w:start w:w="90" w:type="dxa"/>
              <w:bottom w:w="60" w:type="dxa"/>
              <w:end w:w="90" w:type="dxa"/>
            </w:tcMar>
          </w:tcPr>
          <w:p>
            <w:pPr>
              <w:spacing w:after="0" w:line="269" w:lineRule="auto"/>
              <w:jc w:val="left"/>
            </w:pPr>
            <w:r/>
            <w:r>
              <w:rPr>
                <w:rFonts w:ascii="Constantia" w:hAnsi="Constantia"/>
                <w:b w:val="0"/>
                <w:i w:val="0"/>
                <w:color w:val="243040"/>
                <w:sz w:val="18"/>
              </w:rPr>
              <w:t>Restrict to N below 169.44. Above the join the framework's own floor is coarser than the effect and nothing can be concluded.</w:t>
            </w:r>
          </w:p>
        </w:tc>
      </w:tr>
    </w:tbl>
    <w:p>
      <w:pPr>
        <w:keepNext w:val="0"/>
        <w:spacing w:before="0" w:after="80" w:line="293" w:lineRule="auto"/>
        <w:jc w:val="both"/>
      </w:pPr>
    </w:p>
    <w:p>
      <w:pPr>
        <w:keepNext w:val="0"/>
        <w:spacing w:before="0" w:after="160" w:line="293" w:lineRule="auto"/>
        <w:jc w:val="both"/>
      </w:pPr>
    </w:p>
    <w:p>
      <w:pPr>
        <w:keepNext w:val="0"/>
        <w:spacing w:before="0" w:after="40" w:line="293" w:lineRule="auto"/>
        <w:jc w:val="both"/>
      </w:pPr>
    </w:p>
    <w:tbl>
      <w:tblPr>
        <w:tblW w:type="dxa" w:w="9993"/>
        <w:jc w:val="center"/>
        <w:tblLook w:firstColumn="1" w:firstRow="1" w:lastColumn="0" w:lastRow="0" w:noHBand="0" w:noVBand="1" w:val="04A0"/>
        <w:tblBorders>
          <w:top w:val="single" w:sz="2" w:color="F4F1E8" w:space="0"/>
          <w:start w:val="single" w:sz="2" w:color="F4F1E8" w:space="0"/>
          <w:bottom w:val="single" w:sz="2" w:color="F4F1E8" w:space="0"/>
          <w:end w:val="single" w:sz="2" w:color="F4F1E8" w:space="0"/>
          <w:insideH w:val="single" w:sz="2" w:color="F4F1E8" w:space="0"/>
          <w:insideV w:val="single" w:sz="2" w:color="F4F1E8" w:space="0"/>
        </w:tblBorders>
        <w:tblLayout w:type="fixed"/>
      </w:tblPr>
      <w:tblGrid>
        <w:gridCol w:w="9993"/>
      </w:tblGrid>
      <w:tr>
        <w:tc>
          <w:tcPr>
            <w:tcW w:type="dxa" w:w="9994"/>
            <w:shd w:val="clear" w:fill="F4F1E8"/>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THE ONE-LINE VERSION</w:t>
            </w:r>
          </w:p>
          <w:p>
            <w:pPr>
              <w:spacing w:after="0" w:line="283" w:lineRule="auto"/>
              <w:jc w:val="both"/>
            </w:pPr>
            <w:r>
              <w:rPr>
                <w:rFonts w:ascii="Constantia" w:hAnsi="Constantia"/>
                <w:b/>
                <w:color w:val="243040"/>
                <w:sz w:val="19"/>
              </w:rPr>
              <w:t>N = q/δq, with δq belonging to the object, measures how sharply a thing defines a quantity, and it is independent of how much of that quantity the thing has.</w:t>
            </w:r>
            <w:r>
              <w:rPr>
                <w:rFonts w:ascii="Constantia" w:hAnsi="Constantia"/>
                <w:b w:val="0"/>
                <w:color w:val="243040"/>
                <w:sz w:val="19"/>
              </w:rPr>
              <w:t xml:space="preserve"> Saturn is the least self-defined body in the table and the Sun is the most, by four orders of magnitude, and neither fact is visible in their gravity.</w:t>
            </w:r>
          </w:p>
        </w:tc>
      </w:tr>
    </w:tbl>
    <w:p>
      <w:pPr>
        <w:keepNext w:val="0"/>
        <w:spacing w:before="0" w:after="80" w:line="293" w:lineRule="auto"/>
        <w:jc w:val="both"/>
      </w:pPr>
    </w:p>
    <w:p>
      <w:pPr>
        <w:keepNext w:val="0"/>
        <w:spacing w:before="0" w:after="120" w:line="293" w:lineRule="auto"/>
        <w:jc w:val="both"/>
      </w:pPr>
    </w:p>
    <w:p>
      <w:pPr>
        <w:keepNext w:val="0"/>
        <w:spacing w:before="0" w:after="160" w:line="293" w:lineRule="auto"/>
        <w:jc w:val="center"/>
        <w:pBdr>
          <w:bottom w:val="single" w:sz="4" w:space="1" w:color="D8D8D8"/>
        </w:pBdr>
      </w:pPr>
    </w:p>
    <w:p>
      <w:pPr>
        <w:keepNext w:val="0"/>
        <w:spacing w:before="0" w:after="80" w:line="293" w:lineRule="auto"/>
        <w:jc w:val="left"/>
      </w:pPr>
      <w:r>
        <w:rPr>
          <w:rFonts w:ascii="Constantia" w:hAnsi="Constantia" w:eastAsia="Constantia"/>
          <w:b/>
          <w:i w:val="0"/>
          <w:color w:val="B48A2E"/>
          <w:sz w:val="18"/>
        </w:rPr>
        <w:t>PROVENANCE</w:t>
      </w:r>
    </w:p>
    <w:p>
      <w:pPr>
        <w:keepNext w:val="0"/>
        <w:spacing w:before="0" w:after="0" w:line="293" w:lineRule="auto"/>
        <w:jc w:val="both"/>
      </w:pPr>
      <w:r>
        <w:rPr>
          <w:rFonts w:ascii="Constantia" w:hAnsi="Constantia" w:eastAsia="Constantia"/>
          <w:b w:val="0"/>
          <w:i/>
          <w:color w:val="5B6B7A"/>
          <w:sz w:val="17"/>
        </w:rPr>
        <w:t>Addendum A04 to the Unified Mechanics corpus. Builds only on A01, which supplies the operator and the invariant definition of resolution. Every surface gravity is computed from mass, the two radii and the rotation period; masses and radii are standard published values and no value of g is used as input. Regenerates from internal</w:t>
      </w:r>
      <w:r>
        <w:rPr>
          <w:rFonts w:ascii="Constantia" w:hAnsi="Constantia" w:eastAsia="Constantia"/>
          <w:b w:val="0"/>
          <w:i/>
          <w:color w:val="5B6B7A"/>
          <w:sz w:val="17"/>
          <w:vertAlign w:val="subscript"/>
        </w:rPr>
        <w:t>s</w:t>
      </w:r>
      <w:r>
        <w:rPr>
          <w:rFonts w:ascii="Constantia" w:hAnsi="Constantia" w:eastAsia="Constantia"/>
          <w:b w:val="0"/>
          <w:i/>
          <w:color w:val="5B6B7A"/>
          <w:sz w:val="17"/>
        </w:rPr>
        <w:t>tate</w:t>
      </w:r>
      <w:r>
        <w:rPr>
          <w:rFonts w:ascii="Constantia" w:hAnsi="Constantia" w:eastAsia="Constantia"/>
          <w:b w:val="0"/>
          <w:i/>
          <w:color w:val="5B6B7A"/>
          <w:sz w:val="17"/>
          <w:vertAlign w:val="subscript"/>
        </w:rPr>
        <w:t>i</w:t>
      </w:r>
      <w:r>
        <w:rPr>
          <w:rFonts w:ascii="Constantia" w:hAnsi="Constantia" w:eastAsia="Constantia"/>
          <w:b w:val="0"/>
          <w:i/>
          <w:color w:val="5B6B7A"/>
          <w:sz w:val="17"/>
        </w:rPr>
        <w:t>nstrument.py in this folder. The corpus is not modified by this document.</w:t>
      </w:r>
    </w:p>
    <w:sectPr w:rsidR="00FC693F" w:rsidRPr="0006063C" w:rsidSect="00034616">
      <w:headerReference w:type="default" r:id="rId9"/>
      <w:footerReference w:type="default" r:id="rId10"/>
      <w:pgSz w:w="12240" w:h="15840"/>
      <w:pgMar w:top="979" w:right="1123" w:bottom="979" w:left="1123"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ascii="Constantia" w:hAnsi="Constantia"/>
          <w:sz w:val="17"/>
          <w:color w:val="5B6B7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D8D8D8"/>
      </w:pBdr>
    </w:pPr>
    <w:r>
      <w:rPr>
        <w:rFonts w:ascii="Constantia" w:hAnsi="Constantia"/>
        <w:color w:val="B48A2E"/>
        <w:sz w:val="16"/>
      </w:rPr>
      <w:t>UNIFIED MECHANICS  ·  THE INTERNAL STATE INSTRUMENT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onstantia" w:hAnsi="Constantia" w:eastAsia="Constantia"/>
      <w:color w:val="24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