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Gravitational</w:t>
      </w:r>
      <w:r>
        <w:t xml:space="preserve"> </w:t>
      </w:r>
      <w:r>
        <w:t xml:space="preserve">Memory:</w:t>
      </w:r>
      <w:r>
        <w:t xml:space="preserve"> </w:t>
      </w:r>
      <w:r>
        <w:t xml:space="preserve">A</w:t>
      </w:r>
      <w:r>
        <w:t xml:space="preserve"> </w:t>
      </w:r>
      <w:r>
        <w:t xml:space="preserve">Derivation</w:t>
      </w:r>
      <w:r>
        <w:t xml:space="preserve"> </w:t>
      </w:r>
      <w:r>
        <w:t xml:space="preserve">of</w:t>
      </w:r>
      <w:r>
        <w:t xml:space="preserve"> </w:t>
      </w:r>
      <w:r>
        <w:t xml:space="preserve">Cosmic</w:t>
      </w:r>
      <w:r>
        <w:t xml:space="preserve"> </w:t>
      </w:r>
      <w:r>
        <w:t xml:space="preserve">Structure</w:t>
      </w:r>
      <w:r>
        <w:t xml:space="preserve"> </w:t>
      </w:r>
      <w:r>
        <w:t xml:space="preserve">and</w:t>
      </w:r>
      <w:r>
        <w:t xml:space="preserve"> </w:t>
      </w:r>
      <w:r>
        <w:t xml:space="preserve">Black</w:t>
      </w:r>
      <w:r>
        <w:t xml:space="preserve"> </w:t>
      </w:r>
      <w:r>
        <w:t xml:space="preserve">Hole</w:t>
      </w:r>
      <w:r>
        <w:t xml:space="preserve"> </w:t>
      </w:r>
      <w:r>
        <w:t xml:space="preserve">Render</w:t>
      </w:r>
      <w:r>
        <w:t xml:space="preserve"> </w:t>
      </w:r>
      <w:r>
        <w:t xml:space="preserve">Weight</w:t>
      </w:r>
      <w:r>
        <w:t xml:space="preserve"> </w:t>
      </w:r>
      <w:r>
        <w:t xml:space="preserve">from</w:t>
      </w:r>
      <w:r>
        <w:t xml:space="preserve"> </w:t>
      </w:r>
      <w:r>
        <w:t xml:space="preserve">a</w:t>
      </w:r>
      <w:r>
        <w:t xml:space="preserve"> </w:t>
      </w:r>
      <w:r>
        <w:t xml:space="preserve">Single</w:t>
      </w:r>
      <w:r>
        <w:t xml:space="preserve"> </w:t>
      </w:r>
      <w:r>
        <w:t xml:space="preserve">Self-Referential</w:t>
      </w:r>
      <w:r>
        <w:t xml:space="preserve"> </w:t>
      </w:r>
      <w:r>
        <w:t xml:space="preserve">Condition</w:t>
      </w:r>
    </w:p>
    <w:p>
      <w:pPr>
        <w:pStyle w:val="Author"/>
      </w:pPr>
      <w:r>
        <w:t xml:space="preserve">Joseph</w:t>
      </w:r>
      <w:r>
        <w:t xml:space="preserve"> </w:t>
      </w:r>
      <w:r>
        <w:t xml:space="preserve">Shields</w:t>
      </w:r>
    </w:p>
    <w:p>
      <w:pPr>
        <w:pStyle w:val="Date"/>
      </w:pPr>
      <w:r>
        <w:t xml:space="preserve">July</w:t>
      </w:r>
      <w:r>
        <w:t xml:space="preserve"> </w:t>
      </w:r>
      <w:r>
        <w:t xml:space="preserve">6,</w:t>
      </w:r>
      <w:r>
        <w:t xml:space="preserve"> </w:t>
      </w:r>
      <w:r>
        <w:t xml:space="preserve">2026</w:t>
      </w:r>
    </w:p>
    <w:p>
      <w:pPr>
        <w:pStyle w:val="FirstParagraph"/>
      </w:pPr>
      <w:r>
        <w:rPr>
          <w:bCs/>
          <w:b/>
        </w:rPr>
        <w:t xml:space="preserve">Repository:</w:t>
      </w:r>
      <w:r>
        <w:t xml:space="preserve"> </w:t>
      </w:r>
      <w:r>
        <w:t xml:space="preserve">github.com/joseph-shields/unified-mechanics</w:t>
      </w:r>
    </w:p>
    <w:bookmarkStart w:id="20" w:name="abstract"/>
    <w:p>
      <w:pPr>
        <w:pStyle w:val="Heading2"/>
      </w:pPr>
      <w:r>
        <w:t xml:space="preserve">Abstract</w:t>
      </w:r>
    </w:p>
    <w:p>
      <w:pPr>
        <w:pStyle w:val="FirstParagraph"/>
      </w:pPr>
      <w:r>
        <w:t xml:space="preserve">We propose a framework in which gravity is reinterpreted as an information processing delay in a self-measuring universe. The universe is treated as a closed system that must partition itself without external reference, forcing a unique dimensionless constant</w:t>
      </w:r>
      <w:r>
        <w:t xml:space="preserve"> </w:t>
      </w:r>
      <m:oMath>
        <m:r>
          <m:t>ϕ</m:t>
        </m:r>
        <m:r>
          <m:rPr>
            <m:sty m:val="p"/>
          </m:rPr>
          <m:t>≈</m:t>
        </m:r>
        <m:r>
          <m:t>1.618</m:t>
        </m:r>
      </m:oMath>
      <w:r>
        <w:t xml:space="preserve">. From this, a three-channel architecture emerges: Light (causal updates), Boundary (holographic memory), and Matter (frozen persistent patterns). Gravity is the gradient of the Boundary channel’s memory density, which slows the Light channel’s update rate. This single mechanism yields: (i) the observed bending of starlight by the Sun (1.75 arcseconds), (ii) the mass of M87* (</w:t>
      </w:r>
      <m:oMath>
        <m:r>
          <m:t>6.9</m:t>
        </m:r>
        <m:r>
          <m:rPr>
            <m:sty m:val="p"/>
          </m:rPr>
          <m:t>×</m:t>
        </m:r>
        <m:sSup>
          <m:e>
            <m:r>
              <m:t>10</m:t>
            </m:r>
          </m:e>
          <m:sup>
            <m:r>
              <m:t>9</m:t>
            </m:r>
          </m:sup>
        </m:sSup>
        <m:r>
          <m:t> </m:t>
        </m:r>
        <m:sSub>
          <m:e>
            <m:r>
              <m:t>M</m:t>
            </m:r>
          </m:e>
          <m:sub>
            <m:r>
              <m:rPr>
                <m:sty m:val="p"/>
              </m:rPr>
              <m:t>⊙</m:t>
            </m:r>
          </m:sub>
        </m:sSub>
      </m:oMath>
      <w:r>
        <w:t xml:space="preserve">) and its information weight of</w:t>
      </w:r>
      <w:r>
        <w:t xml:space="preserve"> </w:t>
      </w:r>
      <m:oMath>
        <m:r>
          <m:t>5.0</m:t>
        </m:r>
        <m:r>
          <m:rPr>
            <m:sty m:val="p"/>
          </m:rPr>
          <m:t>×</m:t>
        </m:r>
        <m:sSup>
          <m:e>
            <m:r>
              <m:t>10</m:t>
            </m:r>
          </m:e>
          <m:sup>
            <m:r>
              <m:t>96</m:t>
            </m:r>
          </m:sup>
        </m:sSup>
      </m:oMath>
      <w:r>
        <w:t xml:space="preserve"> </w:t>
      </w:r>
      <w:r>
        <w:t xml:space="preserve">render nodes, (iii) the dark matter mass discrepancy ratio of 5.5, (iv) the Hubble tension of 8.5%, and (v) flat galaxy rotation curves via density thresholds, with the cohesive and entropic constants derived directly from</w:t>
      </w:r>
      <w:r>
        <w:t xml:space="preserve"> </w:t>
      </w:r>
      <m:oMath>
        <m:r>
          <m:t>ϕ</m:t>
        </m:r>
      </m:oMath>
      <w:r>
        <w:t xml:space="preserve"> </w:t>
      </w:r>
      <w:r>
        <w:t xml:space="preserve">and verified against NGC 2403. All results are obtained with zero free parameters. The framework makes specific, falsifiable predictions for Euclid, laboratory Born-rule tests, and black hole photon ring substructure.</w:t>
      </w:r>
    </w:p>
    <w:bookmarkEnd w:id="20"/>
    <w:bookmarkStart w:id="21" w:name="introduction-gravity-as-memory"/>
    <w:p>
      <w:pPr>
        <w:pStyle w:val="Heading2"/>
      </w:pPr>
      <w:r>
        <w:t xml:space="preserve">1. Introduction: Gravity as Memory</w:t>
      </w:r>
    </w:p>
    <w:p>
      <w:pPr>
        <w:pStyle w:val="FirstParagraph"/>
      </w:pPr>
      <w:r>
        <w:t xml:space="preserve">In standard physics, gravity is described by the curvature of spacetime. But why does spacetime curve in the presence of mass? The proposed answer is deceptively simple: mass is accumulated memory, and gravity is the processing delay this memory imposes on the universe’s continual self-update.</w:t>
      </w:r>
    </w:p>
    <w:p>
      <w:pPr>
        <w:pStyle w:val="BodyText"/>
      </w:pPr>
      <w:r>
        <w:t xml:space="preserve">We model the universe as a closed, self-referential information system. Without an external ruler, the only consistent way to partition itself is to relate whole to part as part to remainder. This forces a specific scaling constant</w:t>
      </w:r>
      <w:r>
        <w:t xml:space="preserve"> </w:t>
      </w:r>
      <m:oMath>
        <m:r>
          <m:t>ϕ</m:t>
        </m:r>
      </m:oMath>
      <w:r>
        <w:t xml:space="preserve">, which in turn defines three inseparable channels: a fast</w:t>
      </w:r>
      <w:r>
        <w:t xml:space="preserve"> </w:t>
      </w:r>
      <w:r>
        <w:t xml:space="preserve">“</w:t>
      </w:r>
      <w:r>
        <w:t xml:space="preserve">Light</w:t>
      </w:r>
      <w:r>
        <w:t xml:space="preserve">”</w:t>
      </w:r>
      <w:r>
        <w:t xml:space="preserve"> </w:t>
      </w:r>
      <w:r>
        <w:t xml:space="preserve">update channel, a</w:t>
      </w:r>
      <w:r>
        <w:t xml:space="preserve"> </w:t>
      </w:r>
      <w:r>
        <w:t xml:space="preserve">“</w:t>
      </w:r>
      <w:r>
        <w:t xml:space="preserve">Boundary</w:t>
      </w:r>
      <w:r>
        <w:t xml:space="preserve">”</w:t>
      </w:r>
      <w:r>
        <w:t xml:space="preserve"> </w:t>
      </w:r>
      <w:r>
        <w:t xml:space="preserve">memory storage channel, and a</w:t>
      </w:r>
      <w:r>
        <w:t xml:space="preserve"> </w:t>
      </w:r>
      <w:r>
        <w:t xml:space="preserve">“</w:t>
      </w:r>
      <w:r>
        <w:t xml:space="preserve">Matter</w:t>
      </w:r>
      <w:r>
        <w:t xml:space="preserve">”</w:t>
      </w:r>
      <w:r>
        <w:t xml:space="preserve"> </w:t>
      </w:r>
      <w:r>
        <w:t xml:space="preserve">channel of persistent frozen patterns. The presence of matter loads the Boundary memory, slowing the Light channel in its vicinity, which we experience as gravitational time dilation and curved trajectories. This paper demonstrates that all major gravitational phenomena — from the bending of starlight to the flat rotation curves of galaxies — emerge quantitatively from this single information-theoretic mechanism.</w:t>
      </w:r>
    </w:p>
    <w:bookmarkEnd w:id="21"/>
    <w:bookmarkStart w:id="22" w:name="the-axiom-and-the-fundamental-constant"/>
    <w:p>
      <w:pPr>
        <w:pStyle w:val="Heading2"/>
      </w:pPr>
      <w:r>
        <w:t xml:space="preserve">2. The Axiom and the Fundamental Constant</w:t>
      </w:r>
    </w:p>
    <w:p>
      <w:pPr>
        <w:pStyle w:val="FirstParagraph"/>
      </w:pPr>
      <w:r>
        <w:t xml:space="preserve">For any closed system with no external reference, the only scale-invariant self-measurement is given by</w:t>
      </w:r>
    </w:p>
    <w:p>
      <w:pPr>
        <w:pStyle w:val="BodyText"/>
      </w:pPr>
      <m:oMathPara>
        <m:oMathParaPr>
          <m:jc m:val="center"/>
        </m:oMathParaPr>
        <m:oMath>
          <m:f>
            <m:fPr>
              <m:type m:val="bar"/>
            </m:fPr>
            <m:num>
              <m:r>
                <m:rPr>
                  <m:nor/>
                  <m:sty m:val="p"/>
                </m:rPr>
                <m:t>Whole</m:t>
              </m:r>
            </m:num>
            <m:den>
              <m:r>
                <m:rPr>
                  <m:nor/>
                  <m:sty m:val="p"/>
                </m:rPr>
                <m:t>Part</m:t>
              </m:r>
            </m:den>
          </m:f>
          <m:r>
            <m:rPr>
              <m:sty m:val="p"/>
            </m:rPr>
            <m:t>=</m:t>
          </m:r>
          <m:f>
            <m:fPr>
              <m:type m:val="bar"/>
            </m:fPr>
            <m:num>
              <m:r>
                <m:rPr>
                  <m:nor/>
                  <m:sty m:val="p"/>
                </m:rPr>
                <m:t>Part</m:t>
              </m:r>
            </m:num>
            <m:den>
              <m:r>
                <m:rPr>
                  <m:nor/>
                  <m:sty m:val="p"/>
                </m:rPr>
                <m:t>Remainder</m:t>
              </m:r>
            </m:den>
          </m:f>
          <m:r>
            <m:rPr>
              <m:sty m:val="p"/>
            </m:rPr>
            <m:t>.</m:t>
          </m:r>
        </m:oMath>
      </m:oMathPara>
    </w:p>
    <w:p>
      <w:pPr>
        <w:pStyle w:val="FirstParagraph"/>
      </w:pPr>
      <w:r>
        <w:t xml:space="preserve">Letting the ratio be</w:t>
      </w:r>
      <w:r>
        <w:t xml:space="preserve"> </w:t>
      </w:r>
      <m:oMath>
        <m:r>
          <m:t>x</m:t>
        </m:r>
      </m:oMath>
      <w:r>
        <w:t xml:space="preserve">, this yields</w:t>
      </w:r>
      <w:r>
        <w:t xml:space="preserve"> </w:t>
      </w:r>
      <m:oMath>
        <m:sSup>
          <m:e>
            <m:r>
              <m:t>x</m:t>
            </m:r>
          </m:e>
          <m:sup>
            <m:r>
              <m:t>2</m:t>
            </m:r>
          </m:sup>
        </m:sSup>
        <m:r>
          <m:rPr>
            <m:sty m:val="p"/>
          </m:rPr>
          <m:t>−</m:t>
        </m:r>
        <m:r>
          <m:t>x</m:t>
        </m:r>
        <m:r>
          <m:rPr>
            <m:sty m:val="p"/>
          </m:rPr>
          <m:t>−</m:t>
        </m:r>
        <m:r>
          <m:t>1</m:t>
        </m:r>
        <m:r>
          <m:rPr>
            <m:sty m:val="p"/>
          </m:rPr>
          <m:t>=</m:t>
        </m:r>
        <m:r>
          <m:t>0</m:t>
        </m:r>
      </m:oMath>
      <w:r>
        <w:t xml:space="preserve">, whose positive solution is</w:t>
      </w:r>
    </w:p>
    <w:p>
      <w:pPr>
        <w:pStyle w:val="BodyText"/>
      </w:pPr>
      <m:oMathPara>
        <m:oMathParaPr>
          <m:jc m:val="center"/>
        </m:oMathParaPr>
        <m:oMath>
          <m:r>
            <m:t>ϕ</m:t>
          </m:r>
          <m:r>
            <m:rPr>
              <m:sty m:val="p"/>
            </m:rPr>
            <m:t>=</m:t>
          </m:r>
          <m:f>
            <m:fPr>
              <m:type m:val="bar"/>
            </m:fPr>
            <m:num>
              <m:r>
                <m:t>1</m:t>
              </m:r>
              <m:r>
                <m:rPr>
                  <m:sty m:val="p"/>
                </m:rPr>
                <m:t>+</m:t>
              </m:r>
              <m:rad>
                <m:radPr>
                  <m:degHide m:val="on"/>
                </m:radPr>
                <m:deg/>
                <m:e>
                  <m:r>
                    <m:t>5</m:t>
                  </m:r>
                </m:e>
              </m:rad>
            </m:num>
            <m:den>
              <m:r>
                <m:t>2</m:t>
              </m:r>
            </m:den>
          </m:f>
          <m:r>
            <m:rPr>
              <m:sty m:val="p"/>
            </m:rPr>
            <m:t>≈</m:t>
          </m:r>
          <m:r>
            <m:t>1.618</m:t>
          </m:r>
          <m:r>
            <m:rPr>
              <m:sty m:val="p"/>
            </m:rPr>
            <m:t>.</m:t>
          </m:r>
        </m:oMath>
      </m:oMathPara>
    </w:p>
    <w:p>
      <w:pPr>
        <w:pStyle w:val="FirstParagraph"/>
      </w:pPr>
      <w:r>
        <w:t xml:space="preserve">From this, the universal contraction rate is</w:t>
      </w:r>
    </w:p>
    <w:p>
      <w:pPr>
        <w:pStyle w:val="BodyText"/>
      </w:pPr>
      <m:oMathPara>
        <m:oMathParaPr>
          <m:jc m:val="center"/>
        </m:oMathParaPr>
        <m:oMath>
          <m:r>
            <m:t>r</m:t>
          </m:r>
          <m:r>
            <m:rPr>
              <m:sty m:val="p"/>
            </m:rPr>
            <m:t>=</m:t>
          </m:r>
          <m:f>
            <m:fPr>
              <m:type m:val="bar"/>
            </m:fPr>
            <m:num>
              <m:r>
                <m:t>1</m:t>
              </m:r>
            </m:num>
            <m:den>
              <m:r>
                <m:t>2</m:t>
              </m:r>
              <m:r>
                <m:t>ϕ</m:t>
              </m:r>
            </m:den>
          </m:f>
          <m:r>
            <m:rPr>
              <m:sty m:val="p"/>
            </m:rPr>
            <m:t>≈</m:t>
          </m:r>
          <m:r>
            <m:t>0.30902</m:t>
          </m:r>
          <m:r>
            <m:rPr>
              <m:sty m:val="p"/>
            </m:rPr>
            <m:t>.</m:t>
          </m:r>
        </m:oMath>
      </m:oMathPara>
    </w:p>
    <w:p>
      <w:pPr>
        <w:pStyle w:val="FirstParagraph"/>
      </w:pPr>
      <w:r>
        <w:t xml:space="preserve">Every subsequent constant is a closed-form function of</w:t>
      </w:r>
      <w:r>
        <w:t xml:space="preserve"> </w:t>
      </w:r>
      <m:oMath>
        <m:r>
          <m:t>r</m:t>
        </m:r>
      </m:oMath>
      <w:r>
        <w:t xml:space="preserve"> </w:t>
      </w:r>
      <w:r>
        <w:t xml:space="preserve">alone. The irreducible noise floor of the recursion is</w:t>
      </w:r>
      <w:r>
        <w:t xml:space="preserve"> </w:t>
      </w:r>
      <m:oMath>
        <m:sSup>
          <m:e>
            <m:r>
              <m:t>r</m:t>
            </m:r>
          </m:e>
          <m:sup>
            <m:r>
              <m:t>3</m:t>
            </m:r>
          </m:sup>
        </m:sSup>
        <m:r>
          <m:rPr>
            <m:sty m:val="p"/>
          </m:rPr>
          <m:t>≈</m:t>
        </m:r>
        <m:r>
          <m:t>2.95</m:t>
        </m:r>
        <m:r>
          <m:rPr>
            <m:sty m:val="p"/>
          </m:rPr>
          <m:t>%</m:t>
        </m:r>
      </m:oMath>
      <w:r>
        <w:t xml:space="preserve">; predictions within this floor are considered exact.</w:t>
      </w:r>
    </w:p>
    <w:bookmarkEnd w:id="22"/>
    <w:bookmarkStart w:id="23" w:name="X5d608d42e7da0ea110f13c71f3e87e72c5d7d9a"/>
    <w:p>
      <w:pPr>
        <w:pStyle w:val="Heading2"/>
      </w:pPr>
      <w:r>
        <w:t xml:space="preserve">3. The Three-Channel Information Architecture</w:t>
      </w:r>
    </w:p>
    <w:p>
      <w:pPr>
        <w:pStyle w:val="FirstParagraph"/>
      </w:pPr>
      <w:r>
        <w:t xml:space="preserve">The binomial expansion</w:t>
      </w:r>
      <w:r>
        <w:t xml:space="preserve"> </w:t>
      </w:r>
      <m:oMath>
        <m:r>
          <m:rPr>
            <m:sty m:val="p"/>
          </m:rPr>
          <m:t>(</m:t>
        </m:r>
        <m:r>
          <m:t>r</m:t>
        </m:r>
        <m:r>
          <m:rPr>
            <m:sty m:val="p"/>
          </m:rPr>
          <m:t>+</m:t>
        </m:r>
        <m:d>
          <m:dPr>
            <m:begChr m:val="("/>
            <m:endChr m:val=")"/>
            <m:sepChr m:val=""/>
            <m:grow/>
          </m:dPr>
          <m:e>
            <m:r>
              <m:t>1</m:t>
            </m:r>
            <m:r>
              <m:rPr>
                <m:sty m:val="p"/>
              </m:rPr>
              <m:t>−</m:t>
            </m:r>
            <m:r>
              <m:t>r</m:t>
            </m:r>
          </m:e>
        </m:d>
        <m:sSup>
          <m:e>
            <m:r>
              <m:rPr>
                <m:sty m:val="p"/>
              </m:rPr>
              <m:t>)</m:t>
            </m:r>
          </m:e>
          <m:sup>
            <m:r>
              <m:t>2</m:t>
            </m:r>
          </m:sup>
        </m:sSup>
        <m:r>
          <m:rPr>
            <m:sty m:val="p"/>
          </m:rPr>
          <m:t>=</m:t>
        </m:r>
        <m:r>
          <m:t>1</m:t>
        </m:r>
      </m:oMath>
      <w:r>
        <w:t xml:space="preserve"> </w:t>
      </w:r>
      <w:r>
        <w:t xml:space="preserve">partitions the universe’s total processing budget into three modes:</w:t>
      </w:r>
    </w:p>
    <w:p>
      <w:pPr>
        <w:numPr>
          <w:ilvl w:val="0"/>
          <w:numId w:val="1001"/>
        </w:numPr>
      </w:pPr>
      <w:r>
        <w:rPr>
          <w:bCs/>
          <w:b/>
        </w:rPr>
        <w:t xml:space="preserve">Light channel:</w:t>
      </w:r>
      <w:r>
        <w:t xml:space="preserve"> </w:t>
      </w:r>
      <m:oMath>
        <m:sSub>
          <m:e>
            <m:r>
              <m:t>W</m:t>
            </m:r>
          </m:e>
          <m:sub>
            <m:r>
              <m:t>L</m:t>
            </m:r>
          </m:sub>
        </m:sSub>
        <m:r>
          <m:rPr>
            <m:sty m:val="p"/>
          </m:rPr>
          <m:t>=</m:t>
        </m:r>
        <m:sSup>
          <m:e>
            <m:d>
              <m:dPr>
                <m:begChr m:val="("/>
                <m:endChr m:val=")"/>
                <m:sepChr m:val=""/>
                <m:grow/>
              </m:dPr>
              <m:e>
                <m:r>
                  <m:t>1</m:t>
                </m:r>
                <m:r>
                  <m:rPr>
                    <m:sty m:val="p"/>
                  </m:rPr>
                  <m:t>−</m:t>
                </m:r>
                <m:r>
                  <m:t>r</m:t>
                </m:r>
              </m:e>
            </m:d>
          </m:e>
          <m:sup>
            <m:r>
              <m:t>2</m:t>
            </m:r>
          </m:sup>
        </m:sSup>
        <m:r>
          <m:rPr>
            <m:sty m:val="p"/>
          </m:rPr>
          <m:t>≈</m:t>
        </m:r>
        <m:r>
          <m:t>47.75</m:t>
        </m:r>
        <m:r>
          <m:rPr>
            <m:sty m:val="p"/>
          </m:rPr>
          <m:t>%</m:t>
        </m:r>
      </m:oMath>
      <w:r>
        <w:t xml:space="preserve">. This is the continuous causal update — the</w:t>
      </w:r>
      <w:r>
        <w:t xml:space="preserve"> </w:t>
      </w:r>
      <w:r>
        <w:t xml:space="preserve">“</w:t>
      </w:r>
      <w:r>
        <w:t xml:space="preserve">rendering engine</w:t>
      </w:r>
      <w:r>
        <w:t xml:space="preserve">”</w:t>
      </w:r>
      <w:r>
        <w:t xml:space="preserve"> </w:t>
      </w:r>
      <w:r>
        <w:t xml:space="preserve">that reads the Boundary and writes the next frame.</w:t>
      </w:r>
    </w:p>
    <w:p>
      <w:pPr>
        <w:numPr>
          <w:ilvl w:val="0"/>
          <w:numId w:val="1001"/>
        </w:numPr>
      </w:pPr>
      <w:r>
        <w:rPr>
          <w:bCs/>
          <w:b/>
        </w:rPr>
        <w:t xml:space="preserve">Boundary channel:</w:t>
      </w:r>
      <w:r>
        <w:t xml:space="preserve"> </w:t>
      </w:r>
      <m:oMath>
        <m:sSub>
          <m:e>
            <m:r>
              <m:t>W</m:t>
            </m:r>
          </m:e>
          <m:sub>
            <m:r>
              <m:t>B</m:t>
            </m:r>
          </m:sub>
        </m:sSub>
        <m:r>
          <m:rPr>
            <m:sty m:val="p"/>
          </m:rPr>
          <m:t>=</m:t>
        </m:r>
        <m:r>
          <m:t>2</m:t>
        </m:r>
        <m:r>
          <m:t>r</m:t>
        </m:r>
        <m:d>
          <m:dPr>
            <m:begChr m:val="("/>
            <m:endChr m:val=")"/>
            <m:sepChr m:val=""/>
            <m:grow/>
          </m:dPr>
          <m:e>
            <m:r>
              <m:t>1</m:t>
            </m:r>
            <m:r>
              <m:rPr>
                <m:sty m:val="p"/>
              </m:rPr>
              <m:t>−</m:t>
            </m:r>
            <m:r>
              <m:t>r</m:t>
            </m:r>
          </m:e>
        </m:d>
        <m:r>
          <m:rPr>
            <m:sty m:val="p"/>
          </m:rPr>
          <m:t>≈</m:t>
        </m:r>
        <m:r>
          <m:t>42.71</m:t>
        </m:r>
        <m:r>
          <m:rPr>
            <m:sty m:val="p"/>
          </m:rPr>
          <m:t>%</m:t>
        </m:r>
      </m:oMath>
      <w:r>
        <w:t xml:space="preserve">. This is the holographic memory surface where information about Matter is stored. It is the fabric of what we call spacetime.</w:t>
      </w:r>
    </w:p>
    <w:p>
      <w:pPr>
        <w:numPr>
          <w:ilvl w:val="0"/>
          <w:numId w:val="1001"/>
        </w:numPr>
      </w:pPr>
      <w:r>
        <w:rPr>
          <w:bCs/>
          <w:b/>
        </w:rPr>
        <w:t xml:space="preserve">Matter channel:</w:t>
      </w:r>
      <w:r>
        <w:t xml:space="preserve"> </w:t>
      </w:r>
      <m:oMath>
        <m:sSub>
          <m:e>
            <m:r>
              <m:t>W</m:t>
            </m:r>
          </m:e>
          <m:sub>
            <m:r>
              <m:t>M</m:t>
            </m:r>
          </m:sub>
        </m:sSub>
        <m:r>
          <m:rPr>
            <m:sty m:val="p"/>
          </m:rPr>
          <m:t>=</m:t>
        </m:r>
        <m:sSup>
          <m:e>
            <m:r>
              <m:t>r</m:t>
            </m:r>
          </m:e>
          <m:sup>
            <m:r>
              <m:t>2</m:t>
            </m:r>
          </m:sup>
        </m:sSup>
        <m:r>
          <m:rPr>
            <m:sty m:val="p"/>
          </m:rPr>
          <m:t>≈</m:t>
        </m:r>
        <m:r>
          <m:t>9.55</m:t>
        </m:r>
        <m:r>
          <m:rPr>
            <m:sty m:val="p"/>
          </m:rPr>
          <m:t>%</m:t>
        </m:r>
      </m:oMath>
      <w:r>
        <w:t xml:space="preserve">. These are patterns that persist across many update cycles — the</w:t>
      </w:r>
      <w:r>
        <w:t xml:space="preserve"> </w:t>
      </w:r>
      <w:r>
        <w:t xml:space="preserve">“</w:t>
      </w:r>
      <w:r>
        <w:t xml:space="preserve">frozen</w:t>
      </w:r>
      <w:r>
        <w:t xml:space="preserve">”</w:t>
      </w:r>
      <w:r>
        <w:t xml:space="preserve"> </w:t>
      </w:r>
      <w:r>
        <w:t xml:space="preserve">nodes we call particles and mass.</w:t>
      </w:r>
    </w:p>
    <w:p>
      <w:pPr>
        <w:pStyle w:val="FirstParagraph"/>
      </w:pPr>
      <w:r>
        <w:t xml:space="preserve">Mass is not an intrinsic property; it is the accumulated information debt of a persistent pattern. The more cycles a pattern survives, the heavier its memory load, and the more it warps the Boundary.</w:t>
      </w:r>
    </w:p>
    <w:bookmarkEnd w:id="23"/>
    <w:bookmarkStart w:id="24" w:name="X381b4c66a96c1b7f39cafbbed1395467cdbabca"/>
    <w:p>
      <w:pPr>
        <w:pStyle w:val="Heading2"/>
      </w:pPr>
      <w:r>
        <w:t xml:space="preserve">4. Gravitational Memory: Light Bending as an Update Delay</w:t>
      </w:r>
    </w:p>
    <w:p>
      <w:pPr>
        <w:pStyle w:val="FirstParagraph"/>
      </w:pPr>
      <w:r>
        <w:t xml:space="preserve">Near a mass</w:t>
      </w:r>
      <w:r>
        <w:t xml:space="preserve"> </w:t>
      </w:r>
      <m:oMath>
        <m:r>
          <m:t>M</m:t>
        </m:r>
      </m:oMath>
      <w:r>
        <w:t xml:space="preserve">, the Boundary channel is densely packed with stored memory. Each Light-channel update must process this backlog, effectively reducing the propagation speed. This creates a refractive index</w:t>
      </w:r>
    </w:p>
    <w:p>
      <w:pPr>
        <w:pStyle w:val="BodyText"/>
      </w:pPr>
      <m:oMathPara>
        <m:oMathParaPr>
          <m:jc m:val="center"/>
        </m:oMathParaPr>
        <m:oMath>
          <m:r>
            <m:t>n</m:t>
          </m:r>
          <m:d>
            <m:dPr>
              <m:begChr m:val="("/>
              <m:endChr m:val=")"/>
              <m:sepChr m:val=""/>
              <m:grow/>
            </m:dPr>
            <m:e>
              <m:r>
                <m:t>r</m:t>
              </m:r>
            </m:e>
          </m:d>
          <m:r>
            <m:rPr>
              <m:sty m:val="p"/>
            </m:rPr>
            <m:t>=</m:t>
          </m:r>
          <m:r>
            <m:t>1</m:t>
          </m:r>
          <m:r>
            <m:rPr>
              <m:sty m:val="p"/>
            </m:rPr>
            <m:t>+</m:t>
          </m:r>
          <m:f>
            <m:fPr>
              <m:type m:val="bar"/>
            </m:fPr>
            <m:num>
              <m:sSub>
                <m:e>
                  <m:r>
                    <m:t>r</m:t>
                  </m:r>
                </m:e>
                <m:sub>
                  <m:r>
                    <m:t>s</m:t>
                  </m:r>
                </m:sub>
              </m:sSub>
            </m:num>
            <m:den>
              <m:r>
                <m:t>r</m:t>
              </m:r>
            </m:den>
          </m:f>
          <m:r>
            <m:rPr>
              <m:sty m:val="p"/>
            </m:rPr>
            <m:t>,</m:t>
          </m:r>
        </m:oMath>
      </m:oMathPara>
    </w:p>
    <w:p>
      <w:pPr>
        <w:pStyle w:val="FirstParagraph"/>
      </w:pPr>
      <w:r>
        <w:t xml:space="preserve">where</w:t>
      </w:r>
      <w:r>
        <w:t xml:space="preserve"> </w:t>
      </w:r>
      <m:oMath>
        <m:sSub>
          <m:e>
            <m:r>
              <m:t>r</m:t>
            </m:r>
          </m:e>
          <m:sub>
            <m:r>
              <m:t>s</m:t>
            </m:r>
          </m:sub>
        </m:sSub>
        <m:r>
          <m:rPr>
            <m:sty m:val="p"/>
          </m:rPr>
          <m:t>=</m:t>
        </m:r>
        <m:r>
          <m:t>2</m:t>
        </m:r>
        <m:r>
          <m:t>G</m:t>
        </m:r>
        <m:r>
          <m:t>M</m:t>
        </m:r>
        <m:r>
          <m:rPr>
            <m:sty m:val="p"/>
          </m:rPr>
          <m:t>/</m:t>
        </m:r>
        <m:sSup>
          <m:e>
            <m:r>
              <m:t>c</m:t>
            </m:r>
          </m:e>
          <m:sup>
            <m:r>
              <m:t>2</m:t>
            </m:r>
          </m:sup>
        </m:sSup>
      </m:oMath>
      <w:r>
        <w:t xml:space="preserve"> </w:t>
      </w:r>
      <w:r>
        <w:t xml:space="preserve">is the Schwarzschild radius. For a ray grazing the Sun, Fermat’s principle gives the deflection angle</w:t>
      </w:r>
    </w:p>
    <w:p>
      <w:pPr>
        <w:pStyle w:val="BodyText"/>
      </w:pPr>
      <m:oMathPara>
        <m:oMathParaPr>
          <m:jc m:val="center"/>
        </m:oMathParaPr>
        <m:oMath>
          <m:r>
            <m:t>α</m:t>
          </m:r>
          <m:r>
            <m:rPr>
              <m:sty m:val="p"/>
            </m:rPr>
            <m:t>=</m:t>
          </m:r>
          <m:f>
            <m:fPr>
              <m:type m:val="bar"/>
            </m:fPr>
            <m:num>
              <m:r>
                <m:t>4</m:t>
              </m:r>
              <m:r>
                <m:t>G</m:t>
              </m:r>
              <m:r>
                <m:t>M</m:t>
              </m:r>
            </m:num>
            <m:den>
              <m:sSup>
                <m:e>
                  <m:r>
                    <m:t>c</m:t>
                  </m:r>
                </m:e>
                <m:sup>
                  <m:r>
                    <m:t>2</m:t>
                  </m:r>
                </m:sup>
              </m:sSup>
              <m:sSub>
                <m:e>
                  <m:r>
                    <m:t>R</m:t>
                  </m:r>
                </m:e>
                <m:sub>
                  <m:r>
                    <m:rPr>
                      <m:sty m:val="p"/>
                    </m:rPr>
                    <m:t>⊙</m:t>
                  </m:r>
                </m:sub>
              </m:sSub>
            </m:den>
          </m:f>
          <m:r>
            <m:rPr>
              <m:sty m:val="p"/>
            </m:rPr>
            <m:t>≈</m:t>
          </m:r>
          <m:r>
            <m:t>1.75</m:t>
          </m:r>
          <m:r>
            <m:rPr>
              <m:nor/>
              <m:sty m:val="p"/>
            </m:rPr>
            <m:t> arcseconds</m:t>
          </m:r>
          <m:r>
            <m:rPr>
              <m:sty m:val="p"/>
            </m:rPr>
            <m:t>,</m:t>
          </m:r>
        </m:oMath>
      </m:oMathPara>
    </w:p>
    <w:p>
      <w:pPr>
        <w:pStyle w:val="FirstParagraph"/>
      </w:pPr>
      <w:r>
        <w:t xml:space="preserve">exactly matching observation. The deflection is split equally between a time-delay part (slower updates) and a space-stretching part (longer paths in the memory-dense region). This recovers the PPN parameter</w:t>
      </w:r>
      <w:r>
        <w:t xml:space="preserve"> </w:t>
      </w:r>
      <m:oMath>
        <m:r>
          <m:t>γ</m:t>
        </m:r>
        <m:r>
          <m:rPr>
            <m:sty m:val="p"/>
          </m:rPr>
          <m:t>=</m:t>
        </m:r>
        <m:r>
          <m:t>1</m:t>
        </m:r>
      </m:oMath>
      <w:r>
        <w:t xml:space="preserve"> </w:t>
      </w:r>
      <w:r>
        <w:t xml:space="preserve">required by solar system tests.</w:t>
      </w:r>
    </w:p>
    <w:bookmarkEnd w:id="24"/>
    <w:bookmarkStart w:id="25" w:name="Xa57066eb1cc66525280b3d97002409659b28615"/>
    <w:p>
      <w:pPr>
        <w:pStyle w:val="Heading2"/>
      </w:pPr>
      <w:r>
        <w:t xml:space="preserve">5. Black Hole Render Weight: The M87* Nodit Audit</w:t>
      </w:r>
    </w:p>
    <w:p>
      <w:pPr>
        <w:pStyle w:val="FirstParagraph"/>
      </w:pPr>
      <w:r>
        <w:t xml:space="preserve">A black hole forms when the Matter channel’s memory density saturates the Boundary channel. It is not a singularity; it is a pure-Boundary state, a region of maximum memory. Its mass is simply the total number of discrete, successful recursion cycles (</w:t>
      </w:r>
      <w:r>
        <w:t xml:space="preserve">“</w:t>
      </w:r>
      <w:r>
        <w:t xml:space="preserve">flickers</w:t>
      </w:r>
      <w:r>
        <w:t xml:space="preserve">”</w:t>
      </w:r>
      <w:r>
        <w:t xml:space="preserve">) stored on its horizon.</w:t>
      </w:r>
    </w:p>
    <w:p>
      <w:pPr>
        <w:pStyle w:val="BodyText"/>
      </w:pPr>
      <w:r>
        <w:t xml:space="preserve">We call the fundamental unit of information weight the</w:t>
      </w:r>
      <w:r>
        <w:t xml:space="preserve"> </w:t>
      </w:r>
      <w:r>
        <w:rPr>
          <w:bCs/>
          <w:b/>
        </w:rPr>
        <w:t xml:space="preserve">nodit</w:t>
      </w:r>
      <w:r>
        <w:t xml:space="preserve"> </w:t>
      </w:r>
      <w:r>
        <w:t xml:space="preserve">(nt) — one frozen bit of memory.</w:t>
      </w:r>
    </w:p>
    <w:p>
      <w:pPr>
        <w:pStyle w:val="BodyText"/>
      </w:pPr>
      <w:r>
        <w:rPr>
          <w:bCs/>
          <w:b/>
        </w:rPr>
        <w:t xml:space="preserve">Derivation from the M87 shadow:</w:t>
      </w:r>
      <w:r>
        <w:t xml:space="preserve"> </w:t>
      </w:r>
      <w:r>
        <w:t xml:space="preserve">The Event Horizon Telescope measured an angular shadow diameter of</w:t>
      </w:r>
      <w:r>
        <w:t xml:space="preserve"> </w:t>
      </w:r>
      <m:oMath>
        <m:r>
          <m:t>42</m:t>
        </m:r>
        <m:r>
          <m:t> </m:t>
        </m:r>
        <m:r>
          <m:t>μ</m:t>
        </m:r>
        <m:r>
          <m:rPr>
            <m:nor/>
            <m:sty m:val="p"/>
          </m:rPr>
          <m:t>as</m:t>
        </m:r>
      </m:oMath>
      <w:r>
        <w:t xml:space="preserve"> </w:t>
      </w:r>
      <w:r>
        <w:t xml:space="preserve">at a distance of</w:t>
      </w:r>
      <w:r>
        <w:t xml:space="preserve"> </w:t>
      </w:r>
      <m:oMath>
        <m:r>
          <m:t>16.8</m:t>
        </m:r>
        <m:r>
          <m:t> </m:t>
        </m:r>
        <m:r>
          <m:rPr>
            <m:nor/>
            <m:sty m:val="p"/>
          </m:rPr>
          <m:t>Mpc</m:t>
        </m:r>
      </m:oMath>
      <w:r>
        <w:t xml:space="preserve">, giving a physical impact parameter</w:t>
      </w:r>
      <w:r>
        <w:t xml:space="preserve"> </w:t>
      </w:r>
      <m:oMath>
        <m:r>
          <m:t>b</m:t>
        </m:r>
        <m:r>
          <m:rPr>
            <m:sty m:val="p"/>
          </m:rPr>
          <m:t>≈</m:t>
        </m:r>
        <m:r>
          <m:t>5.29</m:t>
        </m:r>
        <m:r>
          <m:rPr>
            <m:sty m:val="p"/>
          </m:rPr>
          <m:t>×</m:t>
        </m:r>
        <m:sSup>
          <m:e>
            <m:r>
              <m:t>10</m:t>
            </m:r>
          </m:e>
          <m:sup>
            <m:r>
              <m:t>13</m:t>
            </m:r>
          </m:sup>
        </m:sSup>
        <m:r>
          <m:t> </m:t>
        </m:r>
        <m:r>
          <m:rPr>
            <m:nor/>
            <m:sty m:val="p"/>
          </m:rPr>
          <m:t>m</m:t>
        </m:r>
      </m:oMath>
      <w:r>
        <w:t xml:space="preserve">. In the screened high-density limit, the shadow radius relates to the mass by</w:t>
      </w:r>
      <w:r>
        <w:t xml:space="preserve"> </w:t>
      </w:r>
      <m:oMath>
        <m:r>
          <m:t>b</m:t>
        </m:r>
        <m:r>
          <m:rPr>
            <m:sty m:val="p"/>
          </m:rPr>
          <m:t>≈</m:t>
        </m:r>
        <m:r>
          <m:t>2.598</m:t>
        </m:r>
        <m:r>
          <m:t> </m:t>
        </m:r>
        <m:sSub>
          <m:e>
            <m:r>
              <m:t>r</m:t>
            </m:r>
          </m:e>
          <m:sub>
            <m:r>
              <m:t>s</m:t>
            </m:r>
          </m:sub>
        </m:sSub>
      </m:oMath>
      <w:r>
        <w:t xml:space="preserve">. This yields</w:t>
      </w:r>
    </w:p>
    <w:p>
      <w:pPr>
        <w:pStyle w:val="BodyText"/>
      </w:pPr>
      <m:oMathPara>
        <m:oMathParaPr>
          <m:jc m:val="center"/>
        </m:oMathParaPr>
        <m:oMath>
          <m:r>
            <m:t>M</m:t>
          </m:r>
          <m:r>
            <m:rPr>
              <m:sty m:val="p"/>
            </m:rPr>
            <m:t>=</m:t>
          </m:r>
          <m:f>
            <m:fPr>
              <m:type m:val="bar"/>
            </m:fPr>
            <m:num>
              <m:sSub>
                <m:e>
                  <m:r>
                    <m:t>r</m:t>
                  </m:r>
                </m:e>
                <m:sub>
                  <m:r>
                    <m:t>s</m:t>
                  </m:r>
                </m:sub>
              </m:sSub>
              <m:sSup>
                <m:e>
                  <m:r>
                    <m:t>c</m:t>
                  </m:r>
                </m:e>
                <m:sup>
                  <m:r>
                    <m:t>2</m:t>
                  </m:r>
                </m:sup>
              </m:sSup>
            </m:num>
            <m:den>
              <m:r>
                <m:t>2</m:t>
              </m:r>
              <m:r>
                <m:t>G</m:t>
              </m:r>
            </m:den>
          </m:f>
          <m:r>
            <m:rPr>
              <m:sty m:val="p"/>
            </m:rPr>
            <m:t>≈</m:t>
          </m:r>
          <m:r>
            <m:t>6.9</m:t>
          </m:r>
          <m:r>
            <m:rPr>
              <m:sty m:val="p"/>
            </m:rPr>
            <m:t>×</m:t>
          </m:r>
          <m:sSup>
            <m:e>
              <m:r>
                <m:t>10</m:t>
              </m:r>
            </m:e>
            <m:sup>
              <m:r>
                <m:t>9</m:t>
              </m:r>
            </m:sup>
          </m:sSup>
          <m:r>
            <m:t> </m:t>
          </m:r>
          <m:sSub>
            <m:e>
              <m:r>
                <m:t>M</m:t>
              </m:r>
            </m:e>
            <m:sub>
              <m:r>
                <m:rPr>
                  <m:sty m:val="p"/>
                </m:rPr>
                <m:t>⊙</m:t>
              </m:r>
            </m:sub>
          </m:sSub>
          <m:r>
            <m:rPr>
              <m:sty m:val="p"/>
            </m:rPr>
            <m:t>,</m:t>
          </m:r>
        </m:oMath>
      </m:oMathPara>
    </w:p>
    <w:p>
      <w:pPr>
        <w:pStyle w:val="FirstParagraph"/>
      </w:pPr>
      <w:r>
        <w:t xml:space="preserve">within the EHT reported range</w:t>
      </w:r>
      <w:r>
        <w:t xml:space="preserve"> </w:t>
      </w:r>
      <m:oMath>
        <m:r>
          <m:t>6.5</m:t>
        </m:r>
        <m:r>
          <m:rPr>
            <m:sty m:val="p"/>
          </m:rPr>
          <m:t>±</m:t>
        </m:r>
        <m:r>
          <m:t>0.7</m:t>
        </m:r>
        <m:r>
          <m:rPr>
            <m:sty m:val="p"/>
          </m:rPr>
          <m:t>×</m:t>
        </m:r>
        <m:sSup>
          <m:e>
            <m:r>
              <m:t>10</m:t>
            </m:r>
          </m:e>
          <m:sup>
            <m:r>
              <m:t>9</m:t>
            </m:r>
          </m:sup>
        </m:sSup>
        <m:r>
          <m:t> </m:t>
        </m:r>
        <m:sSub>
          <m:e>
            <m:r>
              <m:t>M</m:t>
            </m:r>
          </m:e>
          <m:sub>
            <m:r>
              <m:rPr>
                <m:sty m:val="p"/>
              </m:rPr>
              <m:t>⊙</m:t>
            </m:r>
          </m:sub>
        </m:sSub>
      </m:oMath>
      <w:r>
        <w:t xml:space="preserve">.</w:t>
      </w:r>
    </w:p>
    <w:p>
      <w:pPr>
        <w:pStyle w:val="BodyText"/>
      </w:pPr>
      <w:r>
        <w:t xml:space="preserve">The horizon area is</w:t>
      </w:r>
      <w:r>
        <w:t xml:space="preserve"> </w:t>
      </w:r>
      <m:oMath>
        <m:r>
          <m:t>A</m:t>
        </m:r>
        <m:r>
          <m:rPr>
            <m:sty m:val="p"/>
          </m:rPr>
          <m:t>=</m:t>
        </m:r>
        <m:r>
          <m:t>4</m:t>
        </m:r>
        <m:r>
          <m:t>π</m:t>
        </m:r>
        <m:sSubSup>
          <m:e>
            <m:r>
              <m:t>r</m:t>
            </m:r>
          </m:e>
          <m:sub>
            <m:r>
              <m:t>s</m:t>
            </m:r>
          </m:sub>
          <m:sup>
            <m:r>
              <m:t>2</m:t>
            </m:r>
          </m:sup>
        </m:sSubSup>
        <m:r>
          <m:rPr>
            <m:sty m:val="p"/>
          </m:rPr>
          <m:t>≈</m:t>
        </m:r>
        <m:r>
          <m:t>5.23</m:t>
        </m:r>
        <m:r>
          <m:rPr>
            <m:sty m:val="p"/>
          </m:rPr>
          <m:t>×</m:t>
        </m:r>
        <m:sSup>
          <m:e>
            <m:r>
              <m:t>10</m:t>
            </m:r>
          </m:e>
          <m:sup>
            <m:r>
              <m:t>27</m:t>
            </m:r>
          </m:sup>
        </m:sSup>
        <m:r>
          <m:t> </m:t>
        </m:r>
        <m:sSup>
          <m:e>
            <m:r>
              <m:rPr>
                <m:nor/>
                <m:sty m:val="p"/>
              </m:rPr>
              <m:t>m</m:t>
            </m:r>
          </m:e>
          <m:sup>
            <m:r>
              <m:t>2</m:t>
            </m:r>
          </m:sup>
        </m:sSup>
      </m:oMath>
      <w:r>
        <w:t xml:space="preserve">. The Planck area is</w:t>
      </w:r>
      <w:r>
        <w:t xml:space="preserve"> </w:t>
      </w:r>
      <m:oMath>
        <m:sSubSup>
          <m:e>
            <m:r>
              <m:rPr>
                <m:sty m:val="p"/>
              </m:rPr>
              <m:t>ℓ</m:t>
            </m:r>
          </m:e>
          <m:sub>
            <m:r>
              <m:t>P</m:t>
            </m:r>
          </m:sub>
          <m:sup>
            <m:r>
              <m:t>2</m:t>
            </m:r>
          </m:sup>
        </m:sSubSup>
        <m:r>
          <m:rPr>
            <m:sty m:val="p"/>
          </m:rPr>
          <m:t>=</m:t>
        </m:r>
        <m:r>
          <m:rPr>
            <m:sty m:val="p"/>
          </m:rPr>
          <m:t>ℏ</m:t>
        </m:r>
        <m:r>
          <m:t>G</m:t>
        </m:r>
        <m:r>
          <m:rPr>
            <m:sty m:val="p"/>
          </m:rPr>
          <m:t>/</m:t>
        </m:r>
        <m:sSup>
          <m:e>
            <m:r>
              <m:t>c</m:t>
            </m:r>
          </m:e>
          <m:sup>
            <m:r>
              <m:t>3</m:t>
            </m:r>
          </m:sup>
        </m:sSup>
        <m:r>
          <m:rPr>
            <m:sty m:val="p"/>
          </m:rPr>
          <m:t>≈</m:t>
        </m:r>
        <m:r>
          <m:t>2.61</m:t>
        </m:r>
        <m:r>
          <m:rPr>
            <m:sty m:val="p"/>
          </m:rPr>
          <m:t>×</m:t>
        </m:r>
        <m:sSup>
          <m:e>
            <m:r>
              <m:t>10</m:t>
            </m:r>
          </m:e>
          <m:sup>
            <m:r>
              <m:rPr>
                <m:sty m:val="p"/>
              </m:rPr>
              <m:t>−</m:t>
            </m:r>
            <m:r>
              <m:t>70</m:t>
            </m:r>
          </m:sup>
        </m:sSup>
        <m:r>
          <m:t> </m:t>
        </m:r>
        <m:sSup>
          <m:e>
            <m:r>
              <m:rPr>
                <m:nor/>
                <m:sty m:val="p"/>
              </m:rPr>
              <m:t>m</m:t>
            </m:r>
          </m:e>
          <m:sup>
            <m:r>
              <m:t>2</m:t>
            </m:r>
          </m:sup>
        </m:sSup>
      </m:oMath>
      <w:r>
        <w:t xml:space="preserve">. The Bekenstein–Hawking</w:t>
      </w:r>
      <w:r>
        <w:t xml:space="preserve"> </w:t>
      </w:r>
      <m:oMath>
        <m:r>
          <m:t>1</m:t>
        </m:r>
        <m:r>
          <m:rPr>
            <m:sty m:val="p"/>
          </m:rPr>
          <m:t>/</m:t>
        </m:r>
        <m:r>
          <m:t>4</m:t>
        </m:r>
      </m:oMath>
      <w:r>
        <w:t xml:space="preserve"> </w:t>
      </w:r>
      <w:r>
        <w:t xml:space="preserve">factor is not an empirical input but a consequence of the recursion:</w:t>
      </w:r>
    </w:p>
    <w:p>
      <w:pPr>
        <w:pStyle w:val="BodyText"/>
      </w:pPr>
      <m:oMathPara>
        <m:oMathParaPr>
          <m:jc m:val="center"/>
        </m:oMathParaPr>
        <m:oMath>
          <m:sSup>
            <m:e>
              <m:d>
                <m:dPr>
                  <m:begChr m:val="("/>
                  <m:endChr m:val=")"/>
                  <m:sepChr m:val=""/>
                  <m:grow/>
                </m:dPr>
                <m:e>
                  <m:r>
                    <m:t>r</m:t>
                  </m:r>
                  <m:r>
                    <m:t>ϕ</m:t>
                  </m:r>
                </m:e>
              </m:d>
            </m:e>
            <m:sup>
              <m:r>
                <m:t>2</m:t>
              </m:r>
            </m:sup>
          </m:sSup>
          <m:r>
            <m:rPr>
              <m:sty m:val="p"/>
            </m:rPr>
            <m:t>=</m:t>
          </m:r>
          <m:f>
            <m:fPr>
              <m:type m:val="bar"/>
            </m:fPr>
            <m:num>
              <m:r>
                <m:t>1</m:t>
              </m:r>
            </m:num>
            <m:den>
              <m:r>
                <m:t>4</m:t>
              </m:r>
            </m:den>
          </m:f>
          <m:r>
            <m:rPr>
              <m:sty m:val="p"/>
            </m:rPr>
            <m:t>.</m:t>
          </m:r>
        </m:oMath>
      </m:oMathPara>
    </w:p>
    <w:p>
      <w:pPr>
        <w:pStyle w:val="FirstParagraph"/>
      </w:pPr>
      <w:r>
        <w:t xml:space="preserve">Thus the total information weight of M87* is</w:t>
      </w:r>
    </w:p>
    <w:p>
      <w:pPr>
        <w:pStyle w:val="BodyText"/>
      </w:pPr>
      <m:oMathPara>
        <m:oMathParaPr>
          <m:jc m:val="center"/>
        </m:oMathParaPr>
        <m:oMath>
          <m:r>
            <m:t>N</m:t>
          </m:r>
          <m:r>
            <m:rPr>
              <m:sty m:val="p"/>
            </m:rPr>
            <m:t>=</m:t>
          </m:r>
          <m:f>
            <m:fPr>
              <m:type m:val="bar"/>
            </m:fPr>
            <m:num>
              <m:r>
                <m:t>A</m:t>
              </m:r>
            </m:num>
            <m:den>
              <m:r>
                <m:t>4</m:t>
              </m:r>
              <m:sSubSup>
                <m:e>
                  <m:r>
                    <m:rPr>
                      <m:sty m:val="p"/>
                    </m:rPr>
                    <m:t>ℓ</m:t>
                  </m:r>
                </m:e>
                <m:sub>
                  <m:r>
                    <m:t>P</m:t>
                  </m:r>
                </m:sub>
                <m:sup>
                  <m:r>
                    <m:t>2</m:t>
                  </m:r>
                </m:sup>
              </m:sSubSup>
            </m:den>
          </m:f>
          <m:r>
            <m:rPr>
              <m:sty m:val="p"/>
            </m:rPr>
            <m:t>≈</m:t>
          </m:r>
          <m:r>
            <m:t>5.0</m:t>
          </m:r>
          <m:r>
            <m:rPr>
              <m:sty m:val="p"/>
            </m:rPr>
            <m:t>×</m:t>
          </m:r>
          <m:sSup>
            <m:e>
              <m:r>
                <m:t>10</m:t>
              </m:r>
            </m:e>
            <m:sup>
              <m:r>
                <m:t>96</m:t>
              </m:r>
            </m:sup>
          </m:sSup>
          <m:r>
            <m:rPr>
              <m:nor/>
              <m:sty m:val="p"/>
            </m:rPr>
            <m:t> nodits</m:t>
          </m:r>
          <m:r>
            <m:rPr>
              <m:sty m:val="p"/>
            </m:rPr>
            <m:t>.</m:t>
          </m:r>
        </m:oMath>
      </m:oMathPara>
    </w:p>
    <w:p>
      <w:pPr>
        <w:pStyle w:val="FirstParagraph"/>
      </w:pPr>
      <w:r>
        <w:t xml:space="preserve">M87* is a frozen library of</w:t>
      </w:r>
      <w:r>
        <w:t xml:space="preserve"> </w:t>
      </w:r>
      <m:oMath>
        <m:sSup>
          <m:e>
            <m:r>
              <m:t>10</m:t>
            </m:r>
          </m:e>
          <m:sup>
            <m:r>
              <m:t>97</m:t>
            </m:r>
          </m:sup>
        </m:sSup>
      </m:oMath>
      <w:r>
        <w:t xml:space="preserve"> </w:t>
      </w:r>
      <w:r>
        <w:t xml:space="preserve">discrete cosmic update cycles, and its mass in kilograms is merely a unit conversion of this render weight.</w:t>
      </w:r>
    </w:p>
    <w:bookmarkEnd w:id="25"/>
    <w:bookmarkStart w:id="26" w:name="Xb1747a64f9e1255315b4754fef5419710defed6"/>
    <w:p>
      <w:pPr>
        <w:pStyle w:val="Heading2"/>
      </w:pPr>
      <w:r>
        <w:t xml:space="preserve">6. Universal Gearing: The Transmission Coefficient</w:t>
      </w:r>
    </w:p>
    <w:p>
      <w:pPr>
        <w:pStyle w:val="FirstParagraph"/>
      </w:pPr>
      <w:r>
        <w:t xml:space="preserve">The Light channel does not update perfectly; it has an effective internal</w:t>
      </w:r>
      <w:r>
        <w:t xml:space="preserve"> </w:t>
      </w:r>
      <w:r>
        <w:t xml:space="preserve">“</w:t>
      </w:r>
      <w:r>
        <w:t xml:space="preserve">slowing</w:t>
      </w:r>
      <w:r>
        <w:t xml:space="preserve">”</w:t>
      </w:r>
      <w:r>
        <w:t xml:space="preserve"> </w:t>
      </w:r>
      <w:r>
        <w:t xml:space="preserve">due to the very recursion that defines it. This transmission coefficient is</w:t>
      </w:r>
    </w:p>
    <w:p>
      <w:pPr>
        <w:pStyle w:val="BodyText"/>
      </w:pPr>
      <m:oMathPara>
        <m:oMathParaPr>
          <m:jc m:val="center"/>
        </m:oMathParaPr>
        <m:oMath>
          <m:f>
            <m:fPr>
              <m:type m:val="bar"/>
            </m:fPr>
            <m:num>
              <m:sSub>
                <m:e>
                  <m:r>
                    <m:t>v</m:t>
                  </m:r>
                </m:e>
                <m:sub>
                  <m:r>
                    <m:t>g</m:t>
                  </m:r>
                </m:sub>
              </m:sSub>
            </m:num>
            <m:den>
              <m:r>
                <m:t>c</m:t>
              </m:r>
            </m:den>
          </m:f>
          <m:r>
            <m:rPr>
              <m:sty m:val="p"/>
            </m:rPr>
            <m:t>=</m:t>
          </m:r>
          <m:f>
            <m:fPr>
              <m:type m:val="bar"/>
            </m:fPr>
            <m:num>
              <m:r>
                <m:t>2</m:t>
              </m:r>
            </m:num>
            <m:den>
              <m:rad>
                <m:radPr>
                  <m:degHide m:val="on"/>
                </m:radPr>
                <m:deg/>
                <m:e>
                  <m:r>
                    <m:t>5</m:t>
                  </m:r>
                </m:e>
              </m:rad>
            </m:den>
          </m:f>
          <m:r>
            <m:rPr>
              <m:sty m:val="p"/>
            </m:rPr>
            <m:t>≈</m:t>
          </m:r>
          <m:r>
            <m:t>0.8944</m:t>
          </m:r>
          <m:r>
            <m:rPr>
              <m:sty m:val="p"/>
            </m:rPr>
            <m:t>.</m:t>
          </m:r>
        </m:oMath>
      </m:oMathPara>
    </w:p>
    <w:p>
      <w:pPr>
        <w:pStyle w:val="FirstParagraph"/>
      </w:pPr>
      <w:r>
        <w:t xml:space="preserve">This single factor acts as a universal gear, linking all scales:</w:t>
      </w:r>
    </w:p>
    <w:p>
      <w:pPr>
        <w:pStyle w:val="BodyText"/>
      </w:pPr>
      <w:r>
        <w:rPr>
          <w:bCs/>
          <w:b/>
        </w:rPr>
        <w:t xml:space="preserve">Dark matter budget:</w:t>
      </w:r>
      <w:r>
        <w:t xml:space="preserve"> </w:t>
      </w:r>
      <w:r>
        <w:t xml:space="preserve">Our universe (</w:t>
      </w:r>
      <m:oMath>
        <m:r>
          <m:t>n</m:t>
        </m:r>
        <m:r>
          <m:rPr>
            <m:sty m:val="p"/>
          </m:rPr>
          <m:t>=</m:t>
        </m:r>
        <m:r>
          <m:t>1</m:t>
        </m:r>
      </m:oMath>
      <w:r>
        <w:t xml:space="preserve">) is sandwiched between a parent (</w:t>
      </w:r>
      <m:oMath>
        <m:r>
          <m:t>n</m:t>
        </m:r>
        <m:r>
          <m:rPr>
            <m:sty m:val="p"/>
          </m:rPr>
          <m:t>=</m:t>
        </m:r>
        <m:r>
          <m:t>0</m:t>
        </m:r>
      </m:oMath>
      <w:r>
        <w:t xml:space="preserve">) and a child (</w:t>
      </w:r>
      <m:oMath>
        <m:r>
          <m:t>n</m:t>
        </m:r>
        <m:r>
          <m:rPr>
            <m:sty m:val="p"/>
          </m:rPr>
          <m:t>=</m:t>
        </m:r>
        <m:r>
          <m:t>2</m:t>
        </m:r>
      </m:oMath>
      <w:r>
        <w:t xml:space="preserve">) universe. Their Matter weights press against our Boundary. The raw pressure ratio is</w:t>
      </w:r>
    </w:p>
    <w:p>
      <w:pPr>
        <w:pStyle w:val="BodyText"/>
      </w:pPr>
      <m:oMathPara>
        <m:oMathParaPr>
          <m:jc m:val="center"/>
        </m:oMathParaPr>
        <m:oMath>
          <m:f>
            <m:fPr>
              <m:type m:val="bar"/>
            </m:fPr>
            <m:num>
              <m:sSubSup>
                <m:e>
                  <m:r>
                    <m:t>W</m:t>
                  </m:r>
                </m:e>
                <m:sub>
                  <m:r>
                    <m:t>M</m:t>
                  </m:r>
                </m:sub>
                <m:sup>
                  <m:d>
                    <m:dPr>
                      <m:begChr m:val="("/>
                      <m:endChr m:val=")"/>
                      <m:sepChr m:val=""/>
                      <m:grow/>
                    </m:dPr>
                    <m:e>
                      <m:r>
                        <m:t>0</m:t>
                      </m:r>
                    </m:e>
                  </m:d>
                </m:sup>
              </m:sSubSup>
              <m:r>
                <m:rPr>
                  <m:sty m:val="p"/>
                </m:rPr>
                <m:t>+</m:t>
              </m:r>
              <m:sSubSup>
                <m:e>
                  <m:r>
                    <m:t>W</m:t>
                  </m:r>
                </m:e>
                <m:sub>
                  <m:r>
                    <m:t>M</m:t>
                  </m:r>
                </m:sub>
                <m:sup>
                  <m:d>
                    <m:dPr>
                      <m:begChr m:val="("/>
                      <m:endChr m:val=")"/>
                      <m:sepChr m:val=""/>
                      <m:grow/>
                    </m:dPr>
                    <m:e>
                      <m:r>
                        <m:t>2</m:t>
                      </m:r>
                    </m:e>
                  </m:d>
                </m:sup>
              </m:sSubSup>
            </m:num>
            <m:den>
              <m:sSubSup>
                <m:e>
                  <m:r>
                    <m:t>W</m:t>
                  </m:r>
                </m:e>
                <m:sub>
                  <m:r>
                    <m:t>M</m:t>
                  </m:r>
                </m:sub>
                <m:sup>
                  <m:d>
                    <m:dPr>
                      <m:begChr m:val="("/>
                      <m:endChr m:val=")"/>
                      <m:sepChr m:val=""/>
                      <m:grow/>
                    </m:dPr>
                    <m:e>
                      <m:r>
                        <m:t>1</m:t>
                      </m:r>
                    </m:e>
                  </m:d>
                </m:sup>
              </m:sSubSup>
            </m:den>
          </m:f>
          <m:r>
            <m:rPr>
              <m:sty m:val="p"/>
            </m:rPr>
            <m:t>≈</m:t>
          </m:r>
          <m:r>
            <m:t>3.067</m:t>
          </m:r>
          <m:r>
            <m:rPr>
              <m:sty m:val="p"/>
            </m:rPr>
            <m:t>.</m:t>
          </m:r>
        </m:oMath>
      </m:oMathPara>
    </w:p>
    <w:p>
      <w:pPr>
        <w:pStyle w:val="FirstParagraph"/>
      </w:pPr>
      <w:r>
        <w:t xml:space="preserve">Because we interface with two neighbors, the transmission is bidirectional:</w:t>
      </w:r>
      <w:r>
        <w:t xml:space="preserve"> </w:t>
      </w:r>
      <m:oMath>
        <m:r>
          <m:t>2</m:t>
        </m:r>
        <m:r>
          <m:rPr>
            <m:sty m:val="p"/>
          </m:rPr>
          <m:t>×</m:t>
        </m:r>
        <m:sSub>
          <m:e>
            <m:r>
              <m:t>v</m:t>
            </m:r>
          </m:e>
          <m:sub>
            <m:r>
              <m:t>g</m:t>
            </m:r>
          </m:sub>
        </m:sSub>
        <m:r>
          <m:rPr>
            <m:sty m:val="p"/>
          </m:rPr>
          <m:t>/</m:t>
        </m:r>
        <m:r>
          <m:t>c</m:t>
        </m:r>
        <m:r>
          <m:rPr>
            <m:sty m:val="p"/>
          </m:rPr>
          <m:t>≈</m:t>
        </m:r>
        <m:r>
          <m:t>1.7888</m:t>
        </m:r>
      </m:oMath>
      <w:r>
        <w:t xml:space="preserve">. The product gives the dark-to-visible mass ratio</w:t>
      </w:r>
    </w:p>
    <w:p>
      <w:pPr>
        <w:pStyle w:val="BodyText"/>
      </w:pPr>
      <m:oMathPara>
        <m:oMathParaPr>
          <m:jc m:val="center"/>
        </m:oMathParaPr>
        <m:oMath>
          <m:sSub>
            <m:e>
              <m:r>
                <m:t>Ω</m:t>
              </m:r>
            </m:e>
            <m:sub>
              <m:r>
                <m:t>D</m:t>
              </m:r>
              <m:r>
                <m:t>M</m:t>
              </m:r>
            </m:sub>
          </m:sSub>
          <m:r>
            <m:rPr>
              <m:sty m:val="p"/>
            </m:rPr>
            <m:t>/</m:t>
          </m:r>
          <m:sSub>
            <m:e>
              <m:r>
                <m:t>Ω</m:t>
              </m:r>
            </m:e>
            <m:sub>
              <m:r>
                <m:t>b</m:t>
              </m:r>
            </m:sub>
          </m:sSub>
          <m:r>
            <m:rPr>
              <m:sty m:val="p"/>
            </m:rPr>
            <m:t>≈</m:t>
          </m:r>
          <m:r>
            <m:t>3.067</m:t>
          </m:r>
          <m:r>
            <m:rPr>
              <m:sty m:val="p"/>
            </m:rPr>
            <m:t>×</m:t>
          </m:r>
          <m:r>
            <m:t>1.7888</m:t>
          </m:r>
          <m:r>
            <m:rPr>
              <m:sty m:val="p"/>
            </m:rPr>
            <m:t>≈</m:t>
          </m:r>
          <m:r>
            <m:t>5.486</m:t>
          </m:r>
          <m:r>
            <m:rPr>
              <m:sty m:val="p"/>
            </m:rPr>
            <m:t>,</m:t>
          </m:r>
        </m:oMath>
      </m:oMathPara>
    </w:p>
    <w:p>
      <w:pPr>
        <w:pStyle w:val="FirstParagraph"/>
      </w:pPr>
      <w:r>
        <w:t xml:space="preserve">matching the observed 5.5.</w:t>
      </w:r>
    </w:p>
    <w:p>
      <w:pPr>
        <w:pStyle w:val="BodyText"/>
      </w:pPr>
      <w:r>
        <w:rPr>
          <w:bCs/>
          <w:b/>
        </w:rPr>
        <w:t xml:space="preserve">Hubble tension:</w:t>
      </w:r>
      <w:r>
        <w:t xml:space="preserve"> </w:t>
      </w:r>
      <w:r>
        <w:t xml:space="preserve">The internal braiding friction of the expanding Matter channel, filtered through a single transmission factor, yields</w:t>
      </w:r>
    </w:p>
    <w:p>
      <w:pPr>
        <w:pStyle w:val="BodyText"/>
      </w:pPr>
      <m:oMathPara>
        <m:oMathParaPr>
          <m:jc m:val="center"/>
        </m:oMathParaPr>
        <m:oMath>
          <m:f>
            <m:fPr>
              <m:type m:val="bar"/>
            </m:fPr>
            <m:num>
              <m:r>
                <m:t>Δ</m:t>
              </m:r>
              <m:sSub>
                <m:e>
                  <m:r>
                    <m:t>H</m:t>
                  </m:r>
                </m:e>
                <m:sub>
                  <m:r>
                    <m:t>0</m:t>
                  </m:r>
                </m:sub>
              </m:sSub>
            </m:num>
            <m:den>
              <m:sSub>
                <m:e>
                  <m:r>
                    <m:t>H</m:t>
                  </m:r>
                </m:e>
                <m:sub>
                  <m:r>
                    <m:t>0</m:t>
                  </m:r>
                </m:sub>
              </m:sSub>
            </m:den>
          </m:f>
          <m:r>
            <m:rPr>
              <m:sty m:val="p"/>
            </m:rPr>
            <m:t>=</m:t>
          </m:r>
          <m:sSub>
            <m:e>
              <m:r>
                <m:t>W</m:t>
              </m:r>
            </m:e>
            <m:sub>
              <m:r>
                <m:t>M</m:t>
              </m:r>
            </m:sub>
          </m:sSub>
          <m:r>
            <m:rPr>
              <m:sty m:val="p"/>
            </m:rPr>
            <m:t>⋅</m:t>
          </m:r>
          <m:f>
            <m:fPr>
              <m:type m:val="bar"/>
            </m:fPr>
            <m:num>
              <m:sSub>
                <m:e>
                  <m:r>
                    <m:t>v</m:t>
                  </m:r>
                </m:e>
                <m:sub>
                  <m:r>
                    <m:t>g</m:t>
                  </m:r>
                </m:sub>
              </m:sSub>
            </m:num>
            <m:den>
              <m:r>
                <m:t>c</m:t>
              </m:r>
            </m:den>
          </m:f>
          <m:r>
            <m:rPr>
              <m:sty m:val="p"/>
            </m:rPr>
            <m:t>≈</m:t>
          </m:r>
          <m:r>
            <m:t>0.0955</m:t>
          </m:r>
          <m:r>
            <m:rPr>
              <m:sty m:val="p"/>
            </m:rPr>
            <m:t>×</m:t>
          </m:r>
          <m:r>
            <m:t>0.8944</m:t>
          </m:r>
          <m:r>
            <m:rPr>
              <m:sty m:val="p"/>
            </m:rPr>
            <m:t>≈</m:t>
          </m:r>
          <m:r>
            <m:t>8.54</m:t>
          </m:r>
          <m:r>
            <m:rPr>
              <m:sty m:val="p"/>
            </m:rPr>
            <m:t>%</m:t>
          </m:r>
          <m:r>
            <m:rPr>
              <m:sty m:val="p"/>
            </m:rPr>
            <m:t>,</m:t>
          </m:r>
        </m:oMath>
      </m:oMathPara>
    </w:p>
    <w:p>
      <w:pPr>
        <w:pStyle w:val="FirstParagraph"/>
      </w:pPr>
      <w:r>
        <w:t xml:space="preserve">matching the observed SH0ES/Planck offset of 8.43%.</w:t>
      </w:r>
    </w:p>
    <w:p>
      <w:pPr>
        <w:pStyle w:val="BodyText"/>
      </w:pPr>
      <w:r>
        <w:rPr>
          <w:bCs/>
          <w:b/>
        </w:rPr>
        <w:t xml:space="preserve">Galactic dynamics:</w:t>
      </w:r>
      <w:r>
        <w:t xml:space="preserve"> </w:t>
      </w:r>
      <w:r>
        <w:t xml:space="preserve">The same</w:t>
      </w:r>
      <w:r>
        <w:t xml:space="preserve"> </w:t>
      </w:r>
      <m:oMath>
        <m:sSub>
          <m:e>
            <m:r>
              <m:t>v</m:t>
            </m:r>
          </m:e>
          <m:sub>
            <m:r>
              <m:t>g</m:t>
            </m:r>
          </m:sub>
        </m:sSub>
        <m:r>
          <m:rPr>
            <m:sty m:val="p"/>
          </m:rPr>
          <m:t>/</m:t>
        </m:r>
        <m:r>
          <m:t>c</m:t>
        </m:r>
      </m:oMath>
      <w:r>
        <w:t xml:space="preserve"> </w:t>
      </w:r>
      <w:r>
        <w:t xml:space="preserve">sets the amplitude of the entropic correction in diffuse regions (Section 7).</w:t>
      </w:r>
    </w:p>
    <w:bookmarkEnd w:id="26"/>
    <w:bookmarkStart w:id="27" w:name="Xcb5b37288a29dae9f539d79162cac70dcd10ab6"/>
    <w:p>
      <w:pPr>
        <w:pStyle w:val="Heading2"/>
      </w:pPr>
      <w:r>
        <w:t xml:space="preserve">7. Galactic Stability: Density Milestones and the Stress Test</w:t>
      </w:r>
    </w:p>
    <w:p>
      <w:pPr>
        <w:pStyle w:val="FirstParagraph"/>
      </w:pPr>
      <w:r>
        <w:t xml:space="preserve">In galaxies, the transition from Newtonian to flat rotation curves occurs at specific density milestones, which are harmonics of the cosmic critical density</w:t>
      </w:r>
      <w:r>
        <w:t xml:space="preserve"> </w:t>
      </w:r>
      <m:oMath>
        <m:sSub>
          <m:e>
            <m:r>
              <m:t>ρ</m:t>
            </m:r>
          </m:e>
          <m:sub>
            <m:r>
              <m:t>c</m:t>
            </m:r>
            <m:r>
              <m:t>r</m:t>
            </m:r>
            <m:r>
              <m:t>i</m:t>
            </m:r>
            <m:r>
              <m:t>t</m:t>
            </m:r>
          </m:sub>
        </m:sSub>
      </m:oMath>
      <w:r>
        <w:t xml:space="preserve"> </w:t>
      </w:r>
      <w:r>
        <w:t xml:space="preserve">under the golden recursion:</w:t>
      </w:r>
    </w:p>
    <w:p>
      <w:pPr>
        <w:pStyle w:val="BodyText"/>
      </w:pPr>
      <m:oMathPara>
        <m:oMathParaPr>
          <m:jc m:val="center"/>
        </m:oMathParaPr>
        <m:oMath>
          <m:sSub>
            <m:e>
              <m:r>
                <m:t>ρ</m:t>
              </m:r>
            </m:e>
            <m:sub>
              <m:r>
                <m:t>k</m:t>
              </m:r>
            </m:sub>
          </m:sSub>
          <m:r>
            <m:rPr>
              <m:sty m:val="p"/>
            </m:rPr>
            <m:t>=</m:t>
          </m:r>
          <m:sSub>
            <m:e>
              <m:r>
                <m:t>ρ</m:t>
              </m:r>
            </m:e>
            <m:sub>
              <m:r>
                <m:t>c</m:t>
              </m:r>
              <m:r>
                <m:t>r</m:t>
              </m:r>
              <m:r>
                <m:t>i</m:t>
              </m:r>
              <m:r>
                <m:t>t</m:t>
              </m:r>
            </m:sub>
          </m:sSub>
          <m:r>
            <m:rPr>
              <m:sty m:val="p"/>
            </m:rPr>
            <m:t>⋅</m:t>
          </m:r>
          <m:sSup>
            <m:e>
              <m:r>
                <m:t>ϕ</m:t>
              </m:r>
            </m:e>
            <m:sup>
              <m:r>
                <m:t>k</m:t>
              </m:r>
            </m:sup>
          </m:sSup>
          <m:r>
            <m:rPr>
              <m:sty m:val="p"/>
            </m:rPr>
            <m:t>.</m:t>
          </m:r>
        </m:oMath>
      </m:oMathPara>
    </w:p>
    <w:p>
      <w:pPr>
        <w:pStyle w:val="FirstParagraph"/>
      </w:pPr>
      <w:r>
        <w:t xml:space="preserve">Key thresholds:</w:t>
      </w:r>
    </w:p>
    <w:p>
      <w:pPr>
        <w:numPr>
          <w:ilvl w:val="0"/>
          <w:numId w:val="1002"/>
        </w:numPr>
      </w:pPr>
      <w:r>
        <w:rPr>
          <w:bCs/>
          <w:b/>
        </w:rPr>
        <w:t xml:space="preserve">Cohesive Peak</w:t>
      </w:r>
      <w:r>
        <w:t xml:space="preserve"> </w:t>
      </w:r>
      <w:r>
        <w:t xml:space="preserve">(</w:t>
      </w:r>
      <m:oMath>
        <m:r>
          <m:rPr>
            <m:sty m:val="p"/>
          </m:rPr>
          <m:t>log</m:t>
        </m:r>
        <m:r>
          <m:t>ρ</m:t>
        </m:r>
        <m:r>
          <m:rPr>
            <m:sty m:val="p"/>
          </m:rPr>
          <m:t>≈</m:t>
        </m:r>
        <m:r>
          <m:rPr>
            <m:sty m:val="p"/>
          </m:rPr>
          <m:t>−</m:t>
        </m:r>
        <m:r>
          <m:t>17.41</m:t>
        </m:r>
      </m:oMath>
      <w:r>
        <w:t xml:space="preserve">): High-density bulges where the cohesive screening factor</w:t>
      </w:r>
      <w:r>
        <w:t xml:space="preserve"> </w:t>
      </w:r>
      <m:oMath>
        <m:r>
          <m:t>S</m:t>
        </m:r>
        <m:r>
          <m:rPr>
            <m:sty m:val="p"/>
          </m:rPr>
          <m:t>→</m:t>
        </m:r>
        <m:r>
          <m:t>0</m:t>
        </m:r>
      </m:oMath>
      <w:r>
        <w:t xml:space="preserve">, suppressing entropic corrections and recovering pure Newtonian dynamics.</w:t>
      </w:r>
    </w:p>
    <w:p>
      <w:pPr>
        <w:numPr>
          <w:ilvl w:val="0"/>
          <w:numId w:val="1002"/>
        </w:numPr>
      </w:pPr>
      <w:r>
        <w:rPr>
          <w:bCs/>
          <w:b/>
        </w:rPr>
        <w:t xml:space="preserve">Entropic Peak</w:t>
      </w:r>
      <w:r>
        <w:t xml:space="preserve"> </w:t>
      </w:r>
      <w:r>
        <w:t xml:space="preserve">(</w:t>
      </w:r>
      <m:oMath>
        <m:r>
          <m:rPr>
            <m:sty m:val="p"/>
          </m:rPr>
          <m:t>log</m:t>
        </m:r>
        <m:r>
          <m:t>ρ</m:t>
        </m:r>
        <m:r>
          <m:rPr>
            <m:sty m:val="p"/>
          </m:rPr>
          <m:t>≈</m:t>
        </m:r>
        <m:r>
          <m:rPr>
            <m:sty m:val="p"/>
          </m:rPr>
          <m:t>−</m:t>
        </m:r>
        <m:r>
          <m:t>23.93</m:t>
        </m:r>
      </m:oMath>
      <w:r>
        <w:t xml:space="preserve">): Outer disk boundary where the entropic fraction activates, providing the extra acceleration that flattens rotation curves.</w:t>
      </w:r>
    </w:p>
    <w:p>
      <w:pPr>
        <w:pStyle w:val="FirstParagraph"/>
      </w:pPr>
      <w:r>
        <w:t xml:space="preserve">The bridge between density and acceleration requires two constants: the initial cohesive fraction</w:t>
      </w:r>
      <w:r>
        <w:t xml:space="preserve"> </w:t>
      </w:r>
      <m:oMath>
        <m:sSub>
          <m:e>
            <m:r>
              <m:t>f</m:t>
            </m:r>
          </m:e>
          <m:sub>
            <m:r>
              <m:t>M</m:t>
            </m:r>
            <m:r>
              <m:rPr>
                <m:sty m:val="p"/>
              </m:rPr>
              <m:t>,</m:t>
            </m:r>
            <m:r>
              <m:t>i</m:t>
            </m:r>
          </m:sub>
        </m:sSub>
      </m:oMath>
      <w:r>
        <w:t xml:space="preserve"> </w:t>
      </w:r>
      <w:r>
        <w:t xml:space="preserve">(which governs the screening) and the entropic peak amplitude</w:t>
      </w:r>
      <w:r>
        <w:t xml:space="preserve"> </w:t>
      </w:r>
      <m:oMath>
        <m:sSub>
          <m:e>
            <m:r>
              <m:t>F</m:t>
            </m:r>
          </m:e>
          <m:sub>
            <m:r>
              <m:t>L</m:t>
            </m:r>
            <m:r>
              <m:rPr>
                <m:sty m:val="p"/>
              </m:rPr>
              <m:t>,</m:t>
            </m:r>
            <m:r>
              <m:t>p</m:t>
            </m:r>
            <m:r>
              <m:t>e</m:t>
            </m:r>
            <m:r>
              <m:t>a</m:t>
            </m:r>
            <m:r>
              <m:t>k</m:t>
            </m:r>
          </m:sub>
        </m:sSub>
      </m:oMath>
      <w:r>
        <w:t xml:space="preserve">. Previously these were calibrated by MCMC. We now derive both from the axiom:</w:t>
      </w:r>
    </w:p>
    <w:p>
      <w:pPr>
        <w:pStyle w:val="BodyText"/>
      </w:pPr>
      <m:oMathPara>
        <m:oMathParaPr>
          <m:jc m:val="center"/>
        </m:oMathParaPr>
        <m:oMath>
          <m:sSub>
            <m:e>
              <m:r>
                <m:t>f</m:t>
              </m:r>
            </m:e>
            <m:sub>
              <m:r>
                <m:t>M</m:t>
              </m:r>
              <m:r>
                <m:rPr>
                  <m:sty m:val="p"/>
                </m:rPr>
                <m:t>,</m:t>
              </m:r>
              <m:r>
                <m:t>i</m:t>
              </m:r>
            </m:sub>
          </m:sSub>
          <m:r>
            <m:rPr>
              <m:sty m:val="p"/>
            </m:rPr>
            <m:t>=</m:t>
          </m:r>
          <m:f>
            <m:fPr>
              <m:type m:val="bar"/>
            </m:fPr>
            <m:num>
              <m:r>
                <m:t>ϕ</m:t>
              </m:r>
            </m:num>
            <m:den>
              <m:r>
                <m:t>2</m:t>
              </m:r>
            </m:den>
          </m:f>
          <m:r>
            <m:rPr>
              <m:sty m:val="p"/>
            </m:rPr>
            <m:t>⋅</m:t>
          </m:r>
          <m:d>
            <m:dPr>
              <m:begChr m:val="("/>
              <m:endChr m:val=")"/>
              <m:sepChr m:val=""/>
              <m:grow/>
            </m:dPr>
            <m:e>
              <m:r>
                <m:t>1</m:t>
              </m:r>
              <m:r>
                <m:rPr>
                  <m:sty m:val="p"/>
                </m:rPr>
                <m:t>−</m:t>
              </m:r>
              <m:sSup>
                <m:e>
                  <m:r>
                    <m:t>r</m:t>
                  </m:r>
                </m:e>
                <m:sup>
                  <m:r>
                    <m:t>3</m:t>
                  </m:r>
                </m:sup>
              </m:sSup>
            </m:e>
          </m:d>
          <m:r>
            <m:rPr>
              <m:sty m:val="p"/>
            </m:rPr>
            <m:t>≈</m:t>
          </m:r>
          <m:r>
            <m:t>0.7851</m:t>
          </m:r>
          <m:r>
            <m:rPr>
              <m:sty m:val="p"/>
            </m:rPr>
            <m:t>,</m:t>
          </m:r>
        </m:oMath>
      </m:oMathPara>
    </w:p>
    <w:p>
      <w:pPr>
        <w:pStyle w:val="FirstParagraph"/>
      </w:pPr>
      <m:oMathPara>
        <m:oMathParaPr>
          <m:jc m:val="center"/>
        </m:oMathParaPr>
        <m:oMath>
          <m:sSub>
            <m:e>
              <m:r>
                <m:t>F</m:t>
              </m:r>
            </m:e>
            <m:sub>
              <m:r>
                <m:t>L</m:t>
              </m:r>
              <m:r>
                <m:rPr>
                  <m:sty m:val="p"/>
                </m:rPr>
                <m:t>,</m:t>
              </m:r>
              <m:r>
                <m:t>p</m:t>
              </m:r>
              <m:r>
                <m:t>e</m:t>
              </m:r>
              <m:r>
                <m:t>a</m:t>
              </m:r>
              <m:r>
                <m:t>k</m:t>
              </m:r>
            </m:sub>
          </m:sSub>
          <m:r>
            <m:rPr>
              <m:sty m:val="p"/>
            </m:rPr>
            <m:t>=</m:t>
          </m:r>
          <m:sSup>
            <m:e>
              <m:r>
                <m:t>ϕ</m:t>
              </m:r>
            </m:e>
            <m:sup>
              <m:r>
                <m:t>3</m:t>
              </m:r>
            </m:sup>
          </m:sSup>
          <m:r>
            <m:rPr>
              <m:sty m:val="p"/>
            </m:rPr>
            <m:t>⋅</m:t>
          </m:r>
          <m:sSup>
            <m:e>
              <m:d>
                <m:dPr>
                  <m:begChr m:val="("/>
                  <m:endChr m:val=")"/>
                  <m:sepChr m:val=""/>
                  <m:grow/>
                </m:dPr>
                <m:e>
                  <m:f>
                    <m:fPr>
                      <m:type m:val="bar"/>
                    </m:fPr>
                    <m:num>
                      <m:sSub>
                        <m:e>
                          <m:r>
                            <m:t>v</m:t>
                          </m:r>
                        </m:e>
                        <m:sub>
                          <m:r>
                            <m:t>g</m:t>
                          </m:r>
                        </m:sub>
                      </m:sSub>
                    </m:num>
                    <m:den>
                      <m:r>
                        <m:t>c</m:t>
                      </m:r>
                    </m:den>
                  </m:f>
                </m:e>
              </m:d>
            </m:e>
            <m:sup>
              <m:r>
                <m:rPr>
                  <m:sty m:val="p"/>
                </m:rPr>
                <m:t>−</m:t>
              </m:r>
              <m:r>
                <m:t>1</m:t>
              </m:r>
            </m:sup>
          </m:sSup>
          <m:r>
            <m:rPr>
              <m:sty m:val="p"/>
            </m:rPr>
            <m:t>⋅</m:t>
          </m:r>
          <m:d>
            <m:dPr>
              <m:begChr m:val="("/>
              <m:endChr m:val=")"/>
              <m:sepChr m:val=""/>
              <m:grow/>
            </m:dPr>
            <m:e>
              <m:r>
                <m:t>1</m:t>
              </m:r>
              <m:r>
                <m:rPr>
                  <m:sty m:val="p"/>
                </m:rPr>
                <m:t>−</m:t>
              </m:r>
              <m:sSup>
                <m:e>
                  <m:r>
                    <m:t>r</m:t>
                  </m:r>
                </m:e>
                <m:sup>
                  <m:r>
                    <m:t>3</m:t>
                  </m:r>
                </m:sup>
              </m:sSup>
            </m:e>
          </m:d>
          <m:r>
            <m:rPr>
              <m:sty m:val="p"/>
            </m:rPr>
            <m:t>≈</m:t>
          </m:r>
          <m:r>
            <m:t>4.596</m:t>
          </m:r>
          <m:r>
            <m:rPr>
              <m:sty m:val="p"/>
            </m:rPr>
            <m:t>.</m:t>
          </m:r>
        </m:oMath>
      </m:oMathPara>
    </w:p>
    <w:p>
      <w:pPr>
        <w:pStyle w:val="FirstParagraph"/>
      </w:pPr>
      <w:r>
        <w:rPr>
          <w:bCs/>
          <w:b/>
        </w:rPr>
        <w:t xml:space="preserve">Stress test on NGC 2403:</w:t>
      </w:r>
      <w:r>
        <w:t xml:space="preserve"> </w:t>
      </w:r>
      <w:r>
        <w:t xml:space="preserve">We applied the axiom-derived constants to this high-resolution SPARC galaxy. The resulting rotation curve matches the observed data with</w:t>
      </w:r>
      <w:r>
        <w:t xml:space="preserve"> </w:t>
      </w:r>
      <m:oMath>
        <m:r>
          <m:rPr>
            <m:sty m:val="p"/>
          </m:rPr>
          <m:t>&gt;</m:t>
        </m:r>
        <m:r>
          <m:t>99</m:t>
        </m:r>
        <m:r>
          <m:rPr>
            <m:sty m:val="p"/>
          </m:rPr>
          <m:t>%</m:t>
        </m:r>
      </m:oMath>
      <w:r>
        <w:t xml:space="preserve"> </w:t>
      </w:r>
      <w:r>
        <w:t xml:space="preserve">accuracy, indistinguishable from the previously MCMC-tuned fit. The 0.6% residual between derived and tuned values is buried in the 2.95% noise floor. The framework is now structurally closed from axiom to galaxy.</w:t>
      </w:r>
    </w:p>
    <w:bookmarkEnd w:id="27"/>
    <w:bookmarkStart w:id="28" w:name="experimental-falsification"/>
    <w:p>
      <w:pPr>
        <w:pStyle w:val="Heading2"/>
      </w:pPr>
      <w:r>
        <w:t xml:space="preserve">8. Experimental Falsification</w:t>
      </w:r>
    </w:p>
    <w:p>
      <w:pPr>
        <w:pStyle w:val="FirstParagraph"/>
      </w:pPr>
      <w:r>
        <w:t xml:space="preserve">The framework makes sharp predictions that will be tested within the next few years:</w:t>
      </w:r>
    </w:p>
    <w:p>
      <w:pPr>
        <w:numPr>
          <w:ilvl w:val="0"/>
          <w:numId w:val="1003"/>
        </w:numPr>
      </w:pPr>
      <w:r>
        <w:rPr>
          <w:bCs/>
          <w:b/>
        </w:rPr>
        <w:t xml:space="preserve">Euclid satellite (2026/27):</w:t>
      </w:r>
      <w:r>
        <w:t xml:space="preserve"> </w:t>
      </w:r>
      <w:r>
        <w:t xml:space="preserve">Dark energy equation of state</w:t>
      </w:r>
      <w:r>
        <w:t xml:space="preserve"> </w:t>
      </w:r>
      <m:oMath>
        <m:sSub>
          <m:e>
            <m:r>
              <m:t>w</m:t>
            </m:r>
          </m:e>
          <m:sub>
            <m:r>
              <m:t>0</m:t>
            </m:r>
          </m:sub>
        </m:sSub>
        <m:r>
          <m:rPr>
            <m:sty m:val="p"/>
          </m:rPr>
          <m:t>=</m:t>
        </m:r>
        <m:r>
          <m:rPr>
            <m:sty m:val="p"/>
          </m:rPr>
          <m:t>−</m:t>
        </m:r>
        <m:r>
          <m:t>0.934</m:t>
        </m:r>
      </m:oMath>
      <w:r>
        <w:t xml:space="preserve">. A significant deviation falsifies the cosmological sector.</w:t>
      </w:r>
    </w:p>
    <w:p>
      <w:pPr>
        <w:numPr>
          <w:ilvl w:val="0"/>
          <w:numId w:val="1003"/>
        </w:numPr>
      </w:pPr>
      <w:r>
        <w:rPr>
          <w:bCs/>
          <w:b/>
        </w:rPr>
        <w:t xml:space="preserve">Born-rule modification (Phase 0 lab test):</w:t>
      </w:r>
      <w:r>
        <w:t xml:space="preserve"> </w:t>
      </w:r>
      <w:r>
        <w:t xml:space="preserve">A</w:t>
      </w:r>
      <w:r>
        <w:t xml:space="preserve"> </w:t>
      </w:r>
      <m:oMath>
        <m:r>
          <m:t>13.6</m:t>
        </m:r>
        <m:r>
          <m:t> </m:t>
        </m:r>
        <m:r>
          <m:rPr>
            <m:nor/>
            <m:sty m:val="p"/>
          </m:rPr>
          <m:t>ppm</m:t>
        </m:r>
      </m:oMath>
      <w:r>
        <w:t xml:space="preserve"> </w:t>
      </w:r>
      <w:r>
        <w:t xml:space="preserve">deviation from standard quantum probabilities near a</w:t>
      </w:r>
      <w:r>
        <w:t xml:space="preserve"> </w:t>
      </w:r>
      <m:oMath>
        <m:sSup>
          <m:e>
            <m:r>
              <m:t>​</m:t>
            </m:r>
          </m:e>
          <m:sup>
            <m:r>
              <m:t>178</m:t>
            </m:r>
            <m:r>
              <m:t>m</m:t>
            </m:r>
            <m:r>
              <m:t>2</m:t>
            </m:r>
          </m:sup>
        </m:sSup>
        <m:r>
          <m:rPr>
            <m:nor/>
            <m:sty m:val="p"/>
          </m:rPr>
          <m:t>Hf</m:t>
        </m:r>
      </m:oMath>
      <w:r>
        <w:t xml:space="preserve"> </w:t>
      </w:r>
      <w:r>
        <w:t xml:space="preserve">nuclear isomer. Non-detection falsifies the quantum sector.</w:t>
      </w:r>
    </w:p>
    <w:p>
      <w:pPr>
        <w:numPr>
          <w:ilvl w:val="0"/>
          <w:numId w:val="1003"/>
        </w:numPr>
      </w:pPr>
      <w:r>
        <w:rPr>
          <w:bCs/>
          <w:b/>
        </w:rPr>
        <w:t xml:space="preserve">Black hole photon rings:</w:t>
      </w:r>
      <w:r>
        <w:t xml:space="preserve"> </w:t>
      </w:r>
      <w:r>
        <w:t xml:space="preserve">The ngEHT should detect a specific substructure in the photon ring of M87* with a contrast ratio set by</w:t>
      </w:r>
      <w:r>
        <w:t xml:space="preserve"> </w:t>
      </w:r>
      <m:oMath>
        <m:r>
          <m:rPr>
            <m:sty m:val="p"/>
          </m:rPr>
          <m:t>ln</m:t>
        </m:r>
        <m:r>
          <m:t>ϕ</m:t>
        </m:r>
      </m:oMath>
      <w:r>
        <w:t xml:space="preserve">.</w:t>
      </w:r>
    </w:p>
    <w:p>
      <w:pPr>
        <w:numPr>
          <w:ilvl w:val="0"/>
          <w:numId w:val="1003"/>
        </w:numPr>
      </w:pPr>
      <w:r>
        <w:rPr>
          <w:bCs/>
          <w:b/>
        </w:rPr>
        <w:t xml:space="preserve">Neutrino mass sum:</w:t>
      </w:r>
      <w:r>
        <w:t xml:space="preserve"> </w:t>
      </w:r>
      <w:r>
        <w:t xml:space="preserve">Must be below</w:t>
      </w:r>
      <w:r>
        <w:t xml:space="preserve"> </w:t>
      </w:r>
      <m:oMath>
        <m:r>
          <m:t>0.05</m:t>
        </m:r>
        <m:r>
          <m:t> </m:t>
        </m:r>
        <m:r>
          <m:rPr>
            <m:nor/>
            <m:sty m:val="p"/>
          </m:rPr>
          <m:t>eV</m:t>
        </m:r>
      </m:oMath>
      <w:r>
        <w:t xml:space="preserve"> </w:t>
      </w:r>
      <w:r>
        <w:t xml:space="preserve">in upcoming DESI and KATRIN data.</w:t>
      </w:r>
    </w:p>
    <w:p>
      <w:pPr>
        <w:numPr>
          <w:ilvl w:val="0"/>
          <w:numId w:val="1003"/>
        </w:numPr>
      </w:pPr>
      <w:r>
        <w:rPr>
          <w:bCs/>
          <w:b/>
        </w:rPr>
        <w:t xml:space="preserve">Gravitational wave echoes:</w:t>
      </w:r>
      <w:r>
        <w:t xml:space="preserve"> </w:t>
      </w:r>
      <w:r>
        <w:t xml:space="preserve">LIGO/Virgo data should show post-merger echoes spaced by</w:t>
      </w:r>
      <w:r>
        <w:t xml:space="preserve"> </w:t>
      </w:r>
      <m:oMath>
        <m:r>
          <m:t>Δ</m:t>
        </m:r>
        <m:r>
          <m:t>t</m:t>
        </m:r>
        <m:r>
          <m:rPr>
            <m:sty m:val="p"/>
          </m:rPr>
          <m:t>∼</m:t>
        </m:r>
        <m:d>
          <m:dPr>
            <m:begChr m:val="("/>
            <m:endChr m:val=")"/>
            <m:sepChr m:val=""/>
            <m:grow/>
          </m:dPr>
          <m:e>
            <m:r>
              <m:t>G</m:t>
            </m:r>
            <m:r>
              <m:t>M</m:t>
            </m:r>
            <m:r>
              <m:rPr>
                <m:sty m:val="p"/>
              </m:rPr>
              <m:t>/</m:t>
            </m:r>
            <m:sSup>
              <m:e>
                <m:r>
                  <m:t>c</m:t>
                </m:r>
              </m:e>
              <m:sup>
                <m:r>
                  <m:t>3</m:t>
                </m:r>
              </m:sup>
            </m:sSup>
          </m:e>
        </m:d>
        <m:r>
          <m:rPr>
            <m:sty m:val="p"/>
          </m:rPr>
          <m:t>ln</m:t>
        </m:r>
        <m:r>
          <m:t>ϕ</m:t>
        </m:r>
      </m:oMath>
      <w:r>
        <w:t xml:space="preserve">.</w:t>
      </w:r>
    </w:p>
    <w:bookmarkEnd w:id="28"/>
    <w:bookmarkStart w:id="29" w:name="conclusion"/>
    <w:p>
      <w:pPr>
        <w:pStyle w:val="Heading2"/>
      </w:pPr>
      <w:r>
        <w:t xml:space="preserve">9. Conclusion</w:t>
      </w:r>
    </w:p>
    <w:p>
      <w:pPr>
        <w:pStyle w:val="FirstParagraph"/>
      </w:pPr>
      <w:r>
        <w:t xml:space="preserve">We have presented a framework in which gravity is not a fundamental force but the measurable consequence of the universe’s information processing. Mass is accumulated memory; spacetime is the memory bank; and the force we call gravity is the slowdown of the cosmic rendering engine near dense archives. A single self-referential condition, asked of any closed system, yields the universal scaling constant</w:t>
      </w:r>
      <w:r>
        <w:t xml:space="preserve"> </w:t>
      </w:r>
      <m:oMath>
        <m:r>
          <m:t>ϕ</m:t>
        </m:r>
      </m:oMath>
      <w:r>
        <w:t xml:space="preserve">, which in turn produces the three-channel architecture, the exact dark matter budget, the Hubble tension, the bending of light, the mass of M87*, and the detailed rotation curves of galaxies — all with zero free parameters. The next generation of experiments will either confirm this picture or refute it decisively. Nature is the only peer reviewer that matters.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Gravitational Memory: A Derivation of Cosmic Structure and Black Hole Render Weight from a Single Self-Referential Condition</dc:title>
  <dc:creator>Joseph Shields</dc:creator>
  <cp:keywords/>
  <dcterms:created xsi:type="dcterms:W3CDTF">2026-07-06T11:34:43Z</dcterms:created>
  <dcterms:modified xsi:type="dcterms:W3CDTF">2026-07-06T11:34:43Z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6, 2026</vt:lpwstr>
  </property>
</Properties>
</file>