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054"/>
          <w:sz w:val="36"/>
        </w:rPr>
        <w:t>Documento base para Codex</w:t>
        <w:br/>
      </w:r>
      <w:r>
        <w:rPr>
          <w:b/>
          <w:color w:val="464646"/>
          <w:sz w:val="26"/>
        </w:rPr>
        <w:t>Sección web: Análisis macroeconómico comparativo Texas vs Florida — UMO</w:t>
      </w:r>
    </w:p>
    <w:p>
      <w:r>
        <w:t>Objetivo: darle a Codex una guía clara para construir una sección visual, comparativa y defendible académicamente dentro de la página web del proyecto UMO, usando el Excel de datos como base para generar los gráficos directamente en la página.</w:t>
      </w:r>
    </w:p>
    <w:p>
      <w:pPr>
        <w:pStyle w:val="Heading1"/>
      </w:pPr>
      <w:r>
        <w:t>Corrección de enfoque</w:t>
      </w:r>
    </w:p>
    <w:tbl>
      <w:tblPr>
        <w:tblW w:type="auto" w:w="0"/>
        <w:tblLook w:firstColumn="1" w:firstRow="1" w:lastColumn="0" w:lastRow="0" w:noHBand="0" w:noVBand="1" w:val="04A0"/>
      </w:tblPr>
      <w:tblGrid>
        <w:gridCol w:w="10080"/>
      </w:tblGrid>
      <w:tr>
        <w:tc>
          <w:tcPr>
            <w:tcW w:type="dxa" w:w="10080"/>
            <w:shd w:fill="FFF2CC"/>
          </w:tcPr>
          <w:p>
            <w:r>
              <w:rPr>
                <w:rFonts w:ascii="Arial" w:hAnsi="Arial"/>
                <w:sz w:val="21"/>
              </w:rPr>
              <w:t>No eliminar ningún indicador original. La sección debe trabajar con 6 indicadores: inflación, ingreso per cápita/poder adquisitivo, producción agrícola, industria turfgrass/césped profesional, impuestos/contexto fiscal y tasa de desempleo. El desempleo no reemplaza al ingreso per cápita: debe relacionarse con él para explicar poder adquisitivo real, estabilidad laboral y capacidad de consumo. El Excel será subido a Codex y debe usarse como fuente de datos para construir los gráficos en la página.</w:t>
            </w:r>
          </w:p>
        </w:tc>
      </w:tr>
    </w:tbl>
    <w:p>
      <w:pPr>
        <w:pStyle w:val="Heading1"/>
      </w:pPr>
      <w:r>
        <w:t>Introducción corta sugerida para la sección web</w:t>
      </w:r>
    </w:p>
    <w:p>
      <w:r>
        <w:t>Este análisis compara a Texas y Florida como posibles mercados de expansión para UMO, a partir de seis indicadores macroeconómicos y sectoriales relacionados con estabilidad económica, capacidad de compra, actividad agrícola, mercado de césped profesional y condiciones fiscales. El objetivo no es descartar un estado frente al otro, sino identificar el rol estratégico de cada mercado: Texas como plataforma de escala productiva e industrial, y Florida como mercado fuerte en mantenimiento de áreas verdes, jardinería profesional y consumo residencial especializado.</w:t>
      </w:r>
    </w:p>
    <w:p>
      <w:pPr>
        <w:pStyle w:val="Heading1"/>
      </w:pPr>
      <w:r>
        <w:t>Títulos corregidos de los indicadores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8F0FE"/>
          </w:tcPr>
          <w:p>
            <w:r>
              <w:rPr>
                <w:rFonts w:ascii="Arial" w:hAnsi="Arial"/>
                <w:b/>
                <w:sz w:val="19"/>
              </w:rPr>
              <w:t>Indicador</w:t>
            </w:r>
          </w:p>
        </w:tc>
        <w:tc>
          <w:tcPr>
            <w:tcW w:type="dxa" w:w="3360"/>
            <w:vAlign w:val="top"/>
            <w:shd w:fill="E8F0FE"/>
          </w:tcPr>
          <w:p>
            <w:r>
              <w:rPr>
                <w:rFonts w:ascii="Arial" w:hAnsi="Arial"/>
                <w:b/>
                <w:sz w:val="19"/>
              </w:rPr>
              <w:t>Título final</w:t>
            </w:r>
          </w:p>
        </w:tc>
        <w:tc>
          <w:tcPr>
            <w:tcW w:type="dxa" w:w="3360"/>
            <w:vAlign w:val="top"/>
            <w:shd w:fill="E8F0FE"/>
          </w:tcPr>
          <w:p>
            <w:r>
              <w:rPr>
                <w:rFonts w:ascii="Arial" w:hAnsi="Arial"/>
                <w:b/>
                <w:sz w:val="19"/>
              </w:rPr>
              <w:t>Para qué sirve</w:t>
            </w:r>
          </w:p>
        </w:tc>
      </w:tr>
      <w:tr>
        <w:tc>
          <w:tcPr>
            <w:tcW w:type="dxa" w:w="3360"/>
            <w:vAlign w:val="top"/>
          </w:tcPr>
          <w:p>
            <w:r>
              <w:rPr>
                <w:rFonts w:ascii="Arial" w:hAnsi="Arial"/>
                <w:sz w:val="19"/>
              </w:rPr>
              <w:t>1</w:t>
            </w:r>
          </w:p>
        </w:tc>
        <w:tc>
          <w:tcPr>
            <w:tcW w:type="dxa" w:w="3360"/>
            <w:vAlign w:val="top"/>
          </w:tcPr>
          <w:p>
            <w:r>
              <w:rPr>
                <w:rFonts w:ascii="Arial" w:hAnsi="Arial"/>
                <w:sz w:val="19"/>
              </w:rPr>
              <w:t>Inflación regional y estabilidad de precios</w:t>
            </w:r>
          </w:p>
        </w:tc>
        <w:tc>
          <w:tcPr>
            <w:tcW w:type="dxa" w:w="3360"/>
            <w:vAlign w:val="top"/>
          </w:tcPr>
          <w:p>
            <w:r>
              <w:rPr>
                <w:rFonts w:ascii="Arial" w:hAnsi="Arial"/>
                <w:sz w:val="19"/>
              </w:rPr>
              <w:t>Mide el comportamiento de precios y el riesgo de costos para vender, distribuir y mantener márgenes.</w:t>
            </w:r>
          </w:p>
        </w:tc>
      </w:tr>
      <w:tr>
        <w:tc>
          <w:tcPr>
            <w:tcW w:type="dxa" w:w="3360"/>
            <w:vAlign w:val="top"/>
          </w:tcPr>
          <w:p>
            <w:r>
              <w:rPr>
                <w:rFonts w:ascii="Arial" w:hAnsi="Arial"/>
                <w:sz w:val="19"/>
              </w:rPr>
              <w:t>2</w:t>
            </w:r>
          </w:p>
        </w:tc>
        <w:tc>
          <w:tcPr>
            <w:tcW w:type="dxa" w:w="3360"/>
            <w:vAlign w:val="top"/>
          </w:tcPr>
          <w:p>
            <w:r>
              <w:rPr>
                <w:rFonts w:ascii="Arial" w:hAnsi="Arial"/>
                <w:sz w:val="19"/>
              </w:rPr>
              <w:t>Ingreso per cápita y poder adquisitivo del mercado</w:t>
            </w:r>
          </w:p>
        </w:tc>
        <w:tc>
          <w:tcPr>
            <w:tcW w:type="dxa" w:w="3360"/>
            <w:vAlign w:val="top"/>
          </w:tcPr>
          <w:p>
            <w:r>
              <w:rPr>
                <w:rFonts w:ascii="Arial" w:hAnsi="Arial"/>
                <w:sz w:val="19"/>
              </w:rPr>
              <w:t>Permite estimar capacidad de compra de clientes, empresas y hogares que podrían demandar repuestos o sillines de mayor calidad.</w:t>
            </w:r>
          </w:p>
        </w:tc>
      </w:tr>
      <w:tr>
        <w:tc>
          <w:tcPr>
            <w:tcW w:type="dxa" w:w="3360"/>
            <w:vAlign w:val="top"/>
          </w:tcPr>
          <w:p>
            <w:r>
              <w:rPr>
                <w:rFonts w:ascii="Arial" w:hAnsi="Arial"/>
                <w:sz w:val="19"/>
              </w:rPr>
              <w:t>3</w:t>
            </w:r>
          </w:p>
        </w:tc>
        <w:tc>
          <w:tcPr>
            <w:tcW w:type="dxa" w:w="3360"/>
            <w:vAlign w:val="top"/>
          </w:tcPr>
          <w:p>
            <w:r>
              <w:rPr>
                <w:rFonts w:ascii="Arial" w:hAnsi="Arial"/>
                <w:sz w:val="19"/>
              </w:rPr>
              <w:t>Tasa de desempleo y estabilidad laboral</w:t>
            </w:r>
          </w:p>
        </w:tc>
        <w:tc>
          <w:tcPr>
            <w:tcW w:type="dxa" w:w="3360"/>
            <w:vAlign w:val="top"/>
          </w:tcPr>
          <w:p>
            <w:r>
              <w:rPr>
                <w:rFonts w:ascii="Arial" w:hAnsi="Arial"/>
                <w:sz w:val="19"/>
              </w:rPr>
              <w:t>Complementa el ingreso per cápita: un mercado con buen ingreso y empleo estable tiene mejor capacidad real de consumo.</w:t>
            </w:r>
          </w:p>
        </w:tc>
      </w:tr>
      <w:tr>
        <w:tc>
          <w:tcPr>
            <w:tcW w:type="dxa" w:w="3360"/>
            <w:vAlign w:val="top"/>
          </w:tcPr>
          <w:p>
            <w:r>
              <w:rPr>
                <w:rFonts w:ascii="Arial" w:hAnsi="Arial"/>
                <w:sz w:val="19"/>
              </w:rPr>
              <w:t>4</w:t>
            </w:r>
          </w:p>
        </w:tc>
        <w:tc>
          <w:tcPr>
            <w:tcW w:type="dxa" w:w="3360"/>
            <w:vAlign w:val="top"/>
          </w:tcPr>
          <w:p>
            <w:r>
              <w:rPr>
                <w:rFonts w:ascii="Arial" w:hAnsi="Arial"/>
                <w:sz w:val="19"/>
              </w:rPr>
              <w:t>Valor de la producción agrícola</w:t>
            </w:r>
          </w:p>
        </w:tc>
        <w:tc>
          <w:tcPr>
            <w:tcW w:type="dxa" w:w="3360"/>
            <w:vAlign w:val="top"/>
          </w:tcPr>
          <w:p>
            <w:r>
              <w:rPr>
                <w:rFonts w:ascii="Arial" w:hAnsi="Arial"/>
                <w:sz w:val="19"/>
              </w:rPr>
              <w:t>Mide la relevancia del sector agrícola y la cercanía con usuarios de tractores, maquinaria y equipos de trabajo.</w:t>
            </w:r>
          </w:p>
        </w:tc>
      </w:tr>
      <w:tr>
        <w:tc>
          <w:tcPr>
            <w:tcW w:type="dxa" w:w="3360"/>
            <w:vAlign w:val="top"/>
          </w:tcPr>
          <w:p>
            <w:r>
              <w:rPr>
                <w:rFonts w:ascii="Arial" w:hAnsi="Arial"/>
                <w:sz w:val="19"/>
              </w:rPr>
              <w:t>5</w:t>
            </w:r>
          </w:p>
        </w:tc>
        <w:tc>
          <w:tcPr>
            <w:tcW w:type="dxa" w:w="3360"/>
            <w:vAlign w:val="top"/>
          </w:tcPr>
          <w:p>
            <w:r>
              <w:rPr>
                <w:rFonts w:ascii="Arial" w:hAnsi="Arial"/>
                <w:sz w:val="19"/>
              </w:rPr>
              <w:t>Valor de la industria turfgrass y césped profesional</w:t>
            </w:r>
          </w:p>
        </w:tc>
        <w:tc>
          <w:tcPr>
            <w:tcW w:type="dxa" w:w="3360"/>
            <w:vAlign w:val="top"/>
          </w:tcPr>
          <w:p>
            <w:r>
              <w:rPr>
                <w:rFonts w:ascii="Arial" w:hAnsi="Arial"/>
                <w:sz w:val="19"/>
              </w:rPr>
              <w:t>Evalúa el mercado directo de podadoras, mantenimiento de jardines, paisajismo y áreas verdes.</w:t>
            </w:r>
          </w:p>
        </w:tc>
      </w:tr>
      <w:tr>
        <w:tc>
          <w:tcPr>
            <w:tcW w:type="dxa" w:w="3360"/>
            <w:vAlign w:val="top"/>
          </w:tcPr>
          <w:p>
            <w:r>
              <w:rPr>
                <w:rFonts w:ascii="Arial" w:hAnsi="Arial"/>
                <w:sz w:val="19"/>
              </w:rPr>
              <w:t>6</w:t>
            </w:r>
          </w:p>
        </w:tc>
        <w:tc>
          <w:tcPr>
            <w:tcW w:type="dxa" w:w="3360"/>
            <w:vAlign w:val="top"/>
          </w:tcPr>
          <w:p>
            <w:r>
              <w:rPr>
                <w:rFonts w:ascii="Arial" w:hAnsi="Arial"/>
                <w:sz w:val="19"/>
              </w:rPr>
              <w:t>Contexto fiscal estatal e impuestos aplicables</w:t>
            </w:r>
          </w:p>
        </w:tc>
        <w:tc>
          <w:tcPr>
            <w:tcW w:type="dxa" w:w="3360"/>
            <w:vAlign w:val="top"/>
          </w:tcPr>
          <w:p>
            <w:r>
              <w:rPr>
                <w:rFonts w:ascii="Arial" w:hAnsi="Arial"/>
                <w:sz w:val="19"/>
              </w:rPr>
              <w:t>Mide condiciones de operación, carga tributaria y facilidad relativa para instalar actividad comercial.</w:t>
            </w:r>
          </w:p>
        </w:tc>
      </w:tr>
    </w:tbl>
    <w:p>
      <w:pPr>
        <w:pStyle w:val="Heading1"/>
      </w:pPr>
      <w:r>
        <w:t>Estructura recomendada para cada tarjeta en la página web</w:t>
      </w:r>
    </w:p>
    <w:p>
      <w:pPr>
        <w:pStyle w:val="ListBullet"/>
      </w:pPr>
      <w:r>
        <w:t>Título del indicador.</w:t>
      </w:r>
    </w:p>
    <w:p>
      <w:pPr>
        <w:pStyle w:val="ListBullet"/>
      </w:pPr>
      <w:r>
        <w:t>Gráfico generado desde el Excel, no imagen estática.</w:t>
      </w:r>
    </w:p>
    <w:p>
      <w:pPr>
        <w:pStyle w:val="ListBullet"/>
      </w:pPr>
      <w:r>
        <w:t>Mini tabla comparativa Texas vs Florida, idealmente con los últimos 5 años.</w:t>
      </w:r>
    </w:p>
    <w:p>
      <w:pPr>
        <w:pStyle w:val="ListBullet"/>
      </w:pPr>
      <w:r>
        <w:t>Texto analítico corto, máximo 150 palabras.</w:t>
      </w:r>
    </w:p>
    <w:p>
      <w:pPr>
        <w:pStyle w:val="ListBullet"/>
      </w:pPr>
      <w:r>
        <w:t>Calificación de impacto 1 a 5 para cada estado.</w:t>
      </w:r>
    </w:p>
    <w:p>
      <w:pPr>
        <w:pStyle w:val="ListBullet"/>
      </w:pPr>
      <w:r>
        <w:t>Caja de fuentes con links visibles + referencia APA sencilla.</w:t>
      </w:r>
    </w:p>
    <w:p>
      <w:pPr>
        <w:pStyle w:val="Heading1"/>
      </w:pPr>
      <w:r>
        <w:t>Textos analíticos mejorados por indicador</w:t>
      </w:r>
    </w:p>
    <w:p>
      <w:pPr>
        <w:pStyle w:val="Heading2"/>
      </w:pPr>
      <w:r>
        <w:t>1. Inflación regional y estabilidad de precios</w:t>
      </w:r>
    </w:p>
    <w:p>
      <w:r>
        <w:t>La inflación permite evaluar si el entorno de precios es estable para vender y distribuir productos sin perder margen. Una inflación más controlada favorece a UMO porque reduce presión sobre costos logísticos, precios finales y capacidad de compra de los clientes. En la comparación, Florida y Texas muestran condiciones relativamente favorables, aunque deben leerse con cuidado porque los datos de inflación suelen tomarse de áreas metropolitanas principales, no de todo el estado. Si el Excel mantiene una inflación menor en Florida, este estado puede verse más estable en precios. Texas, aunque puede presentar mayor presión inflacionaria en algunos periodos, compensa con un mercado más amplio y resiliente. Para UMO, ambos estados son viables, pero la estabilidad de precios debe acompañarse de análisis de demanda sectorial.</w:t>
      </w:r>
    </w:p>
    <w:p>
      <w:r>
        <w:rPr>
          <w:b/>
          <w:color w:val="1B4054"/>
        </w:rPr>
        <w:t>Calificación sugerida: Florida 4.5 / Texas 4.2. Ajustar si el Excel muestra otra tendencia.</w:t>
      </w:r>
    </w:p>
    <w:p>
      <w:pPr>
        <w:pStyle w:val="Heading2"/>
      </w:pPr>
      <w:r>
        <w:t>2. Ingreso per cápita y poder adquisitivo del mercado</w:t>
      </w:r>
    </w:p>
    <w:p>
      <w:r>
        <w:t>El ingreso per cápita ayuda a medir la capacidad de compra del mercado. Para UMO, este indicador es importante porque sus sillines y cojines no compiten solo por precio, sino por comodidad, durabilidad y mejora del uso de maquinaria. Un mayor poder adquisitivo facilita que hogares, empresas de jardinería, talleres y operadores agrícolas paguen por repuestos de mejor calidad. Texas destaca por su escala económica y tamaño de mercado, mientras Florida resulta atractiva por su consumo residencial, turismo, mantenimiento de zonas verdes y presencia de clientes con capacidad de pago. Este indicador debe analizarse junto con el desempleo: no basta con que el ingreso sea alto si el mercado laboral es débil. En conjunto, ambos estados muestran condiciones favorables para productos especializados de UMO.</w:t>
      </w:r>
    </w:p>
    <w:p>
      <w:r>
        <w:rPr>
          <w:b/>
          <w:color w:val="1B4054"/>
        </w:rPr>
        <w:t>Calificación sugerida: Texas 5.0 / Florida 4.7.</w:t>
      </w:r>
    </w:p>
    <w:p>
      <w:pPr>
        <w:pStyle w:val="Heading2"/>
      </w:pPr>
      <w:r>
        <w:t>3. Tasa de desempleo y estabilidad laboral</w:t>
      </w:r>
    </w:p>
    <w:p>
      <w:r>
        <w:t>La tasa de desempleo complementa el análisis de ingreso per cápita porque permite evaluar si la capacidad de compra está respaldada por estabilidad laboral. Un mercado con bajo desempleo suele tener mayor confianza de consumo, mejor actividad empresarial y mayor continuidad en sectores como mantenimiento, jardinería, agricultura y servicios técnicos. Para UMO, esto importa porque sus productos dependen de clientes que usan maquinaria de forma recurrente y necesitan reemplazar componentes con cierta frecuencia. Si Texas y Florida mantienen tasas de desempleo controladas, ambos ofrecen un entorno estable para introducir repuestos especializados. La diferencia no debe presentarse como una eliminación de un estado, sino como una lectura de estabilidad: Texas puede aportar escala laboral y productiva, mientras Florida puede aportar demanda constante asociada a servicios residenciales y comerciales.</w:t>
      </w:r>
    </w:p>
    <w:p>
      <w:r>
        <w:rPr>
          <w:b/>
          <w:color w:val="1B4054"/>
        </w:rPr>
        <w:t>Calificación sugerida: Texas 4.4 / Florida 4.4. Ajustar con datos del Excel.</w:t>
      </w:r>
    </w:p>
    <w:p>
      <w:pPr>
        <w:pStyle w:val="Heading2"/>
      </w:pPr>
      <w:r>
        <w:t>4. Valor de la producción agrícola</w:t>
      </w:r>
    </w:p>
    <w:p>
      <w:r>
        <w:t>La producción agrícola permite identificar qué tan fuerte es el entorno productivo relacionado con maquinaria, tractores y trabajo operativo. Texas muestra una ventaja clara por su tamaño agrícola y su mayor relación con actividades donde el uso de maquinaria es intensivo. Esto favorece a UMO porque existe una base más amplia de usuarios que podrían requerir renovación de sillines, cojines y componentes ergonómicos. Florida, aunque tiene menor escala agrícola frente a Texas, sigue siendo relevante por cultivos especializados, mantenimiento de fincas, viveros y actividades relacionadas con paisajismo. Por eso, este indicador no debe usarse para descartar a Florida, sino para diferenciar roles: Texas se perfila como mercado agrícola de mayor escala, mientras Florida puede funcionar mejor en nichos agrícolas y de mantenimiento especializado.</w:t>
      </w:r>
    </w:p>
    <w:p>
      <w:r>
        <w:rPr>
          <w:b/>
          <w:color w:val="1B4054"/>
        </w:rPr>
        <w:t>Calificación sugerida: Texas 5.0 / Florida 3.8.</w:t>
      </w:r>
    </w:p>
    <w:p>
      <w:pPr>
        <w:pStyle w:val="Heading2"/>
      </w:pPr>
      <w:r>
        <w:t>5. Valor de la industria turfgrass y césped profesional</w:t>
      </w:r>
    </w:p>
    <w:p>
      <w:r>
        <w:t>La industria turfgrass y de césped profesional es uno de los indicadores más importantes para UMO porque conecta directamente con podadoras, jardinería, paisajismo, mantenimiento residencial, clubes, hoteles, campos deportivos y zonas verdes. Florida destaca por la fortaleza de su industria verde, impulsada por crecimiento poblacional, construcción, turismo y alta demanda de mantenimiento exterior. Texas también representa un mercado muy atractivo, con gran tamaño territorial, urbanización y crecimiento de servicios de paisajismo. Para UMO, este indicador muestra que ambos estados tienen demanda potencial directa, pero con enfoques distintos: Florida se ve más fuerte como mercado de jardinería profesional y mantenimiento residencial; Texas combina césped profesional con escala territorial y actividad productiva.</w:t>
      </w:r>
    </w:p>
    <w:p>
      <w:r>
        <w:rPr>
          <w:b/>
          <w:color w:val="1B4054"/>
        </w:rPr>
        <w:t>Calificación sugerida: Florida 5.0 / Texas 4.7.</w:t>
      </w:r>
    </w:p>
    <w:p>
      <w:pPr>
        <w:pStyle w:val="Heading2"/>
      </w:pPr>
      <w:r>
        <w:t>6. Contexto fiscal estatal e impuestos aplicables</w:t>
      </w:r>
    </w:p>
    <w:p>
      <w:r>
        <w:t>El contexto fiscal ayuda a entender costos de operación, obligaciones de registro y condiciones para vender en cada estado. Este indicador debe presentarse como complemento del entorno macroeconómico, no como comercio exterior. Florida tiene una tasa estatal general de sales tax de 6% y un impuesto corporativo estatal, mientras Texas aplica sales tax estatal de 6.25% y no tiene un impuesto corporativo tradicional, aunque sí maneja franchise tax para ciertas entidades según ingresos y tipo de negocio. Esto corrige la contradicción de decir simplemente que Texas tiene 0% de impuesto corporativo. Para UMO, ambos estados son pro-negocios, pero Texas puede resultar más eficiente para escalar operaciones, mientras Florida mantiene atractivo por su mercado de consumo y menor sales tax estatal base.</w:t>
      </w:r>
    </w:p>
    <w:p>
      <w:r>
        <w:rPr>
          <w:b/>
          <w:color w:val="1B4054"/>
        </w:rPr>
        <w:t>Calificación sugerida: Texas 4.8 / Florida 4.5.</w:t>
      </w:r>
    </w:p>
    <w:p>
      <w:pPr>
        <w:pStyle w:val="Heading1"/>
      </w:pPr>
      <w:r>
        <w:t>Tabla final sugerida de calificación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E8F0FE"/>
          </w:tcPr>
          <w:p>
            <w:r>
              <w:rPr>
                <w:rFonts w:ascii="Arial" w:hAnsi="Arial"/>
                <w:b/>
                <w:sz w:val="19"/>
              </w:rPr>
              <w:t>Indicador</w:t>
            </w:r>
          </w:p>
        </w:tc>
        <w:tc>
          <w:tcPr>
            <w:tcW w:type="dxa" w:w="2016"/>
            <w:vAlign w:val="top"/>
            <w:shd w:fill="E8F0FE"/>
          </w:tcPr>
          <w:p>
            <w:r>
              <w:rPr>
                <w:rFonts w:ascii="Arial" w:hAnsi="Arial"/>
                <w:b/>
                <w:sz w:val="19"/>
              </w:rPr>
              <w:t>Texas</w:t>
            </w:r>
          </w:p>
        </w:tc>
        <w:tc>
          <w:tcPr>
            <w:tcW w:type="dxa" w:w="2016"/>
            <w:vAlign w:val="top"/>
            <w:shd w:fill="E8F0FE"/>
          </w:tcPr>
          <w:p>
            <w:r>
              <w:rPr>
                <w:rFonts w:ascii="Arial" w:hAnsi="Arial"/>
                <w:b/>
                <w:sz w:val="19"/>
              </w:rPr>
              <w:t>Florida</w:t>
            </w:r>
          </w:p>
        </w:tc>
        <w:tc>
          <w:tcPr>
            <w:tcW w:type="dxa" w:w="2016"/>
            <w:vAlign w:val="top"/>
            <w:shd w:fill="E8F0FE"/>
          </w:tcPr>
          <w:p>
            <w:r>
              <w:rPr>
                <w:rFonts w:ascii="Arial" w:hAnsi="Arial"/>
                <w:b/>
                <w:sz w:val="19"/>
              </w:rPr>
              <w:t>Lectura comparativa</w:t>
            </w:r>
          </w:p>
        </w:tc>
        <w:tc>
          <w:tcPr>
            <w:tcW w:type="dxa" w:w="2016"/>
            <w:vAlign w:val="top"/>
            <w:shd w:fill="E8F0FE"/>
          </w:tcPr>
          <w:p>
            <w:r>
              <w:rPr>
                <w:rFonts w:ascii="Arial" w:hAnsi="Arial"/>
                <w:b/>
                <w:sz w:val="19"/>
              </w:rPr>
              <w:t>Ganador relativo</w:t>
            </w:r>
          </w:p>
        </w:tc>
      </w:tr>
      <w:tr>
        <w:tc>
          <w:tcPr>
            <w:tcW w:type="dxa" w:w="2016"/>
            <w:vAlign w:val="top"/>
          </w:tcPr>
          <w:p>
            <w:r>
              <w:rPr>
                <w:rFonts w:ascii="Arial" w:hAnsi="Arial"/>
                <w:sz w:val="19"/>
              </w:rPr>
              <w:t>Inflación regional y estabilidad de precios</w:t>
            </w:r>
          </w:p>
        </w:tc>
        <w:tc>
          <w:tcPr>
            <w:tcW w:type="dxa" w:w="2016"/>
            <w:vAlign w:val="top"/>
          </w:tcPr>
          <w:p>
            <w:r>
              <w:rPr>
                <w:rFonts w:ascii="Arial" w:hAnsi="Arial"/>
                <w:sz w:val="19"/>
              </w:rPr>
              <w:t>4.2</w:t>
            </w:r>
          </w:p>
        </w:tc>
        <w:tc>
          <w:tcPr>
            <w:tcW w:type="dxa" w:w="2016"/>
            <w:vAlign w:val="top"/>
          </w:tcPr>
          <w:p>
            <w:r>
              <w:rPr>
                <w:rFonts w:ascii="Arial" w:hAnsi="Arial"/>
                <w:sz w:val="19"/>
              </w:rPr>
              <w:t>4.5</w:t>
            </w:r>
          </w:p>
        </w:tc>
        <w:tc>
          <w:tcPr>
            <w:tcW w:type="dxa" w:w="2016"/>
            <w:vAlign w:val="top"/>
          </w:tcPr>
          <w:p>
            <w:r>
              <w:rPr>
                <w:rFonts w:ascii="Arial" w:hAnsi="Arial"/>
                <w:sz w:val="19"/>
              </w:rPr>
              <w:t>Florida puede mostrar mayor estabilidad de precios si el Excel confirma menor inflación.</w:t>
            </w:r>
          </w:p>
        </w:tc>
        <w:tc>
          <w:tcPr>
            <w:tcW w:type="dxa" w:w="2016"/>
            <w:vAlign w:val="top"/>
          </w:tcPr>
          <w:p>
            <w:r>
              <w:rPr>
                <w:rFonts w:ascii="Arial" w:hAnsi="Arial"/>
                <w:sz w:val="19"/>
              </w:rPr>
              <w:t>Florida</w:t>
            </w:r>
          </w:p>
        </w:tc>
      </w:tr>
      <w:tr>
        <w:tc>
          <w:tcPr>
            <w:tcW w:type="dxa" w:w="2016"/>
            <w:vAlign w:val="top"/>
          </w:tcPr>
          <w:p>
            <w:r>
              <w:rPr>
                <w:rFonts w:ascii="Arial" w:hAnsi="Arial"/>
                <w:sz w:val="19"/>
              </w:rPr>
              <w:t>Ingreso per cápita y poder adquisitivo</w:t>
            </w:r>
          </w:p>
        </w:tc>
        <w:tc>
          <w:tcPr>
            <w:tcW w:type="dxa" w:w="2016"/>
            <w:vAlign w:val="top"/>
          </w:tcPr>
          <w:p>
            <w:r>
              <w:rPr>
                <w:rFonts w:ascii="Arial" w:hAnsi="Arial"/>
                <w:sz w:val="19"/>
              </w:rPr>
              <w:t>5.0</w:t>
            </w:r>
          </w:p>
        </w:tc>
        <w:tc>
          <w:tcPr>
            <w:tcW w:type="dxa" w:w="2016"/>
            <w:vAlign w:val="top"/>
          </w:tcPr>
          <w:p>
            <w:r>
              <w:rPr>
                <w:rFonts w:ascii="Arial" w:hAnsi="Arial"/>
                <w:sz w:val="19"/>
              </w:rPr>
              <w:t>4.7</w:t>
            </w:r>
          </w:p>
        </w:tc>
        <w:tc>
          <w:tcPr>
            <w:tcW w:type="dxa" w:w="2016"/>
            <w:vAlign w:val="top"/>
          </w:tcPr>
          <w:p>
            <w:r>
              <w:rPr>
                <w:rFonts w:ascii="Arial" w:hAnsi="Arial"/>
                <w:sz w:val="19"/>
              </w:rPr>
              <w:t>Texas gana por escala económica; Florida sigue fuerte por consumo residencial y servicios.</w:t>
            </w:r>
          </w:p>
        </w:tc>
        <w:tc>
          <w:tcPr>
            <w:tcW w:type="dxa" w:w="2016"/>
            <w:vAlign w:val="top"/>
          </w:tcPr>
          <w:p>
            <w:r>
              <w:rPr>
                <w:rFonts w:ascii="Arial" w:hAnsi="Arial"/>
                <w:sz w:val="19"/>
              </w:rPr>
              <w:t>Texas</w:t>
            </w:r>
          </w:p>
        </w:tc>
      </w:tr>
      <w:tr>
        <w:tc>
          <w:tcPr>
            <w:tcW w:type="dxa" w:w="2016"/>
            <w:vAlign w:val="top"/>
          </w:tcPr>
          <w:p>
            <w:r>
              <w:rPr>
                <w:rFonts w:ascii="Arial" w:hAnsi="Arial"/>
                <w:sz w:val="19"/>
              </w:rPr>
              <w:t>Tasa de desempleo y estabilidad laboral</w:t>
            </w:r>
          </w:p>
        </w:tc>
        <w:tc>
          <w:tcPr>
            <w:tcW w:type="dxa" w:w="2016"/>
            <w:vAlign w:val="top"/>
          </w:tcPr>
          <w:p>
            <w:r>
              <w:rPr>
                <w:rFonts w:ascii="Arial" w:hAnsi="Arial"/>
                <w:sz w:val="19"/>
              </w:rPr>
              <w:t>4.4</w:t>
            </w:r>
          </w:p>
        </w:tc>
        <w:tc>
          <w:tcPr>
            <w:tcW w:type="dxa" w:w="2016"/>
            <w:vAlign w:val="top"/>
          </w:tcPr>
          <w:p>
            <w:r>
              <w:rPr>
                <w:rFonts w:ascii="Arial" w:hAnsi="Arial"/>
                <w:sz w:val="19"/>
              </w:rPr>
              <w:t>4.4</w:t>
            </w:r>
          </w:p>
        </w:tc>
        <w:tc>
          <w:tcPr>
            <w:tcW w:type="dxa" w:w="2016"/>
            <w:vAlign w:val="top"/>
          </w:tcPr>
          <w:p>
            <w:r>
              <w:rPr>
                <w:rFonts w:ascii="Arial" w:hAnsi="Arial"/>
                <w:sz w:val="19"/>
              </w:rPr>
              <w:t>Ambos mercados son estables; este indicador debe leerse junto al ingreso per cápita.</w:t>
            </w:r>
          </w:p>
        </w:tc>
        <w:tc>
          <w:tcPr>
            <w:tcW w:type="dxa" w:w="2016"/>
            <w:vAlign w:val="top"/>
          </w:tcPr>
          <w:p>
            <w:r>
              <w:rPr>
                <w:rFonts w:ascii="Arial" w:hAnsi="Arial"/>
                <w:sz w:val="19"/>
              </w:rPr>
              <w:t>Empate</w:t>
            </w:r>
          </w:p>
        </w:tc>
      </w:tr>
      <w:tr>
        <w:tc>
          <w:tcPr>
            <w:tcW w:type="dxa" w:w="2016"/>
            <w:vAlign w:val="top"/>
          </w:tcPr>
          <w:p>
            <w:r>
              <w:rPr>
                <w:rFonts w:ascii="Arial" w:hAnsi="Arial"/>
                <w:sz w:val="19"/>
              </w:rPr>
              <w:t>Valor de la producción agrícola</w:t>
            </w:r>
          </w:p>
        </w:tc>
        <w:tc>
          <w:tcPr>
            <w:tcW w:type="dxa" w:w="2016"/>
            <w:vAlign w:val="top"/>
          </w:tcPr>
          <w:p>
            <w:r>
              <w:rPr>
                <w:rFonts w:ascii="Arial" w:hAnsi="Arial"/>
                <w:sz w:val="19"/>
              </w:rPr>
              <w:t>5.0</w:t>
            </w:r>
          </w:p>
        </w:tc>
        <w:tc>
          <w:tcPr>
            <w:tcW w:type="dxa" w:w="2016"/>
            <w:vAlign w:val="top"/>
          </w:tcPr>
          <w:p>
            <w:r>
              <w:rPr>
                <w:rFonts w:ascii="Arial" w:hAnsi="Arial"/>
                <w:sz w:val="19"/>
              </w:rPr>
              <w:t>3.8</w:t>
            </w:r>
          </w:p>
        </w:tc>
        <w:tc>
          <w:tcPr>
            <w:tcW w:type="dxa" w:w="2016"/>
            <w:vAlign w:val="top"/>
          </w:tcPr>
          <w:p>
            <w:r>
              <w:rPr>
                <w:rFonts w:ascii="Arial" w:hAnsi="Arial"/>
                <w:sz w:val="19"/>
              </w:rPr>
              <w:t>Texas tiene mayor fuerza agrícola; Florida mantiene nichos especializados.</w:t>
            </w:r>
          </w:p>
        </w:tc>
        <w:tc>
          <w:tcPr>
            <w:tcW w:type="dxa" w:w="2016"/>
            <w:vAlign w:val="top"/>
          </w:tcPr>
          <w:p>
            <w:r>
              <w:rPr>
                <w:rFonts w:ascii="Arial" w:hAnsi="Arial"/>
                <w:sz w:val="19"/>
              </w:rPr>
              <w:t>Texas</w:t>
            </w:r>
          </w:p>
        </w:tc>
      </w:tr>
      <w:tr>
        <w:tc>
          <w:tcPr>
            <w:tcW w:type="dxa" w:w="2016"/>
            <w:vAlign w:val="top"/>
          </w:tcPr>
          <w:p>
            <w:r>
              <w:rPr>
                <w:rFonts w:ascii="Arial" w:hAnsi="Arial"/>
                <w:sz w:val="19"/>
              </w:rPr>
              <w:t>Industria turfgrass y césped profesional</w:t>
            </w:r>
          </w:p>
        </w:tc>
        <w:tc>
          <w:tcPr>
            <w:tcW w:type="dxa" w:w="2016"/>
            <w:vAlign w:val="top"/>
          </w:tcPr>
          <w:p>
            <w:r>
              <w:rPr>
                <w:rFonts w:ascii="Arial" w:hAnsi="Arial"/>
                <w:sz w:val="19"/>
              </w:rPr>
              <w:t>4.7</w:t>
            </w:r>
          </w:p>
        </w:tc>
        <w:tc>
          <w:tcPr>
            <w:tcW w:type="dxa" w:w="2016"/>
            <w:vAlign w:val="top"/>
          </w:tcPr>
          <w:p>
            <w:r>
              <w:rPr>
                <w:rFonts w:ascii="Arial" w:hAnsi="Arial"/>
                <w:sz w:val="19"/>
              </w:rPr>
              <w:t>5.0</w:t>
            </w:r>
          </w:p>
        </w:tc>
        <w:tc>
          <w:tcPr>
            <w:tcW w:type="dxa" w:w="2016"/>
            <w:vAlign w:val="top"/>
          </w:tcPr>
          <w:p>
            <w:r>
              <w:rPr>
                <w:rFonts w:ascii="Arial" w:hAnsi="Arial"/>
                <w:sz w:val="19"/>
              </w:rPr>
              <w:t>Florida lidera en industria verde; Texas sigue siendo mercado muy fuerte.</w:t>
            </w:r>
          </w:p>
        </w:tc>
        <w:tc>
          <w:tcPr>
            <w:tcW w:type="dxa" w:w="2016"/>
            <w:vAlign w:val="top"/>
          </w:tcPr>
          <w:p>
            <w:r>
              <w:rPr>
                <w:rFonts w:ascii="Arial" w:hAnsi="Arial"/>
                <w:sz w:val="19"/>
              </w:rPr>
              <w:t>Florida</w:t>
            </w:r>
          </w:p>
        </w:tc>
      </w:tr>
      <w:tr>
        <w:tc>
          <w:tcPr>
            <w:tcW w:type="dxa" w:w="2016"/>
            <w:vAlign w:val="top"/>
          </w:tcPr>
          <w:p>
            <w:r>
              <w:rPr>
                <w:rFonts w:ascii="Arial" w:hAnsi="Arial"/>
                <w:sz w:val="19"/>
              </w:rPr>
              <w:t>Contexto fiscal estatal e impuestos</w:t>
            </w:r>
          </w:p>
        </w:tc>
        <w:tc>
          <w:tcPr>
            <w:tcW w:type="dxa" w:w="2016"/>
            <w:vAlign w:val="top"/>
          </w:tcPr>
          <w:p>
            <w:r>
              <w:rPr>
                <w:rFonts w:ascii="Arial" w:hAnsi="Arial"/>
                <w:sz w:val="19"/>
              </w:rPr>
              <w:t>4.8</w:t>
            </w:r>
          </w:p>
        </w:tc>
        <w:tc>
          <w:tcPr>
            <w:tcW w:type="dxa" w:w="2016"/>
            <w:vAlign w:val="top"/>
          </w:tcPr>
          <w:p>
            <w:r>
              <w:rPr>
                <w:rFonts w:ascii="Arial" w:hAnsi="Arial"/>
                <w:sz w:val="19"/>
              </w:rPr>
              <w:t>4.5</w:t>
            </w:r>
          </w:p>
        </w:tc>
        <w:tc>
          <w:tcPr>
            <w:tcW w:type="dxa" w:w="2016"/>
            <w:vAlign w:val="top"/>
          </w:tcPr>
          <w:p>
            <w:r>
              <w:rPr>
                <w:rFonts w:ascii="Arial" w:hAnsi="Arial"/>
                <w:sz w:val="19"/>
              </w:rPr>
              <w:t>Texas es más eficiente para escalar; Florida es competitivo y fuerte en consumo.</w:t>
            </w:r>
          </w:p>
        </w:tc>
        <w:tc>
          <w:tcPr>
            <w:tcW w:type="dxa" w:w="2016"/>
            <w:vAlign w:val="top"/>
          </w:tcPr>
          <w:p>
            <w:r>
              <w:rPr>
                <w:rFonts w:ascii="Arial" w:hAnsi="Arial"/>
                <w:sz w:val="19"/>
              </w:rPr>
              <w:t>Texas</w:t>
            </w:r>
          </w:p>
        </w:tc>
      </w:tr>
      <w:tr>
        <w:tc>
          <w:tcPr>
            <w:tcW w:type="dxa" w:w="2016"/>
            <w:vAlign w:val="top"/>
          </w:tcPr>
          <w:p>
            <w:r>
              <w:rPr>
                <w:rFonts w:ascii="Arial" w:hAnsi="Arial"/>
                <w:sz w:val="19"/>
              </w:rPr>
              <w:t>Promedio sugerido</w:t>
            </w:r>
          </w:p>
        </w:tc>
        <w:tc>
          <w:tcPr>
            <w:tcW w:type="dxa" w:w="2016"/>
            <w:vAlign w:val="top"/>
          </w:tcPr>
          <w:p>
            <w:r>
              <w:rPr>
                <w:rFonts w:ascii="Arial" w:hAnsi="Arial"/>
                <w:sz w:val="19"/>
              </w:rPr>
              <w:t>4.68</w:t>
            </w:r>
          </w:p>
        </w:tc>
        <w:tc>
          <w:tcPr>
            <w:tcW w:type="dxa" w:w="2016"/>
            <w:vAlign w:val="top"/>
          </w:tcPr>
          <w:p>
            <w:r>
              <w:rPr>
                <w:rFonts w:ascii="Arial" w:hAnsi="Arial"/>
                <w:sz w:val="19"/>
              </w:rPr>
              <w:t>4.48</w:t>
            </w:r>
          </w:p>
        </w:tc>
        <w:tc>
          <w:tcPr>
            <w:tcW w:type="dxa" w:w="2016"/>
            <w:vAlign w:val="top"/>
          </w:tcPr>
          <w:p>
            <w:r>
              <w:rPr>
                <w:rFonts w:ascii="Arial" w:hAnsi="Arial"/>
                <w:sz w:val="19"/>
              </w:rPr>
              <w:t>Texas queda ligeramente mejor como mercado principal, pero Florida queda como mercado complementario estratégico.</w:t>
            </w:r>
          </w:p>
        </w:tc>
        <w:tc>
          <w:tcPr>
            <w:tcW w:type="dxa" w:w="2016"/>
            <w:vAlign w:val="top"/>
          </w:tcPr>
          <w:p>
            <w:r>
              <w:rPr>
                <w:rFonts w:ascii="Arial" w:hAnsi="Arial"/>
                <w:sz w:val="19"/>
              </w:rPr>
              <w:t>Texas, sin descartar Florida</w:t>
            </w:r>
          </w:p>
        </w:tc>
      </w:tr>
    </w:tbl>
    <w:p>
      <w:pPr>
        <w:pStyle w:val="Heading1"/>
      </w:pPr>
      <w:r>
        <w:t>Conclusión visual sugerida para la página</w:t>
      </w:r>
    </w:p>
    <w:p>
      <w:r>
        <w:t>La lectura final no debe presentar a Texas y Florida como un ganador y un perdedor. Ambos son mercados atractivos para UMO, pero cumplen funciones estratégicas diferentes. Texas se proyecta como el mercado principal por su tamaño económico, fortaleza agrícola, escala territorial y condiciones fiscales favorables para crecer. Florida se posiciona como un mercado complementario de alto valor por su industria de césped profesional, mantenimiento residencial, paisajismo, turismo y consumo especializado. En términos prácticos, UMO podría usar Texas como plataforma de expansión productiva y comercial de mayor escala, mientras aprovecha Florida como mercado premium de jardinería, mantenimiento de zonas verdes y repuestos para podadoras.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Pr>
                <w:rFonts w:ascii="Arial" w:hAnsi="Arial"/>
                <w:b/>
                <w:sz w:val="19"/>
              </w:rPr>
              <w:t>Texas</w:t>
            </w:r>
          </w:p>
        </w:tc>
        <w:tc>
          <w:tcPr>
            <w:tcW w:type="dxa" w:w="5040"/>
            <w:vAlign w:val="top"/>
            <w:shd w:fill="D9EAD3"/>
          </w:tcPr>
          <w:p>
            <w:r>
              <w:rPr>
                <w:rFonts w:ascii="Arial" w:hAnsi="Arial"/>
                <w:b/>
                <w:sz w:val="19"/>
              </w:rPr>
              <w:t>Florida</w:t>
            </w:r>
          </w:p>
        </w:tc>
      </w:tr>
      <w:tr>
        <w:tc>
          <w:tcPr>
            <w:tcW w:type="dxa" w:w="5040"/>
            <w:vAlign w:val="top"/>
          </w:tcPr>
          <w:p>
            <w:r>
              <w:rPr>
                <w:rFonts w:ascii="Arial" w:hAnsi="Arial"/>
                <w:sz w:val="19"/>
              </w:rPr>
              <w:t>Rol estratégico: mercado principal de escala.</w:t>
              <w:br/>
              <w:t>Fortalezas: agricultura, tamaño económico, crecimiento, eficiencia fiscal.</w:t>
              <w:br/>
              <w:t>Mensaje visual: “Texas: escala productiva y oportunidad industrial”.</w:t>
            </w:r>
          </w:p>
        </w:tc>
        <w:tc>
          <w:tcPr>
            <w:tcW w:type="dxa" w:w="5040"/>
            <w:vAlign w:val="top"/>
          </w:tcPr>
          <w:p>
            <w:r>
              <w:rPr>
                <w:rFonts w:ascii="Arial" w:hAnsi="Arial"/>
                <w:sz w:val="19"/>
              </w:rPr>
              <w:t>Rol estratégico: mercado complementario premium.</w:t>
              <w:br/>
              <w:t>Fortalezas: césped profesional, paisajismo, mantenimiento residencial y turismo.</w:t>
              <w:br/>
              <w:t>Mensaje visual: “Florida: mercado verde, especializado y de alto valor”.</w:t>
            </w:r>
          </w:p>
        </w:tc>
      </w:tr>
    </w:tbl>
    <w:p>
      <w:pPr>
        <w:pStyle w:val="Heading1"/>
      </w:pPr>
      <w:r>
        <w:t>Fuentes y APA sencillo para usar en la sección web</w:t>
      </w:r>
    </w:p>
    <w:p>
      <w:r>
        <w:t>Estas referencias deben aparecer en una caja de fuentes dentro de cada tarjeta de indicador. Codex debe mostrar el nombre de la fuente y un link clicable. En la parte inferior de la sección, también puede poner un bloque general de referencias APA.</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8F0FE"/>
          </w:tcPr>
          <w:p>
            <w:r>
              <w:rPr>
                <w:rFonts w:ascii="Arial" w:hAnsi="Arial"/>
                <w:b/>
                <w:sz w:val="19"/>
              </w:rPr>
              <w:t>Uso</w:t>
            </w:r>
          </w:p>
        </w:tc>
        <w:tc>
          <w:tcPr>
            <w:tcW w:type="dxa" w:w="5040"/>
            <w:vAlign w:val="top"/>
            <w:shd w:fill="E8F0FE"/>
          </w:tcPr>
          <w:p>
            <w:r>
              <w:rPr>
                <w:rFonts w:ascii="Arial" w:hAnsi="Arial"/>
                <w:b/>
                <w:sz w:val="19"/>
              </w:rPr>
              <w:t>Referencia APA sencilla</w:t>
            </w:r>
          </w:p>
        </w:tc>
      </w:tr>
      <w:tr>
        <w:tc>
          <w:tcPr>
            <w:tcW w:type="dxa" w:w="5040"/>
            <w:vAlign w:val="top"/>
          </w:tcPr>
          <w:p>
            <w:r>
              <w:rPr>
                <w:rFonts w:ascii="Arial" w:hAnsi="Arial"/>
                <w:sz w:val="19"/>
              </w:rPr>
              <w:t>PIB estatal e ingreso per cápita</w:t>
            </w:r>
          </w:p>
        </w:tc>
        <w:tc>
          <w:tcPr>
            <w:tcW w:type="dxa" w:w="5040"/>
            <w:vAlign w:val="top"/>
          </w:tcPr>
          <w:p>
            <w:r>
              <w:rPr>
                <w:rFonts w:ascii="Arial" w:hAnsi="Arial"/>
                <w:sz w:val="19"/>
              </w:rPr>
              <w:t>U.S. Bureau of Economic Analysis. (2026). GDP by state. https://www.bea.gov/data/gdp/gdp-state</w:t>
            </w:r>
          </w:p>
        </w:tc>
      </w:tr>
      <w:tr>
        <w:tc>
          <w:tcPr>
            <w:tcW w:type="dxa" w:w="5040"/>
            <w:vAlign w:val="top"/>
          </w:tcPr>
          <w:p>
            <w:r>
              <w:rPr>
                <w:rFonts w:ascii="Arial" w:hAnsi="Arial"/>
                <w:sz w:val="19"/>
              </w:rPr>
              <w:t>Ingreso per cápita / personal income</w:t>
            </w:r>
          </w:p>
        </w:tc>
        <w:tc>
          <w:tcPr>
            <w:tcW w:type="dxa" w:w="5040"/>
            <w:vAlign w:val="top"/>
          </w:tcPr>
          <w:p>
            <w:r>
              <w:rPr>
                <w:rFonts w:ascii="Arial" w:hAnsi="Arial"/>
                <w:sz w:val="19"/>
              </w:rPr>
              <w:t>U.S. Bureau of Economic Analysis. (2024). Gross domestic product by state and personal income by state. https://www.bea.gov/news/2024/gross-domestic-product-state-and-personal-income-state-3rd-quarter-2024</w:t>
            </w:r>
          </w:p>
        </w:tc>
      </w:tr>
      <w:tr>
        <w:tc>
          <w:tcPr>
            <w:tcW w:type="dxa" w:w="5040"/>
            <w:vAlign w:val="top"/>
          </w:tcPr>
          <w:p>
            <w:r>
              <w:rPr>
                <w:rFonts w:ascii="Arial" w:hAnsi="Arial"/>
                <w:sz w:val="19"/>
              </w:rPr>
              <w:t>Inflación Texas</w:t>
            </w:r>
          </w:p>
        </w:tc>
        <w:tc>
          <w:tcPr>
            <w:tcW w:type="dxa" w:w="5040"/>
            <w:vAlign w:val="top"/>
          </w:tcPr>
          <w:p>
            <w:r>
              <w:rPr>
                <w:rFonts w:ascii="Arial" w:hAnsi="Arial"/>
                <w:sz w:val="19"/>
              </w:rPr>
              <w:t>U.S. Bureau of Labor Statistics. (2025). Consumer Price Index, Dallas-Fort Worth-Arlington area — July 2025. https://www.bls.gov/regions/southwest/news-release/2025/consumerpriceindex_dallasfortworth_20250812.htm</w:t>
            </w:r>
          </w:p>
        </w:tc>
      </w:tr>
      <w:tr>
        <w:tc>
          <w:tcPr>
            <w:tcW w:type="dxa" w:w="5040"/>
            <w:vAlign w:val="top"/>
          </w:tcPr>
          <w:p>
            <w:r>
              <w:rPr>
                <w:rFonts w:ascii="Arial" w:hAnsi="Arial"/>
                <w:sz w:val="19"/>
              </w:rPr>
              <w:t>Inflación Florida</w:t>
            </w:r>
          </w:p>
        </w:tc>
        <w:tc>
          <w:tcPr>
            <w:tcW w:type="dxa" w:w="5040"/>
            <w:vAlign w:val="top"/>
          </w:tcPr>
          <w:p>
            <w:r>
              <w:rPr>
                <w:rFonts w:ascii="Arial" w:hAnsi="Arial"/>
                <w:sz w:val="19"/>
              </w:rPr>
              <w:t>U.S. Bureau of Labor Statistics. (2025). Consumer Price Index, Miami-Fort Lauderdale-West Palm Beach — August 2025. https://www.bls.gov/regions/southeast/news-release/2025/consumerpriceindex_miami_20250911.htm</w:t>
            </w:r>
          </w:p>
        </w:tc>
      </w:tr>
      <w:tr>
        <w:tc>
          <w:tcPr>
            <w:tcW w:type="dxa" w:w="5040"/>
            <w:vAlign w:val="top"/>
          </w:tcPr>
          <w:p>
            <w:r>
              <w:rPr>
                <w:rFonts w:ascii="Arial" w:hAnsi="Arial"/>
                <w:sz w:val="19"/>
              </w:rPr>
              <w:t>Desempleo</w:t>
            </w:r>
          </w:p>
        </w:tc>
        <w:tc>
          <w:tcPr>
            <w:tcW w:type="dxa" w:w="5040"/>
            <w:vAlign w:val="top"/>
          </w:tcPr>
          <w:p>
            <w:r>
              <w:rPr>
                <w:rFonts w:ascii="Arial" w:hAnsi="Arial"/>
                <w:sz w:val="19"/>
              </w:rPr>
              <w:t>U.S. Bureau of Labor Statistics. (2026). Local Area Unemployment Statistics. https://www.bls.gov/lau/</w:t>
            </w:r>
          </w:p>
        </w:tc>
      </w:tr>
      <w:tr>
        <w:tc>
          <w:tcPr>
            <w:tcW w:type="dxa" w:w="5040"/>
            <w:vAlign w:val="top"/>
          </w:tcPr>
          <w:p>
            <w:r>
              <w:rPr>
                <w:rFonts w:ascii="Arial" w:hAnsi="Arial"/>
                <w:sz w:val="19"/>
              </w:rPr>
              <w:t>Producción agrícola / cash receipts</w:t>
            </w:r>
          </w:p>
        </w:tc>
        <w:tc>
          <w:tcPr>
            <w:tcW w:type="dxa" w:w="5040"/>
            <w:vAlign w:val="top"/>
          </w:tcPr>
          <w:p>
            <w:r>
              <w:rPr>
                <w:rFonts w:ascii="Arial" w:hAnsi="Arial"/>
                <w:sz w:val="19"/>
              </w:rPr>
              <w:t>U.S. Department of Agriculture, Economic Research Service. (2026). Farm Income and Wealth Statistics. https://www.ers.usda.gov/data-products/farm-income-and-wealth-statistics/data-files-us-and-state-level-farm-income-and-wealth-statistics</w:t>
            </w:r>
          </w:p>
        </w:tc>
      </w:tr>
      <w:tr>
        <w:tc>
          <w:tcPr>
            <w:tcW w:type="dxa" w:w="5040"/>
            <w:vAlign w:val="top"/>
          </w:tcPr>
          <w:p>
            <w:r>
              <w:rPr>
                <w:rFonts w:ascii="Arial" w:hAnsi="Arial"/>
                <w:sz w:val="19"/>
              </w:rPr>
              <w:t>Industria verde Florida</w:t>
            </w:r>
          </w:p>
        </w:tc>
        <w:tc>
          <w:tcPr>
            <w:tcW w:type="dxa" w:w="5040"/>
            <w:vAlign w:val="top"/>
          </w:tcPr>
          <w:p>
            <w:r>
              <w:rPr>
                <w:rFonts w:ascii="Arial" w:hAnsi="Arial"/>
                <w:sz w:val="19"/>
              </w:rPr>
              <w:t>Florida Nursery, Growers and Landscape Association. (2025). Economic Impact. https://fngla.org/advocacy/economic-impact</w:t>
            </w:r>
          </w:p>
        </w:tc>
      </w:tr>
      <w:tr>
        <w:tc>
          <w:tcPr>
            <w:tcW w:type="dxa" w:w="5040"/>
            <w:vAlign w:val="top"/>
          </w:tcPr>
          <w:p>
            <w:r>
              <w:rPr>
                <w:rFonts w:ascii="Arial" w:hAnsi="Arial"/>
                <w:sz w:val="19"/>
              </w:rPr>
              <w:t>Industria verde Florida - reporte académico</w:t>
            </w:r>
          </w:p>
        </w:tc>
        <w:tc>
          <w:tcPr>
            <w:tcW w:type="dxa" w:w="5040"/>
            <w:vAlign w:val="top"/>
          </w:tcPr>
          <w:p>
            <w:r>
              <w:rPr>
                <w:rFonts w:ascii="Arial" w:hAnsi="Arial"/>
                <w:sz w:val="19"/>
              </w:rPr>
              <w:t>Khachatryan, H., Knuth, M., Hodges, A., &amp; Hall, C. (2022). Florida Nursery and Landscape Industry Economic Contributions Report. University of Florida IFAS Extension. https://edis.ifas.ufl.edu/publication/FE1114</w:t>
            </w:r>
          </w:p>
        </w:tc>
      </w:tr>
      <w:tr>
        <w:tc>
          <w:tcPr>
            <w:tcW w:type="dxa" w:w="5040"/>
            <w:vAlign w:val="top"/>
          </w:tcPr>
          <w:p>
            <w:r>
              <w:rPr>
                <w:rFonts w:ascii="Arial" w:hAnsi="Arial"/>
                <w:sz w:val="19"/>
              </w:rPr>
              <w:t>Industria verde Texas</w:t>
            </w:r>
          </w:p>
        </w:tc>
        <w:tc>
          <w:tcPr>
            <w:tcW w:type="dxa" w:w="5040"/>
            <w:vAlign w:val="top"/>
          </w:tcPr>
          <w:p>
            <w:r>
              <w:rPr>
                <w:rFonts w:ascii="Arial" w:hAnsi="Arial"/>
                <w:sz w:val="19"/>
              </w:rPr>
              <w:t>Texas A&amp;M AgriLife Extension Service. (2026). Our Impact on Texas. https://agrilifeextension.tamu.edu/about-2/impact-on-texas/</w:t>
            </w:r>
          </w:p>
        </w:tc>
      </w:tr>
      <w:tr>
        <w:tc>
          <w:tcPr>
            <w:tcW w:type="dxa" w:w="5040"/>
            <w:vAlign w:val="top"/>
          </w:tcPr>
          <w:p>
            <w:r>
              <w:rPr>
                <w:rFonts w:ascii="Arial" w:hAnsi="Arial"/>
                <w:sz w:val="19"/>
              </w:rPr>
              <w:t>Texas sales tax</w:t>
            </w:r>
          </w:p>
        </w:tc>
        <w:tc>
          <w:tcPr>
            <w:tcW w:type="dxa" w:w="5040"/>
            <w:vAlign w:val="top"/>
          </w:tcPr>
          <w:p>
            <w:r>
              <w:rPr>
                <w:rFonts w:ascii="Arial" w:hAnsi="Arial"/>
                <w:sz w:val="19"/>
              </w:rPr>
              <w:t>Texas Comptroller of Public Accounts. (2026). Local Sales and Use Tax Collection: A Guide for Sellers. https://comptroller.texas.gov/taxes/publications/94-105.php</w:t>
            </w:r>
          </w:p>
        </w:tc>
      </w:tr>
      <w:tr>
        <w:tc>
          <w:tcPr>
            <w:tcW w:type="dxa" w:w="5040"/>
            <w:vAlign w:val="top"/>
          </w:tcPr>
          <w:p>
            <w:r>
              <w:rPr>
                <w:rFonts w:ascii="Arial" w:hAnsi="Arial"/>
                <w:sz w:val="19"/>
              </w:rPr>
              <w:t>Texas franchise tax</w:t>
            </w:r>
          </w:p>
        </w:tc>
        <w:tc>
          <w:tcPr>
            <w:tcW w:type="dxa" w:w="5040"/>
            <w:vAlign w:val="top"/>
          </w:tcPr>
          <w:p>
            <w:r>
              <w:rPr>
                <w:rFonts w:ascii="Arial" w:hAnsi="Arial"/>
                <w:sz w:val="19"/>
              </w:rPr>
              <w:t>Texas Comptroller of Public Accounts. (2026). Franchise Tax. https://comptroller.texas.gov/taxes/franchise/</w:t>
            </w:r>
          </w:p>
        </w:tc>
      </w:tr>
      <w:tr>
        <w:tc>
          <w:tcPr>
            <w:tcW w:type="dxa" w:w="5040"/>
            <w:vAlign w:val="top"/>
          </w:tcPr>
          <w:p>
            <w:r>
              <w:rPr>
                <w:rFonts w:ascii="Arial" w:hAnsi="Arial"/>
                <w:sz w:val="19"/>
              </w:rPr>
              <w:t>Florida sales tax</w:t>
            </w:r>
          </w:p>
        </w:tc>
        <w:tc>
          <w:tcPr>
            <w:tcW w:type="dxa" w:w="5040"/>
            <w:vAlign w:val="top"/>
          </w:tcPr>
          <w:p>
            <w:r>
              <w:rPr>
                <w:rFonts w:ascii="Arial" w:hAnsi="Arial"/>
                <w:sz w:val="19"/>
              </w:rPr>
              <w:t>Florida Department of Revenue. (2026). Florida Sales and Use Tax. https://floridarevenue.com/taxes/taxesfees/Pages/sales_tax.aspx</w:t>
            </w:r>
          </w:p>
        </w:tc>
      </w:tr>
      <w:tr>
        <w:tc>
          <w:tcPr>
            <w:tcW w:type="dxa" w:w="5040"/>
            <w:vAlign w:val="top"/>
          </w:tcPr>
          <w:p>
            <w:r>
              <w:rPr>
                <w:rFonts w:ascii="Arial" w:hAnsi="Arial"/>
                <w:sz w:val="19"/>
              </w:rPr>
              <w:t>Florida corporate income tax</w:t>
            </w:r>
          </w:p>
        </w:tc>
        <w:tc>
          <w:tcPr>
            <w:tcW w:type="dxa" w:w="5040"/>
            <w:vAlign w:val="top"/>
          </w:tcPr>
          <w:p>
            <w:r>
              <w:rPr>
                <w:rFonts w:ascii="Arial" w:hAnsi="Arial"/>
                <w:sz w:val="19"/>
              </w:rPr>
              <w:t>Florida Department of Revenue. (2026). Corporate Income Tax. https://floridarevenue.com/taxes/taxesfees/Pages/corporate.aspx</w:t>
            </w:r>
          </w:p>
        </w:tc>
      </w:tr>
    </w:tbl>
    <w:p>
      <w:pPr>
        <w:pStyle w:val="Heading1"/>
      </w:pPr>
      <w:r>
        <w:t>Prompt mejorado para enviar a Codex</w:t>
      </w:r>
    </w:p>
    <w:p>
      <w:r>
        <w:t>Actúa como desarrollador frontend senior y diseñador de visualización de datos. Necesito que construyas una sección nueva dentro de la página web del proyecto UMO para presentar el “Análisis macroeconómico comparativo: Texas vs Florida”.</w:t>
        <w:br/>
        <w:br/>
        <w:t>Voy a subir un archivo Excel con los datos. Usa ese Excel como fuente principal para construir los gráficos directamente en la página. No pegues capturas ni imágenes estáticas de los gráficos: reconstruye las visualizaciones como componentes web responsivos, editables y claros. Si el proyecto usa React/Next.js, usa el stack existente del proyecto y una librería de gráficos compatible, por ejemplo Recharts, Chart.js o la que ya esté instalada.</w:t>
        <w:br/>
        <w:br/>
        <w:t>Contexto del trabajo:</w:t>
        <w:br/>
        <w:t>La empresa UMO está evaluando su potencial de internacionalización hacia Estados Unidos, específicamente hacia los estados de Texas y Florida, para vender sillines/cojines/asientos para tractores, podadoras y maquinaria similar. La sección debe comparar ambos estados con indicadores macroeconómicos y sectoriales. No quiero que se presente como si un estado eliminara al otro: quiero que Texas y Florida se vean como mercados atractivos, pero con roles estratégicos distintos.</w:t>
        <w:br/>
        <w:br/>
        <w:t>Indicadores que deben aparecer:</w:t>
        <w:br/>
        <w:t>1. Inflación regional y estabilidad de precios.</w:t>
        <w:br/>
        <w:t>2. Ingreso per cápita y poder adquisitivo del mercado.</w:t>
        <w:br/>
        <w:t>3. Tasa de desempleo y estabilidad laboral.</w:t>
        <w:br/>
        <w:t>4. Valor de la producción agrícola.</w:t>
        <w:br/>
        <w:t>5. Valor de la industria turfgrass y césped profesional.</w:t>
        <w:br/>
        <w:t>6. Contexto fiscal estatal e impuestos aplicables.</w:t>
        <w:br/>
        <w:br/>
        <w:t>Importante:</w:t>
        <w:br/>
        <w:t>No elimines ningún indicador original. El indicador de desempleo se añade como sexto indicador, pero debe relacionarse mucho con el ingreso per cápita. Quiero que se entienda que el poder adquisitivo no depende solo del ingreso, sino también de la estabilidad laboral. En la página puedes mostrarlos como tarjetas separadas, pero en el análisis y en el diseño deben estar conectados visualmente.</w:t>
        <w:br/>
        <w:br/>
        <w:t>Estructura visual que quiero:</w:t>
        <w:br/>
        <w:t>- Crear una sección dentro de la tarjeta/página del trabajo, no una página suelta desconectada.</w:t>
        <w:br/>
        <w:t>- Encabezado fuerte: “Análisis macroeconómico comparativo: Texas vs Florida”.</w:t>
        <w:br/>
        <w:t>- Subtítulo breve explicando que se comparan seis indicadores para evaluar la viabilidad de entrada de UMO.</w:t>
        <w:br/>
        <w:t>- Una tarjeta resumen al inicio con:</w:t>
        <w:br/>
        <w:t xml:space="preserve">  - Estado recomendado como mercado principal: Texas.</w:t>
        <w:br/>
        <w:t xml:space="preserve">  - Estado recomendado como mercado complementario/premium: Florida.</w:t>
        <w:br/>
        <w:t xml:space="preserve">  - Promedio de calificación de cada estado.</w:t>
        <w:br/>
        <w:t xml:space="preserve">  - Mensaje estratégico corto para cada uno.</w:t>
        <w:br/>
        <w:t>- Luego crear seis tarjetas, una por indicador.</w:t>
        <w:br/>
        <w:t>- Cada tarjeta debe incluir:</w:t>
        <w:br/>
        <w:t xml:space="preserve">  - Título del indicador.</w:t>
        <w:br/>
        <w:t xml:space="preserve">  - Gráfico comparativo Texas vs Florida generado desde el Excel.</w:t>
        <w:br/>
        <w:t xml:space="preserve">  - Mini tabla con los valores relevantes de los últimos cinco años.</w:t>
        <w:br/>
        <w:t xml:space="preserve">  - Texto analítico corto y fácil de exponer.</w:t>
        <w:br/>
        <w:t xml:space="preserve">  - Calificación de 1 a 5 para Texas y Florida.</w:t>
        <w:br/>
        <w:t xml:space="preserve">  - Una sección interna llamada “Fuentes” con links visibles y referencia APA sencilla.</w:t>
        <w:br/>
        <w:t>- Al final, crear una tabla/matriz resumen con todos los indicadores, puntajes por estado, ganador relativo y lectura estratégica.</w:t>
        <w:br/>
        <w:t>- Cerrar con una conclusión visual que no excluya a ninguno:</w:t>
        <w:br/>
        <w:t xml:space="preserve">  - Texas = escala productiva, agricultura, tamaño económico y expansión.</w:t>
        <w:br/>
        <w:t xml:space="preserve">  - Florida = mercado verde, césped profesional, jardinería, mantenimiento residencial y oportunidad premium.</w:t>
        <w:br/>
        <w:br/>
        <w:t>Estilo visual:</w:t>
        <w:br/>
        <w:t>- Diseño profesional, académico y moderno.</w:t>
        <w:br/>
        <w:t>- Que se vea como una sección lista para presentar a profesor y empresario.</w:t>
        <w:br/>
        <w:t>- No sobrecargar con texto.</w:t>
        <w:br/>
        <w:t>- Usar cards, badges, colores diferenciados para Texas y Florida, gráficos limpios y una jerarquía visual clara.</w:t>
        <w:br/>
        <w:t>- Los gráficos deben ser fáciles de leer en desktop y móvil.</w:t>
        <w:br/>
        <w:t>- Debe haber buen espaciado, títulos claros y textos de máximo 150 palabras por indicador.</w:t>
        <w:br/>
        <w:t>- La sección debe verse integrada al diseño actual de la página web de UMO.</w:t>
        <w:br/>
        <w:br/>
        <w:t>Cuidado con estas correcciones:</w:t>
        <w:br/>
        <w:t>- No digas simplemente que Texas tiene 0% de impuesto corporativo. Corrige eso así: Texas no tiene impuesto corporativo tradicional, pero sí puede aplicar franchise tax según ingresos y tipo de entidad.</w:t>
        <w:br/>
        <w:t>- Florida tiene sales tax estatal general de 6%.</w:t>
        <w:br/>
        <w:t>- Texas tiene sales tax estatal de 6.25%, con posibles impuestos locales adicionales.</w:t>
        <w:br/>
        <w:t>- El indicador fiscal debe presentarse como contexto de operación, no como indicador de comercio exterior.</w:t>
        <w:br/>
        <w:t>- Las fuentes deben ser visibles en la página. En cada tarjeta debe haber una pequeña zona de “Fuentes” con links, y al final una sección de “Referencias APA”.</w:t>
        <w:br/>
        <w:t>- Si hay diferencias entre los datos del Excel y los textos del documento, prioriza el Excel para los gráficos y ajusta el texto manteniendo la lógica estratégica.</w:t>
        <w:br/>
        <w:br/>
        <w:t>Textos base para análisis:</w:t>
        <w:br/>
        <w:t>Usa los textos del documento como base, pero puedes resumirlos y adaptarlos para que se lean bien en la web. Mantén el tono claro, académico y fácil de exponer.</w:t>
        <w:br/>
        <w:br/>
        <w:t>Resultado esperado:</w:t>
        <w:br/>
        <w:t>Una sección web completa, responsiva y visualmente atractiva, con gráficos generados desde el Excel, análisis por indicador, fuentes APA sencillas, tabla final de calificación y conclusión estratégica para UMO.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