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CEB" w:rsidRDefault="00337E06">
      <w:pPr>
        <w:rPr>
          <w:rFonts w:hint="eastAsia"/>
        </w:rPr>
      </w:pPr>
      <w:r>
        <w:rPr>
          <w:rFonts w:hint="eastAsia"/>
          <w:lang w:eastAsia="zh-HK"/>
        </w:rPr>
        <w:t>你好</w:t>
      </w:r>
    </w:p>
    <w:p w:rsidR="00337E06" w:rsidRPr="00C80873" w:rsidRDefault="00337E06" w:rsidP="00337E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80873">
        <w:rPr>
          <w:rFonts w:ascii="新細明體" w:eastAsia="新細明體" w:hAnsi="新細明體" w:cs="新細明體"/>
          <w:kern w:val="0"/>
          <w:szCs w:val="24"/>
        </w:rPr>
        <w:t>臺肥（台灣肥料公司）的複合肥料常以號碼區分，這些號碼通常代表了肥料中**氮（N）、磷（P2</w:t>
      </w:r>
      <w:r w:rsidRPr="00C80873">
        <w:rPr>
          <w:rFonts w:ascii="MS Mincho" w:eastAsia="MS Mincho" w:hAnsi="MS Mincho" w:cs="MS Mincho" w:hint="eastAsia"/>
          <w:kern w:val="0"/>
          <w:szCs w:val="24"/>
        </w:rPr>
        <w:t>​</w:t>
      </w:r>
      <w:r w:rsidRPr="00C80873">
        <w:rPr>
          <w:rFonts w:ascii="新細明體" w:eastAsia="新細明體" w:hAnsi="新細明體" w:cs="新細明體"/>
          <w:kern w:val="0"/>
          <w:szCs w:val="24"/>
        </w:rPr>
        <w:t>O5</w:t>
      </w:r>
      <w:r w:rsidRPr="00C80873">
        <w:rPr>
          <w:rFonts w:ascii="MS Mincho" w:eastAsia="MS Mincho" w:hAnsi="MS Mincho" w:cs="MS Mincho" w:hint="eastAsia"/>
          <w:kern w:val="0"/>
          <w:szCs w:val="24"/>
        </w:rPr>
        <w:t>​</w:t>
      </w:r>
      <w:r w:rsidRPr="00C80873">
        <w:rPr>
          <w:rFonts w:ascii="新細明體" w:eastAsia="新細明體" w:hAnsi="新細明體" w:cs="新細明體"/>
          <w:kern w:val="0"/>
          <w:szCs w:val="24"/>
        </w:rPr>
        <w:t>）、鉀（K2</w:t>
      </w:r>
      <w:r w:rsidRPr="00C80873">
        <w:rPr>
          <w:rFonts w:ascii="MS Mincho" w:eastAsia="MS Mincho" w:hAnsi="MS Mincho" w:cs="MS Mincho" w:hint="eastAsia"/>
          <w:kern w:val="0"/>
          <w:szCs w:val="24"/>
        </w:rPr>
        <w:t>​</w:t>
      </w:r>
      <w:r w:rsidRPr="00C80873">
        <w:rPr>
          <w:rFonts w:ascii="新細明體" w:eastAsia="新細明體" w:hAnsi="新細明體" w:cs="新細明體"/>
          <w:kern w:val="0"/>
          <w:szCs w:val="24"/>
        </w:rPr>
        <w:t>O）**三要素的比例（%）。</w:t>
      </w:r>
    </w:p>
    <w:p w:rsidR="00337E06" w:rsidRPr="00C80873" w:rsidRDefault="00337E06" w:rsidP="00337E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80873">
        <w:rPr>
          <w:rFonts w:ascii="新細明體" w:eastAsia="新細明體" w:hAnsi="新細明體" w:cs="新細明體"/>
          <w:kern w:val="0"/>
          <w:szCs w:val="24"/>
        </w:rPr>
        <w:t>由於臺肥複合肥料的種類和配方可能更新，以下是根據常見配方說明：</w:t>
      </w:r>
    </w:p>
    <w:p w:rsidR="00337E06" w:rsidRPr="00C80873" w:rsidRDefault="00337E06" w:rsidP="00337E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8087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臺肥43號和1號肥的區別 (以常見配方為例)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9"/>
        <w:gridCol w:w="779"/>
        <w:gridCol w:w="779"/>
        <w:gridCol w:w="780"/>
        <w:gridCol w:w="3296"/>
        <w:gridCol w:w="2183"/>
      </w:tblGrid>
      <w:tr w:rsidR="00337E06" w:rsidRPr="00C80873" w:rsidTr="00597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肥料名稱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氮（N）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磷（P2</w:t>
            </w:r>
            <w:r w:rsidRPr="00C80873">
              <w:rPr>
                <w:rFonts w:ascii="MS Mincho" w:eastAsia="MS Mincho" w:hAnsi="MS Mincho" w:cs="MS Mincho"/>
                <w:kern w:val="0"/>
                <w:szCs w:val="24"/>
              </w:rPr>
              <w:t>​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O5</w:t>
            </w:r>
            <w:r w:rsidRPr="00C80873">
              <w:rPr>
                <w:rFonts w:ascii="MS Mincho" w:eastAsia="MS Mincho" w:hAnsi="MS Mincho" w:cs="MS Mincho"/>
                <w:kern w:val="0"/>
                <w:szCs w:val="24"/>
              </w:rPr>
              <w:t>​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鉀（K2</w:t>
            </w:r>
            <w:r w:rsidRPr="00C80873">
              <w:rPr>
                <w:rFonts w:ascii="MS Mincho" w:eastAsia="MS Mincho" w:hAnsi="MS Mincho" w:cs="MS Mincho"/>
                <w:kern w:val="0"/>
                <w:szCs w:val="24"/>
              </w:rPr>
              <w:t>​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O）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適用時期/目的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主要特點</w:t>
            </w:r>
          </w:p>
        </w:tc>
      </w:tr>
      <w:tr w:rsidR="00337E06" w:rsidRPr="00C80873" w:rsidTr="0059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臺肥43號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普遍適用於</w:t>
            </w: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生長期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著果期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、或</w:t>
            </w: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結果中後期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，提供均衡營養。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三要素</w:t>
            </w: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比例均衡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(1:1:1)，適用性廣。</w:t>
            </w:r>
          </w:p>
        </w:tc>
      </w:tr>
      <w:tr w:rsidR="00337E06" w:rsidRPr="00C80873" w:rsidTr="0059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臺肥1號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常用於</w:t>
            </w: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生長初期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（如春梢期）、</w:t>
            </w: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幼年樹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或</w:t>
            </w: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樹勢衰弱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時，需較多氮素促進枝葉生長。</w:t>
            </w:r>
          </w:p>
        </w:tc>
        <w:tc>
          <w:tcPr>
            <w:tcW w:w="0" w:type="auto"/>
            <w:vAlign w:val="center"/>
            <w:hideMark/>
          </w:tcPr>
          <w:p w:rsidR="00337E06" w:rsidRPr="00C80873" w:rsidRDefault="00337E06" w:rsidP="0059754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高氮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低磷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、中鉀，著重於</w:t>
            </w:r>
            <w:r w:rsidRPr="00C8087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葉片與枝條生長</w:t>
            </w:r>
            <w:r w:rsidRPr="00C80873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</w:tbl>
    <w:p w:rsidR="00337E06" w:rsidRPr="00C80873" w:rsidRDefault="00337E06" w:rsidP="00337E0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C80873">
        <w:rPr>
          <w:rFonts w:ascii="新細明體" w:eastAsia="新細明體" w:hAnsi="新細明體" w:cs="新細明體"/>
          <w:kern w:val="0"/>
          <w:szCs w:val="24"/>
        </w:rPr>
        <w:t>匯出到試算表</w:t>
      </w:r>
    </w:p>
    <w:p w:rsidR="00337E06" w:rsidRPr="00C80873" w:rsidRDefault="00337E06" w:rsidP="00337E0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80873">
        <w:rPr>
          <w:rFonts w:ascii="新細明體" w:eastAsia="新細明體" w:hAnsi="新細明體" w:cs="新細明體"/>
          <w:b/>
          <w:bCs/>
          <w:kern w:val="0"/>
          <w:szCs w:val="24"/>
        </w:rPr>
        <w:t>請注意</w:t>
      </w:r>
      <w:r w:rsidRPr="00C80873">
        <w:rPr>
          <w:rFonts w:ascii="新細明體" w:eastAsia="新細明體" w:hAnsi="新細明體" w:cs="新細明體"/>
          <w:kern w:val="0"/>
          <w:szCs w:val="24"/>
        </w:rPr>
        <w:t>：實際使用前，</w:t>
      </w:r>
      <w:r w:rsidRPr="00C80873">
        <w:rPr>
          <w:rFonts w:ascii="新細明體" w:eastAsia="新細明體" w:hAnsi="新細明體" w:cs="新細明體"/>
          <w:b/>
          <w:bCs/>
          <w:kern w:val="0"/>
          <w:szCs w:val="24"/>
        </w:rPr>
        <w:t>務必</w:t>
      </w:r>
      <w:r w:rsidRPr="00C80873">
        <w:rPr>
          <w:rFonts w:ascii="新細明體" w:eastAsia="新細明體" w:hAnsi="新細明體" w:cs="新細明體"/>
          <w:kern w:val="0"/>
          <w:szCs w:val="24"/>
        </w:rPr>
        <w:t>查閱當前臺肥官方提供的包裝標示，確認其精確的N-P-K百分比。</w:t>
      </w:r>
    </w:p>
    <w:p w:rsidR="00337E06" w:rsidRPr="00C80873" w:rsidRDefault="00337E06" w:rsidP="00337E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8087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弱勢文旦樹（弱樹）施肥建議</w:t>
      </w:r>
    </w:p>
    <w:p w:rsidR="00337E06" w:rsidRPr="00337E06" w:rsidRDefault="00337E06"/>
    <w:sectPr w:rsidR="00337E06" w:rsidRPr="00337E06" w:rsidSect="00771C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D41FE"/>
    <w:multiLevelType w:val="multilevel"/>
    <w:tmpl w:val="629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37E06"/>
    <w:rsid w:val="00337E06"/>
    <w:rsid w:val="00771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CE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鴨比</dc:creator>
  <cp:lastModifiedBy>鴨比</cp:lastModifiedBy>
  <cp:revision>1</cp:revision>
  <dcterms:created xsi:type="dcterms:W3CDTF">2026-01-08T01:46:00Z</dcterms:created>
  <dcterms:modified xsi:type="dcterms:W3CDTF">2026-01-08T01:47:00Z</dcterms:modified>
</cp:coreProperties>
</file>