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Banco de 20 preguntas · rentabilidad</w:t>
      </w:r>
    </w:p>
    <w:p>
      <w:pPr>
        <w:pStyle w:val="sub"/>
      </w:pPr>
      <w:r>
        <w:t xml:space="preserve">ENCAPS / SERUMS 2026-II  ·  con solucionario razonado</w:t>
      </w:r>
    </w:p>
    <w:p>
      <w:pPr>
        <w:pStyle w:val="sub"/>
      </w:pPr>
      <w:r>
        <w:t xml:space="preserve">Ponderado por el pronóstico walk-forward v2: II 33 · I 28 · V 22 · III 13 · IV 4</w:t>
      </w:r>
    </w:p>
    <w:p>
      <w:pPr>
        <w:pStyle w:val="sub"/>
      </w:pPr>
      <w:r>
        <w:t xml:space="preserve">Generado el 05-ago-2026  ·  examen: domingo 09-ago-2026</w:t>
      </w:r>
    </w:p>
    <w:p>
      <w:pPr>
        <w:spacing w:after="200"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1400"/>
        <w:gridCol w:w="1400"/>
        <w:gridCol w:w="1600"/>
        <w:gridCol w:w="5000"/>
      </w:tblGrid>
      <w:tr>
        <w:trPr>
          <w:tblHeader/>
        </w:trPr>
        <w:tc>
          <w:tcPr>
            <w:tcW w:type="dxa" w:w="2000"/>
            <w:tcBorders>
              <w:top w:val="single" w:color="BFBFBF" w:sz="1"/>
              <w:left w:val="single" w:color="BFBFBF" w:sz="1"/>
              <w:bottom w:val="single" w:color="BFBFBF" w:sz="1"/>
              <w:right w:val="single" w:color="BFBFBF" w:sz="1"/>
            </w:tcBorders>
            <w:shd w:fill="F2F2F2" w:val="clear"/>
          </w:tcPr>
          <w:p>
            <w:r>
              <w:rPr>
                <w:b/>
                <w:bCs/>
                <w:sz w:val="17"/>
                <w:szCs w:val="17"/>
              </w:rPr>
              <w:t xml:space="preserve">Área</w:t>
            </w:r>
          </w:p>
        </w:tc>
        <w:tc>
          <w:tcPr>
            <w:tcW w:type="dxa" w:w="2000"/>
            <w:tcBorders>
              <w:top w:val="single" w:color="BFBFBF" w:sz="1"/>
              <w:left w:val="single" w:color="BFBFBF" w:sz="1"/>
              <w:bottom w:val="single" w:color="BFBFBF" w:sz="1"/>
              <w:right w:val="single" w:color="BFBFBF" w:sz="1"/>
            </w:tcBorders>
            <w:shd w:fill="F2F2F2" w:val="clear"/>
          </w:tcPr>
          <w:p>
            <w:r>
              <w:rPr>
                <w:b/>
                <w:bCs/>
                <w:sz w:val="17"/>
                <w:szCs w:val="17"/>
              </w:rPr>
              <w:t xml:space="preserve">En el banco</w:t>
            </w:r>
          </w:p>
        </w:tc>
        <w:tc>
          <w:tcPr>
            <w:tcW w:type="dxa" w:w="2000"/>
            <w:tcBorders>
              <w:top w:val="single" w:color="BFBFBF" w:sz="1"/>
              <w:left w:val="single" w:color="BFBFBF" w:sz="1"/>
              <w:bottom w:val="single" w:color="BFBFBF" w:sz="1"/>
              <w:right w:val="single" w:color="BFBFBF" w:sz="1"/>
            </w:tcBorders>
            <w:shd w:fill="F2F2F2" w:val="clear"/>
          </w:tcPr>
          <w:p>
            <w:r>
              <w:rPr>
                <w:b/>
                <w:bCs/>
                <w:sz w:val="17"/>
                <w:szCs w:val="17"/>
              </w:rPr>
              <w:t xml:space="preserve">Pronóstico</w:t>
            </w:r>
          </w:p>
        </w:tc>
        <w:tc>
          <w:tcPr>
            <w:tcW w:type="dxa" w:w="2000"/>
            <w:tcBorders>
              <w:top w:val="single" w:color="BFBFBF" w:sz="1"/>
              <w:left w:val="single" w:color="BFBFBF" w:sz="1"/>
              <w:bottom w:val="single" w:color="BFBFBF" w:sz="1"/>
              <w:right w:val="single" w:color="BFBFBF" w:sz="1"/>
            </w:tcBorders>
            <w:shd w:fill="F2F2F2" w:val="clear"/>
          </w:tcPr>
          <w:p>
            <w:r>
              <w:rPr>
                <w:b/>
                <w:bCs/>
                <w:sz w:val="17"/>
                <w:szCs w:val="17"/>
              </w:rPr>
              <w:t xml:space="preserve">Temas incluidos</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II — Cuidado Integral</w:t>
            </w:r>
          </w:p>
        </w:tc>
        <w:tc>
          <w:tcPr>
            <w:tcW w:type="dxa" w:w="2000"/>
            <w:tcBorders>
              <w:top w:val="single" w:color="BFBFBF" w:sz="1"/>
              <w:left w:val="single" w:color="BFBFBF" w:sz="1"/>
              <w:bottom w:val="single" w:color="BFBFBF" w:sz="1"/>
              <w:right w:val="single" w:color="BFBFBF" w:sz="1"/>
            </w:tcBorders>
          </w:tcPr>
          <w:p>
            <w:r>
              <w:rPr>
                <w:sz w:val="17"/>
                <w:szCs w:val="17"/>
              </w:rPr>
              <w:t xml:space="preserve">7 (35 %)</w:t>
            </w:r>
          </w:p>
        </w:tc>
        <w:tc>
          <w:tcPr>
            <w:tcW w:type="dxa" w:w="2000"/>
            <w:tcBorders>
              <w:top w:val="single" w:color="BFBFBF" w:sz="1"/>
              <w:left w:val="single" w:color="BFBFBF" w:sz="1"/>
              <w:bottom w:val="single" w:color="BFBFBF" w:sz="1"/>
              <w:right w:val="single" w:color="BFBFBF" w:sz="1"/>
            </w:tcBorders>
          </w:tcPr>
          <w:p>
            <w:r>
              <w:rPr>
                <w:sz w:val="17"/>
                <w:szCs w:val="17"/>
              </w:rPr>
              <w:t xml:space="preserve">33 %</w:t>
            </w:r>
          </w:p>
        </w:tc>
        <w:tc>
          <w:tcPr>
            <w:tcW w:type="dxa" w:w="2000"/>
            <w:tcBorders>
              <w:top w:val="single" w:color="BFBFBF" w:sz="1"/>
              <w:left w:val="single" w:color="BFBFBF" w:sz="1"/>
              <w:bottom w:val="single" w:color="BFBFBF" w:sz="1"/>
              <w:right w:val="single" w:color="BFBFBF" w:sz="1"/>
            </w:tcBorders>
          </w:tcPr>
          <w:p>
            <w:r>
              <w:rPr>
                <w:sz w:val="17"/>
                <w:szCs w:val="17"/>
              </w:rPr>
              <w:t xml:space="preserve">II-1 ×2, II-3 ×2, II-11 ×2, II-8 ×1</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I — Salud Pública</w:t>
            </w:r>
          </w:p>
        </w:tc>
        <w:tc>
          <w:tcPr>
            <w:tcW w:type="dxa" w:w="2000"/>
            <w:tcBorders>
              <w:top w:val="single" w:color="BFBFBF" w:sz="1"/>
              <w:left w:val="single" w:color="BFBFBF" w:sz="1"/>
              <w:bottom w:val="single" w:color="BFBFBF" w:sz="1"/>
              <w:right w:val="single" w:color="BFBFBF" w:sz="1"/>
            </w:tcBorders>
          </w:tcPr>
          <w:p>
            <w:r>
              <w:rPr>
                <w:sz w:val="17"/>
                <w:szCs w:val="17"/>
              </w:rPr>
              <w:t xml:space="preserve">5 (25 %)</w:t>
            </w:r>
          </w:p>
        </w:tc>
        <w:tc>
          <w:tcPr>
            <w:tcW w:type="dxa" w:w="2000"/>
            <w:tcBorders>
              <w:top w:val="single" w:color="BFBFBF" w:sz="1"/>
              <w:left w:val="single" w:color="BFBFBF" w:sz="1"/>
              <w:bottom w:val="single" w:color="BFBFBF" w:sz="1"/>
              <w:right w:val="single" w:color="BFBFBF" w:sz="1"/>
            </w:tcBorders>
          </w:tcPr>
          <w:p>
            <w:r>
              <w:rPr>
                <w:sz w:val="17"/>
                <w:szCs w:val="17"/>
              </w:rPr>
              <w:t xml:space="preserve">28 %</w:t>
            </w:r>
          </w:p>
        </w:tc>
        <w:tc>
          <w:tcPr>
            <w:tcW w:type="dxa" w:w="2000"/>
            <w:tcBorders>
              <w:top w:val="single" w:color="BFBFBF" w:sz="1"/>
              <w:left w:val="single" w:color="BFBFBF" w:sz="1"/>
              <w:bottom w:val="single" w:color="BFBFBF" w:sz="1"/>
              <w:right w:val="single" w:color="BFBFBF" w:sz="1"/>
            </w:tcBorders>
          </w:tcPr>
          <w:p>
            <w:r>
              <w:rPr>
                <w:sz w:val="17"/>
                <w:szCs w:val="17"/>
              </w:rPr>
              <w:t xml:space="preserve">I-3 ×3, I-5 ×1, I-1 ×1</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V — Gestión</w:t>
            </w:r>
          </w:p>
        </w:tc>
        <w:tc>
          <w:tcPr>
            <w:tcW w:type="dxa" w:w="2000"/>
            <w:tcBorders>
              <w:top w:val="single" w:color="BFBFBF" w:sz="1"/>
              <w:left w:val="single" w:color="BFBFBF" w:sz="1"/>
              <w:bottom w:val="single" w:color="BFBFBF" w:sz="1"/>
              <w:right w:val="single" w:color="BFBFBF" w:sz="1"/>
            </w:tcBorders>
          </w:tcPr>
          <w:p>
            <w:r>
              <w:rPr>
                <w:sz w:val="17"/>
                <w:szCs w:val="17"/>
              </w:rPr>
              <w:t xml:space="preserve">5 (25 %)</w:t>
            </w:r>
          </w:p>
        </w:tc>
        <w:tc>
          <w:tcPr>
            <w:tcW w:type="dxa" w:w="2000"/>
            <w:tcBorders>
              <w:top w:val="single" w:color="BFBFBF" w:sz="1"/>
              <w:left w:val="single" w:color="BFBFBF" w:sz="1"/>
              <w:bottom w:val="single" w:color="BFBFBF" w:sz="1"/>
              <w:right w:val="single" w:color="BFBFBF" w:sz="1"/>
            </w:tcBorders>
          </w:tcPr>
          <w:p>
            <w:r>
              <w:rPr>
                <w:sz w:val="17"/>
                <w:szCs w:val="17"/>
              </w:rPr>
              <w:t xml:space="preserve">22 %</w:t>
            </w:r>
          </w:p>
        </w:tc>
        <w:tc>
          <w:tcPr>
            <w:tcW w:type="dxa" w:w="2000"/>
            <w:tcBorders>
              <w:top w:val="single" w:color="BFBFBF" w:sz="1"/>
              <w:left w:val="single" w:color="BFBFBF" w:sz="1"/>
              <w:bottom w:val="single" w:color="BFBFBF" w:sz="1"/>
              <w:right w:val="single" w:color="BFBFBF" w:sz="1"/>
            </w:tcBorders>
          </w:tcPr>
          <w:p>
            <w:r>
              <w:rPr>
                <w:sz w:val="17"/>
                <w:szCs w:val="17"/>
              </w:rPr>
              <w:t xml:space="preserve">V-2 ×3, V-1 ×1, V-3 ×1</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III — Ética / Intercultural</w:t>
            </w:r>
          </w:p>
        </w:tc>
        <w:tc>
          <w:tcPr>
            <w:tcW w:type="dxa" w:w="2000"/>
            <w:tcBorders>
              <w:top w:val="single" w:color="BFBFBF" w:sz="1"/>
              <w:left w:val="single" w:color="BFBFBF" w:sz="1"/>
              <w:bottom w:val="single" w:color="BFBFBF" w:sz="1"/>
              <w:right w:val="single" w:color="BFBFBF" w:sz="1"/>
            </w:tcBorders>
          </w:tcPr>
          <w:p>
            <w:r>
              <w:rPr>
                <w:sz w:val="17"/>
                <w:szCs w:val="17"/>
              </w:rPr>
              <w:t xml:space="preserve">3 (15 %)</w:t>
            </w:r>
          </w:p>
        </w:tc>
        <w:tc>
          <w:tcPr>
            <w:tcW w:type="dxa" w:w="2000"/>
            <w:tcBorders>
              <w:top w:val="single" w:color="BFBFBF" w:sz="1"/>
              <w:left w:val="single" w:color="BFBFBF" w:sz="1"/>
              <w:bottom w:val="single" w:color="BFBFBF" w:sz="1"/>
              <w:right w:val="single" w:color="BFBFBF" w:sz="1"/>
            </w:tcBorders>
          </w:tcPr>
          <w:p>
            <w:r>
              <w:rPr>
                <w:sz w:val="17"/>
                <w:szCs w:val="17"/>
              </w:rPr>
              <w:t xml:space="preserve">13 %</w:t>
            </w:r>
          </w:p>
        </w:tc>
        <w:tc>
          <w:tcPr>
            <w:tcW w:type="dxa" w:w="2000"/>
            <w:tcBorders>
              <w:top w:val="single" w:color="BFBFBF" w:sz="1"/>
              <w:left w:val="single" w:color="BFBFBF" w:sz="1"/>
              <w:bottom w:val="single" w:color="BFBFBF" w:sz="1"/>
              <w:right w:val="single" w:color="BFBFBF" w:sz="1"/>
            </w:tcBorders>
          </w:tcPr>
          <w:p>
            <w:r>
              <w:rPr>
                <w:sz w:val="17"/>
                <w:szCs w:val="17"/>
              </w:rPr>
              <w:t xml:space="preserve">III-5 ×2, III-8 ×1</w:t>
            </w:r>
          </w:p>
        </w:tc>
      </w:tr>
      <w:tr>
        <w:tc>
          <w:tcPr>
            <w:tcW w:type="dxa" w:w="2000"/>
            <w:tcBorders>
              <w:top w:val="single" w:color="BFBFBF" w:sz="1"/>
              <w:left w:val="single" w:color="BFBFBF" w:sz="1"/>
              <w:bottom w:val="single" w:color="BFBFBF" w:sz="1"/>
              <w:right w:val="single" w:color="BFBFBF" w:sz="1"/>
            </w:tcBorders>
          </w:tcPr>
          <w:p>
            <w:r>
              <w:rPr>
                <w:sz w:val="17"/>
                <w:szCs w:val="17"/>
              </w:rPr>
              <w:t xml:space="preserve">IV — Investigación</w:t>
            </w:r>
          </w:p>
        </w:tc>
        <w:tc>
          <w:tcPr>
            <w:tcW w:type="dxa" w:w="2000"/>
            <w:tcBorders>
              <w:top w:val="single" w:color="BFBFBF" w:sz="1"/>
              <w:left w:val="single" w:color="BFBFBF" w:sz="1"/>
              <w:bottom w:val="single" w:color="BFBFBF" w:sz="1"/>
              <w:right w:val="single" w:color="BFBFBF" w:sz="1"/>
            </w:tcBorders>
          </w:tcPr>
          <w:p>
            <w:r>
              <w:rPr>
                <w:sz w:val="17"/>
                <w:szCs w:val="17"/>
              </w:rPr>
              <w:t xml:space="preserve">0</w:t>
            </w:r>
          </w:p>
        </w:tc>
        <w:tc>
          <w:tcPr>
            <w:tcW w:type="dxa" w:w="2000"/>
            <w:tcBorders>
              <w:top w:val="single" w:color="BFBFBF" w:sz="1"/>
              <w:left w:val="single" w:color="BFBFBF" w:sz="1"/>
              <w:bottom w:val="single" w:color="BFBFBF" w:sz="1"/>
              <w:right w:val="single" w:color="BFBFBF" w:sz="1"/>
            </w:tcBorders>
          </w:tcPr>
          <w:p>
            <w:r>
              <w:rPr>
                <w:sz w:val="17"/>
                <w:szCs w:val="17"/>
              </w:rPr>
              <w:t xml:space="preserve">4 %</w:t>
            </w:r>
          </w:p>
        </w:tc>
        <w:tc>
          <w:tcPr>
            <w:tcW w:type="dxa" w:w="2000"/>
            <w:tcBorders>
              <w:top w:val="single" w:color="BFBFBF" w:sz="1"/>
              <w:left w:val="single" w:color="BFBFBF" w:sz="1"/>
              <w:bottom w:val="single" w:color="BFBFBF" w:sz="1"/>
              <w:right w:val="single" w:color="BFBFBF" w:sz="1"/>
            </w:tcBorders>
          </w:tcPr>
          <w:p>
            <w:r>
              <w:rPr>
                <w:sz w:val="17"/>
                <w:szCs w:val="17"/>
              </w:rPr>
              <w:t xml:space="preserve">0,8 redondea a 0 — coherente con el plan</w:t>
            </w:r>
          </w:p>
        </w:tc>
      </w:tr>
    </w:tbl>
    <w:p>
      <w:pPr>
        <w:pStyle w:val="h4"/>
      </w:pPr>
      <w:r>
        <w:t xml:space="preserve">Cómo resolverlo</w:t>
      </w:r>
    </w:p>
    <w:p>
      <w:pPr>
        <w:pStyle w:val="sm"/>
      </w:pPr>
      <w:r>
        <w:t xml:space="preserve">A ciegas y de corrido, sin consultar nada. 4 alternativas, clave única. Anotá tu letra y tu nivel de confianza (segura / dudosa / adivinada) antes de mirar el solucionario: el porcentaje que vale es el de las seguras. Meta: 17 / 20.</w:t>
      </w:r>
    </w:p>
    <w:p>
      <w:pPr>
        <w:pStyle w:val="sm"/>
      </w:pPr>
      <w:r>
        <w:t xml:space="preserve">Cada clave está anclada a un ángulo que ya cayó en examen real o a normativa citada con número y año.</w:t>
      </w:r>
    </w:p>
    <w:p>
      <w:r>
        <w:br w:type="page"/>
      </w:r>
    </w:p>
    <w:p>
      <w:pPr>
        <w:pStyle w:val="tag"/>
      </w:pPr>
      <w:r>
        <w:t xml:space="preserve">I-3 · Investigación de brote · 12 pts · crítico n.º 1</w:t>
      </w:r>
    </w:p>
    <w:p>
      <w:pPr>
        <w:pStyle w:val="enun"/>
      </w:pPr>
      <w:r>
        <w:rPr>
          <w:b/>
          <w:bCs/>
        </w:rPr>
        <w:t xml:space="preserve">1. </w:t>
      </w:r>
      <w:r>
        <w:t xml:space="preserve">En Huamanguilla (Ayacucho), un P.S. I-2 recibe en 4 días a 9 escolares de la misma institución educativa con fiebre e ictericia. El serumista comunica a la microrred y se dispone investigar. ¿Cuál es la PRIMERA etapa de la investigación?</w:t>
      </w:r>
    </w:p>
    <w:p>
      <w:pPr>
        <w:pStyle w:val="opt"/>
      </w:pPr>
      <w:r>
        <w:rPr>
          <w:b w:val="false"/>
          <w:bCs w:val="false"/>
        </w:rPr>
        <w:t xml:space="preserve">A)  Intervención y control del brote</w:t>
      </w:r>
    </w:p>
    <w:p>
      <w:pPr>
        <w:pStyle w:val="opt"/>
      </w:pPr>
      <w:r>
        <w:rPr>
          <w:b/>
          <w:bCs/>
        </w:rPr>
        <w:t xml:space="preserve">B)  Investigación preliminar: verificar el diagnóstico y confirmar la existencia del brote</w:t>
      </w:r>
    </w:p>
    <w:p>
      <w:pPr>
        <w:pStyle w:val="opt"/>
      </w:pPr>
      <w:r>
        <w:rPr>
          <w:b w:val="false"/>
          <w:bCs w:val="false"/>
        </w:rPr>
        <w:t xml:space="preserve">C)  Formular la hipótesis sobre la fuente de infección</w:t>
      </w:r>
    </w:p>
    <w:p>
      <w:pPr>
        <w:pStyle w:val="opt"/>
      </w:pPr>
      <w:r>
        <w:rPr>
          <w:b w:val="false"/>
          <w:bCs w:val="false"/>
        </w:rPr>
        <w:t xml:space="preserve">D)  Elaborar la curva epidémica</w:t>
      </w:r>
    </w:p>
    <w:p>
      <w:pPr>
        <w:pStyle w:val="h4"/>
      </w:pPr>
      <w:r>
        <w:t xml:space="preserve">Clave: B</w:t>
      </w:r>
    </w:p>
    <w:p>
      <w:pPr>
        <w:pStyle w:val="sm"/>
      </w:pPr>
      <w:r>
        <w:rPr>
          <w:b/>
          <w:bCs/>
        </w:rPr>
        <w:t xml:space="preserve">Por qué. </w:t>
      </w:r>
      <w:r>
        <w:t xml:space="preserve">Antes de actuar hay que saber si el problema es real. Si el diagnóstico está mal o los casos no son lo que parecen, toda intervención posterior se dirige al blanco equivocado y se gasta el recurso del EESS (Establecimiento de Salud) en una falsa alarma. Por eso el primer paso siempre es confirmar el diagnóstico y verificar que existe un exceso sobre lo esperado.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Intervención y control</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el paso final, no el primero. Intervenir sin diagnóstico confirmado puede ser inútil o dañino.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Cuando ya se identificó la fuente y el mecanismo de transmisión.</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Investigación preliminar</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Confirma que los casos son la misma enfermedad y que hay más de lo esperado.</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es el arranque obligatorio.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Formular hipótesis</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Va después de describir en tiempo, lugar y persona. No se hipotetiza sobre casos no confirmados.</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Tras tener la descripción epidemiológica completa.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Curva epidémica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una herramienta de la fase descriptiva, posterior a la confirmación.</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Cuando ya hay casos confirmados y fechas de inicio de síntomas.</w:t>
            </w:r>
          </w:p>
        </w:tc>
      </w:tr>
    </w:tbl>
    <w:p>
      <w:pPr>
        <w:pStyle w:val="sm"/>
        <w:spacing w:before="100"/>
      </w:pPr>
      <w:r>
        <w:rPr>
          <w:b/>
          <w:bCs/>
        </w:rPr>
        <w:t xml:space="preserve">Dato a fijar. </w:t>
      </w:r>
      <w:r>
        <w:t xml:space="preserve">Los pasos, en escalera: 1) confirmar diagnóstico → 2) confirmar existencia del brote → 3) definir caso y buscar casos adicionales → 4) describir en tiempo/lugar/persona (aquí entra la curva epidémica) → 5) hipótesis → 6) evaluar la hipótesis → 7) medidas de control → 8) comunicar.</w:t>
      </w:r>
    </w:p>
    <w:p>
      <w:pPr>
        <w:pStyle w:val="sm"/>
      </w:pPr>
      <w:r>
        <w:rPr>
          <w:b/>
          <w:bCs/>
        </w:rPr>
        <w:t xml:space="preserve">Gatillo. </w:t>
      </w:r>
      <w:r>
        <w:t xml:space="preserve">Si la pregunta dice «¿qué hace PRIMERO / cuál es la etapa inicial?» ante casos agrupados → confirmar y verificar. Nunca «intervenir».</w:t>
      </w:r>
    </w:p>
    <w:p>
      <w:pPr>
        <w:pStyle w:val="sm"/>
      </w:pPr>
      <w:r>
        <w:rPr>
          <w:b/>
          <w:bCs/>
        </w:rPr>
        <w:t xml:space="preserve">Trampa. </w:t>
      </w:r>
      <w:r>
        <w:t xml:space="preserve">«Intervención del brote» suena a acción decidida y por eso se marca. El examen premia al que no se apura.</w:t>
      </w:r>
    </w:p>
    <w:p>
      <w:pPr>
        <w:pStyle w:val="src"/>
      </w:pPr>
      <w:r>
        <w:t xml:space="preserve">Fuente: MOPECE 5 (OPS) · Dir. Adm. 341-MINSA/CDC-2023, 5.1.a (definición de brote). Molde real: 2025-2 Q22.</w:t>
      </w:r>
    </w:p>
    <w:p>
      <w:pPr>
        <w:pStyle w:val="tag"/>
      </w:pPr>
      <w:r>
        <w:t xml:space="preserve">I-3 · Cadena epidemiológica · 12 pts · crítico n.º 1</w:t>
      </w:r>
    </w:p>
    <w:p>
      <w:pPr>
        <w:pStyle w:val="enun"/>
      </w:pPr>
      <w:r>
        <w:rPr>
          <w:b/>
          <w:bCs/>
        </w:rPr>
        <w:t xml:space="preserve">2. </w:t>
      </w:r>
      <w:r>
        <w:t xml:space="preserve">En una comunidad de Lamas (San Martín), un niño con tos ferina tose y las gotitas quedan suspendidas en el aire; su hermano las inhala y enferma. Las gotitas suspendidas en el aire corresponden al eslabón:</w:t>
      </w:r>
    </w:p>
    <w:p>
      <w:pPr>
        <w:pStyle w:val="opt"/>
      </w:pPr>
      <w:r>
        <w:rPr>
          <w:b w:val="false"/>
          <w:bCs w:val="false"/>
        </w:rPr>
        <w:t xml:space="preserve">A)  Puerta de salida</w:t>
      </w:r>
    </w:p>
    <w:p>
      <w:pPr>
        <w:pStyle w:val="opt"/>
      </w:pPr>
      <w:r>
        <w:rPr>
          <w:b/>
          <w:bCs/>
        </w:rPr>
        <w:t xml:space="preserve">B)  Vía o mecanismo de transmisión</w:t>
      </w:r>
    </w:p>
    <w:p>
      <w:pPr>
        <w:pStyle w:val="opt"/>
      </w:pPr>
      <w:r>
        <w:rPr>
          <w:b w:val="false"/>
          <w:bCs w:val="false"/>
        </w:rPr>
        <w:t xml:space="preserve">C)  Puerta de entrada</w:t>
      </w:r>
    </w:p>
    <w:p>
      <w:pPr>
        <w:pStyle w:val="opt"/>
      </w:pPr>
      <w:r>
        <w:rPr>
          <w:b w:val="false"/>
          <w:bCs w:val="false"/>
        </w:rPr>
        <w:t xml:space="preserve">D)  Reservorio</w:t>
      </w:r>
    </w:p>
    <w:p>
      <w:pPr>
        <w:pStyle w:val="h4"/>
      </w:pPr>
      <w:r>
        <w:t xml:space="preserve">Clave: B</w:t>
      </w:r>
    </w:p>
    <w:p>
      <w:pPr>
        <w:pStyle w:val="sm"/>
      </w:pPr>
      <w:r>
        <w:rPr>
          <w:b/>
          <w:bCs/>
        </w:rPr>
        <w:t xml:space="preserve">Por qué. </w:t>
      </w:r>
      <w:r>
        <w:t xml:space="preserve">El eslabón se define por la función, no por la anatomía. La puerta de SALIDA es por dónde el agente abandona al reservorio (el aparato respiratorio al toser). La VÍA es el medio que lo transporta de un huésped a otro (el aire, el agua, un vector, un fómite). Son eslabones consecutivos: primero sale, después viaja, después entra.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Puerta de salida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Sería el aparato respiratorio del niño enfermo, no las gotitas ya suspendidas.</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la pregunta señalara «el acto de toser» o «la vía respiratoria del enfermo».</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Vía de transmisión</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El aire con gotitas es el MEDIO que transporta al agente.</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que se describa aire, agua, alimento, vector o fómite.</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Puerta de entrada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Sería la mucosa respiratoria del hermano.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preguntaran «por dónde ingresa el agente al susceptible».</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Reservorio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donde el agente vive y se multiplica habitualmente: aquí, el niño enfermo.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la pregunta apuntara al niño enfermo, al perro rabioso o al suelo.</w:t>
            </w:r>
          </w:p>
        </w:tc>
      </w:tr>
    </w:tbl>
    <w:p>
      <w:pPr>
        <w:pStyle w:val="sm"/>
        <w:spacing w:before="100"/>
      </w:pPr>
      <w:r>
        <w:rPr>
          <w:b/>
          <w:bCs/>
        </w:rPr>
        <w:t xml:space="preserve">Dato a fijar. </w:t>
      </w:r>
      <w:r>
        <w:t xml:space="preserve">Los 6 eslabones, en orden: agente → reservorio → puerta de salida → vía de transmisión → puerta de entrada → huésped susceptible. Mismo caso recorriendo todo: Bordetella pertussis (agente) vive en el niño enfermo (reservorio), sale al toser por vía respiratoria (salida), viaja en gotitas por el aire (vía), entra por la mucosa respiratoria del hermano (entrada), que no está vacunado (susceptible).</w:t>
      </w:r>
    </w:p>
    <w:p>
      <w:pPr>
        <w:pStyle w:val="sm"/>
      </w:pPr>
      <w:r>
        <w:rPr>
          <w:b/>
          <w:bCs/>
        </w:rPr>
        <w:t xml:space="preserve">Gatillo. </w:t>
      </w:r>
      <w:r>
        <w:t xml:space="preserve">«El aire / el agua / el mosquito / la cuchara» = VÍA. «Por dónde sale / por dónde entra» = puertas. «Dónde vive el agente» = reservorio.</w:t>
      </w:r>
    </w:p>
    <w:p>
      <w:pPr>
        <w:pStyle w:val="sm"/>
      </w:pPr>
      <w:r>
        <w:rPr>
          <w:b/>
          <w:bCs/>
        </w:rPr>
        <w:t xml:space="preserve">Trampa. </w:t>
      </w:r>
      <w:r>
        <w:t xml:space="preserve">Tu error del 28-jul fue exactamente este: confundir eslabones ADYACENTES. Salida y vía se tocan, pero no son sinónimos.</w:t>
      </w:r>
    </w:p>
    <w:p>
      <w:pPr>
        <w:pStyle w:val="src"/>
      </w:pPr>
      <w:r>
        <w:t xml:space="preserve">Fuente: Compendio SP 2026-II pág. 13 · Theomed Manual SP. Re-test de tu fallo SET2 Q19.</w:t>
      </w:r>
    </w:p>
    <w:p>
      <w:pPr>
        <w:pStyle w:val="tag"/>
      </w:pPr>
      <w:r>
        <w:t xml:space="preserve">I-3 · Escala epidemiológica · 12 pts · crítico n.º 1</w:t>
      </w:r>
    </w:p>
    <w:p>
      <w:pPr>
        <w:pStyle w:val="enun"/>
      </w:pPr>
      <w:r>
        <w:rPr>
          <w:b/>
          <w:bCs/>
        </w:rPr>
        <w:t xml:space="preserve">3. </w:t>
      </w:r>
      <w:r>
        <w:t xml:space="preserve">En un distrito de Loreto el promedio de los últimos 5 años es de 45 casos anuales de malaria. Este año, al mismo corte, se registran 130 casos distribuidos en todo el distrito. ¿Qué término describe esta situación?</w:t>
      </w:r>
    </w:p>
    <w:p>
      <w:pPr>
        <w:pStyle w:val="opt"/>
      </w:pPr>
      <w:r>
        <w:rPr>
          <w:b w:val="false"/>
          <w:bCs w:val="false"/>
        </w:rPr>
        <w:t xml:space="preserve">A)  Endemia</w:t>
      </w:r>
    </w:p>
    <w:p>
      <w:pPr>
        <w:pStyle w:val="opt"/>
      </w:pPr>
      <w:r>
        <w:rPr>
          <w:b/>
          <w:bCs/>
        </w:rPr>
        <w:t xml:space="preserve">B)  Epidemia</w:t>
      </w:r>
    </w:p>
    <w:p>
      <w:pPr>
        <w:pStyle w:val="opt"/>
      </w:pPr>
      <w:r>
        <w:rPr>
          <w:b w:val="false"/>
          <w:bCs w:val="false"/>
        </w:rPr>
        <w:t xml:space="preserve">C)  Brote</w:t>
      </w:r>
    </w:p>
    <w:p>
      <w:pPr>
        <w:pStyle w:val="opt"/>
      </w:pPr>
      <w:r>
        <w:rPr>
          <w:b w:val="false"/>
          <w:bCs w:val="false"/>
        </w:rPr>
        <w:t xml:space="preserve">D)  Epizootia</w:t>
      </w:r>
    </w:p>
    <w:p>
      <w:pPr>
        <w:pStyle w:val="h4"/>
      </w:pPr>
      <w:r>
        <w:t xml:space="preserve">Clave: B</w:t>
      </w:r>
    </w:p>
    <w:p>
      <w:pPr>
        <w:pStyle w:val="sm"/>
      </w:pPr>
      <w:r>
        <w:rPr>
          <w:b/>
          <w:bCs/>
        </w:rPr>
        <w:t xml:space="preserve">Por qué. </w:t>
      </w:r>
      <w:r>
        <w:t xml:space="preserve">Lo que define EPIDEMIA es el exceso sobre lo esperado para ese lugar y ese periodo. La malaria es endémica en Loreto: su presencia habitual no es noticia; lo que la convierte en epidemia es que 130 supera con claridad el nivel basal de 45. El punto de comparación es siempre la propia historia del territorio, no una cifra absoluta.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Endemia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la presencia HABITUAL y esperada de la enfermedad en ese lugar. Los 45 casos/año eran la endemia; 130 ya no.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la pregunta dijera «se mantiene estable en 45 casos desde hace una década».</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Epidemia</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Exceso sobre lo esperado, en área amplia.</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que el enunciado dé un basal y una cifra actual que lo supere.</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Brote</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Son 2 o más casos RELACIONADOS ENTRE SÍ, acotados en tiempo y espacio (un comedor, un aula, una familia).</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fueran 9 escolares del mismo colegio en 4 días, como la pregunta 1.</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Epizootia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el equivalente de epidemia pero en población ANIMAL.</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Ante mortandad inusual de cuyes, ratas o aves.</w:t>
            </w:r>
          </w:p>
        </w:tc>
      </w:tr>
    </w:tbl>
    <w:p>
      <w:pPr>
        <w:pStyle w:val="sm"/>
        <w:spacing w:before="100"/>
      </w:pPr>
      <w:r>
        <w:rPr>
          <w:b/>
          <w:bCs/>
        </w:rPr>
        <w:t xml:space="preserve">Dato a fijar. </w:t>
      </w:r>
      <w:r>
        <w:t xml:space="preserve">La escalera completa: caso esporádico → brote (2 o más casos relacionados, foco acotado) → epidemia (exceso sobre lo esperado, área amplia) → pandemia (epidemia que cruza continentes). En paralelo: endemia (lo habitual y esperado) y epizootia (epidemia en animales).</w:t>
      </w:r>
    </w:p>
    <w:p>
      <w:pPr>
        <w:pStyle w:val="sm"/>
      </w:pPr>
      <w:r>
        <w:rPr>
          <w:b/>
          <w:bCs/>
        </w:rPr>
        <w:t xml:space="preserve">Gatillo. </w:t>
      </w:r>
      <w:r>
        <w:t xml:space="preserve">Si el enunciado te REGALA un promedio histórico, te está pidiendo comparar → epidemia. Si describe un foco único con nexo entre casos → brote.</w:t>
      </w:r>
    </w:p>
    <w:p>
      <w:pPr>
        <w:pStyle w:val="sm"/>
      </w:pPr>
      <w:r>
        <w:rPr>
          <w:b/>
          <w:bCs/>
        </w:rPr>
        <w:t xml:space="preserve">Trampa. </w:t>
      </w:r>
      <w:r>
        <w:t xml:space="preserve">Tu error del 28-jul fue tomar «lo inusual» por endemia. Endemia es justo lo contrario: lo esperado.</w:t>
      </w:r>
    </w:p>
    <w:p>
      <w:pPr>
        <w:pStyle w:val="src"/>
      </w:pPr>
      <w:r>
        <w:t xml:space="preserve">Fuente: MOPECE/OPS · Compendio SP 2026-II pág. 10. Re-test de tu fallo SET2 Q16.</w:t>
      </w:r>
    </w:p>
    <w:p>
      <w:pPr>
        <w:pStyle w:val="tag"/>
      </w:pPr>
      <w:r>
        <w:t xml:space="preserve">I-5 · Determinantes sociales · 4 pts</w:t>
      </w:r>
    </w:p>
    <w:p>
      <w:pPr>
        <w:pStyle w:val="enun"/>
      </w:pPr>
      <w:r>
        <w:rPr>
          <w:b/>
          <w:bCs/>
        </w:rPr>
        <w:t xml:space="preserve">4. </w:t>
      </w:r>
      <w:r>
        <w:t xml:space="preserve">En un AA.HH. de Villa El Salvador la enfermera del P.S. I-2 identifica que la desnutrición infantil se concentra en las familias con menor nivel educativo materno y empleo informal. Según el modelo de la Comisión de Determinantes Sociales (OMS 2008), el nivel educativo y la ocupación son determinantes:</w:t>
      </w:r>
    </w:p>
    <w:p>
      <w:pPr>
        <w:pStyle w:val="opt"/>
      </w:pPr>
      <w:r>
        <w:rPr>
          <w:b w:val="false"/>
          <w:bCs w:val="false"/>
        </w:rPr>
        <w:t xml:space="preserve">A)  Intermedios</w:t>
      </w:r>
    </w:p>
    <w:p>
      <w:pPr>
        <w:pStyle w:val="opt"/>
      </w:pPr>
      <w:r>
        <w:rPr>
          <w:b/>
          <w:bCs/>
        </w:rPr>
        <w:t xml:space="preserve">B)  Estructurales</w:t>
      </w:r>
    </w:p>
    <w:p>
      <w:pPr>
        <w:pStyle w:val="opt"/>
      </w:pPr>
      <w:r>
        <w:rPr>
          <w:b w:val="false"/>
          <w:bCs w:val="false"/>
        </w:rPr>
        <w:t xml:space="preserve">C)  Biológicos</w:t>
      </w:r>
    </w:p>
    <w:p>
      <w:pPr>
        <w:pStyle w:val="opt"/>
      </w:pPr>
      <w:r>
        <w:rPr>
          <w:b w:val="false"/>
          <w:bCs w:val="false"/>
        </w:rPr>
        <w:t xml:space="preserve">D)  De estilo de vida</w:t>
      </w:r>
    </w:p>
    <w:p>
      <w:pPr>
        <w:pStyle w:val="h4"/>
      </w:pPr>
      <w:r>
        <w:t xml:space="preserve">Clave: B</w:t>
      </w:r>
    </w:p>
    <w:p>
      <w:pPr>
        <w:pStyle w:val="sm"/>
      </w:pPr>
      <w:r>
        <w:rPr>
          <w:b/>
          <w:bCs/>
        </w:rPr>
        <w:t xml:space="preserve">Por qué. </w:t>
      </w:r>
      <w:r>
        <w:t xml:space="preserve">Educación, ocupación e ingreso son los tres marcadores de la POSICIÓN SOCIOECONÓMICA, y esa posición es lo que genera y distribuye todo lo demás. Son estructurales porque están antes en la cadena causal: determinan en qué vivienda vives, qué comes y a qué servicios llegas, no al revés.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Intermedios</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Son las consecuencias de la posición: condiciones materiales (vivienda, agua), conductas, factores psicosociales y el propio sistema de salud.</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preguntaran por hacinamiento, falta de agua segura o acceso al EESS.</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Estructurales</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Posición socioeconómica (educación, ocupación, ingreso), clase social, género, etnia, más el contexto político.</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que el enunciado nombre educación, empleo, ingreso, género o etnia como origen.</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Biológicos</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Edad, sexo biológico, carga genética: no modificables por política pública.</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Ante predisposición hereditaria o edad.</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Estilo de vida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Conducta individual: alcohol, tabaco, sedentarismo, drogas. Es un determinante INTERMEDIO.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Ante consumo de alcohol o drogadicción (cayó así en 2026-1 Q49).</w:t>
            </w:r>
          </w:p>
        </w:tc>
      </w:tr>
    </w:tbl>
    <w:p>
      <w:pPr>
        <w:pStyle w:val="sm"/>
        <w:spacing w:before="100"/>
      </w:pPr>
      <w:r>
        <w:rPr>
          <w:b/>
          <w:bCs/>
        </w:rPr>
        <w:t xml:space="preserve">Dato a fijar. </w:t>
      </w:r>
      <w:r>
        <w:t xml:space="preserve">Escalera del modelo: contexto socioeconómico y político → posición socioeconómica (educación, ocupación, ingreso, género, etnia) = ESTRUCTURALES → circunstancias materiales, conductas, factores psicosociales y sistema de salud = INTERMEDIOS → impacto en la equidad en salud.</w:t>
      </w:r>
    </w:p>
    <w:p>
      <w:pPr>
        <w:pStyle w:val="sm"/>
      </w:pPr>
      <w:r>
        <w:rPr>
          <w:b/>
          <w:bCs/>
        </w:rPr>
        <w:t xml:space="preserve">Gatillo. </w:t>
      </w:r>
      <w:r>
        <w:t xml:space="preserve">¿El factor te ubica en la jerarquía social? → estructural. ¿Es lo que te pasa POR estar ahí? → intermedio.</w:t>
      </w:r>
    </w:p>
    <w:p>
      <w:pPr>
        <w:pStyle w:val="sm"/>
      </w:pPr>
      <w:r>
        <w:rPr>
          <w:b/>
          <w:bCs/>
        </w:rPr>
        <w:t xml:space="preserve">Trampa. </w:t>
      </w:r>
      <w:r>
        <w:t xml:space="preserve">El sistema de salud parece «estructural» por ser grande e institucional, pero en el modelo CDSS es INTERMEDIO.</w:t>
      </w:r>
    </w:p>
    <w:p>
      <w:pPr>
        <w:pStyle w:val="src"/>
      </w:pPr>
      <w:r>
        <w:t xml:space="preserve">Fuente: Comisión OMS sobre Determinantes Sociales de la Salud 2008 (Solar &amp; Irwin). Moldes: 2026-1 Q70 y Q19.</w:t>
      </w:r>
    </w:p>
    <w:p>
      <w:pPr>
        <w:pStyle w:val="tag"/>
      </w:pPr>
      <w:r>
        <w:t xml:space="preserve">I-1 · Estrategia de promoción · tema del día (D8)</w:t>
      </w:r>
    </w:p>
    <w:p>
      <w:pPr>
        <w:pStyle w:val="enun"/>
      </w:pPr>
      <w:r>
        <w:rPr>
          <w:b/>
          <w:bCs/>
        </w:rPr>
        <w:t xml:space="preserve">5. </w:t>
      </w:r>
      <w:r>
        <w:t xml:space="preserve">El médico serumista de un C.S. I-3 de Pasco convoca al alcalde distrital, al comisario, al director de la I.E. y al párroco para diseñar juntos un plan contra el consumo de alcohol en adolescentes. ¿Qué estrategia está aplicando?</w:t>
      </w:r>
    </w:p>
    <w:p>
      <w:pPr>
        <w:pStyle w:val="opt"/>
      </w:pPr>
      <w:r>
        <w:rPr>
          <w:b w:val="false"/>
          <w:bCs w:val="false"/>
        </w:rPr>
        <w:t xml:space="preserve">A)  Participación ciudadana</w:t>
      </w:r>
    </w:p>
    <w:p>
      <w:pPr>
        <w:pStyle w:val="opt"/>
      </w:pPr>
      <w:r>
        <w:rPr>
          <w:b/>
          <w:bCs/>
        </w:rPr>
        <w:t xml:space="preserve">B)  Intersectorialidad</w:t>
      </w:r>
    </w:p>
    <w:p>
      <w:pPr>
        <w:pStyle w:val="opt"/>
      </w:pPr>
      <w:r>
        <w:rPr>
          <w:b w:val="false"/>
          <w:bCs w:val="false"/>
        </w:rPr>
        <w:t xml:space="preserve">C)  Empoderamiento comunitario</w:t>
      </w:r>
    </w:p>
    <w:p>
      <w:pPr>
        <w:pStyle w:val="opt"/>
      </w:pPr>
      <w:r>
        <w:rPr>
          <w:b w:val="false"/>
          <w:bCs w:val="false"/>
        </w:rPr>
        <w:t xml:space="preserve">D)  Comunicación social</w:t>
      </w:r>
    </w:p>
    <w:p>
      <w:pPr>
        <w:pStyle w:val="h4"/>
      </w:pPr>
      <w:r>
        <w:t xml:space="preserve">Clave: B</w:t>
      </w:r>
    </w:p>
    <w:p>
      <w:pPr>
        <w:pStyle w:val="sm"/>
      </w:pPr>
      <w:r>
        <w:rPr>
          <w:b/>
          <w:bCs/>
        </w:rPr>
        <w:t xml:space="preserve">Por qué. </w:t>
      </w:r>
      <w:r>
        <w:t xml:space="preserve">Lo que define intersectorialidad es con QUIÉN se articula: otros SECTORES del Estado y de la sociedad (gobierno local, educación, seguridad, iglesia), no la población. El problema del alcohol no se resuelve solo desde salud, y por eso el abordaje es sectorial cruzado.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Participación ciudadana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la población ejerciendo su derecho a intervenir en decisiones públicas (comités, vigilancia ciudadana).</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el caso describiera una asamblea vecinal decidiendo el plan.</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Intersectorialidad</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Articulación con OTROS SECTORES: municipio, educación, policía, iglesia.</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que aparezca alcalde, comisario, director de colegio, juez o párroco.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Empoderamiento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La comunidad gana control y capacidad de decisión sobre su propia salud.</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el caso describiera a la comunidad tomando el mando de la intervención.</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Comunicación social</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Uso de medios y mensajes (IEC) para informar y persuadir.</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Ante campañas radiales, spots o sesiones educativas masivas.</w:t>
            </w:r>
          </w:p>
        </w:tc>
      </w:tr>
    </w:tbl>
    <w:p>
      <w:pPr>
        <w:pStyle w:val="sm"/>
        <w:spacing w:before="100"/>
      </w:pPr>
      <w:r>
        <w:rPr>
          <w:b/>
          <w:bCs/>
        </w:rPr>
        <w:t xml:space="preserve">Dato a fijar. </w:t>
      </w:r>
      <w:r>
        <w:t xml:space="preserve">Las 5 acciones de la Carta de Ottawa (1986): políticas públicas saludables · entornos favorables · reforzar la acción comunitaria · desarrollar aptitudes personales · reorientar los servicios de salud. La intersectorialidad es el vehículo de la primera.</w:t>
      </w:r>
    </w:p>
    <w:p>
      <w:pPr>
        <w:pStyle w:val="sm"/>
      </w:pPr>
      <w:r>
        <w:rPr>
          <w:b/>
          <w:bCs/>
        </w:rPr>
        <w:t xml:space="preserve">Gatillo. </w:t>
      </w:r>
      <w:r>
        <w:t xml:space="preserve">Contá a quién sienta en la mesa. ¿Autoridades de otros sectores? → intersectorialidad. ¿Vecinos y promotores? → participación comunitaria.</w:t>
      </w:r>
    </w:p>
    <w:p>
      <w:pPr>
        <w:pStyle w:val="sm"/>
      </w:pPr>
      <w:r>
        <w:rPr>
          <w:b/>
          <w:bCs/>
        </w:rPr>
        <w:t xml:space="preserve">Trampa. </w:t>
      </w:r>
      <w:r>
        <w:t xml:space="preserve">En la definición textual de Ottawa la palabra exacta es CONTROLAR su salud; los distractores usan «atenuar», «eliminar», «mitigar».</w:t>
      </w:r>
    </w:p>
    <w:p>
      <w:pPr>
        <w:pStyle w:val="src"/>
      </w:pPr>
      <w:r>
        <w:t xml:space="preserve">Fuente: Carta de Ottawa 1986 · Lineamientos de Política de Promoción de la Salud (MINSA). Molde: 2025-2 Q93.</w:t>
      </w:r>
    </w:p>
    <w:p>
      <w:pPr>
        <w:pStyle w:val="tag"/>
      </w:pPr>
      <w:r>
        <w:t xml:space="preserve">II-1 · Conducta según capacidad resolutiva · 5 pts · CRÍTICO</w:t>
      </w:r>
    </w:p>
    <w:p>
      <w:pPr>
        <w:pStyle w:val="enun"/>
      </w:pPr>
      <w:r>
        <w:rPr>
          <w:b/>
          <w:bCs/>
        </w:rPr>
        <w:t xml:space="preserve">6. </w:t>
      </w:r>
      <w:r>
        <w:t xml:space="preserve">Gestante de 24 años, 39 semanas, embarazo de bajo riesgo con 8 controles prenatales, llega a un C.S. I-3 de Cajamarca en periodo expulsivo. El establecimiento tiene médico y obstetra de turno. La conducta correcta es:</w:t>
      </w:r>
    </w:p>
    <w:p>
      <w:pPr>
        <w:pStyle w:val="opt"/>
      </w:pPr>
      <w:r>
        <w:rPr>
          <w:b w:val="false"/>
          <w:bCs w:val="false"/>
        </w:rPr>
        <w:t xml:space="preserve">A)  Referir de inmediato al hospital II-1 en ambulancia</w:t>
      </w:r>
    </w:p>
    <w:p>
      <w:pPr>
        <w:pStyle w:val="opt"/>
      </w:pPr>
      <w:r>
        <w:rPr>
          <w:b/>
          <w:bCs/>
        </w:rPr>
        <w:t xml:space="preserve">B)  Atender el parto en el establecimiento</w:t>
      </w:r>
    </w:p>
    <w:p>
      <w:pPr>
        <w:pStyle w:val="opt"/>
      </w:pPr>
      <w:r>
        <w:rPr>
          <w:b w:val="false"/>
          <w:bCs w:val="false"/>
        </w:rPr>
        <w:t xml:space="preserve">C)  Indicar retorno al domicilio acompañada de la partera</w:t>
      </w:r>
    </w:p>
    <w:p>
      <w:pPr>
        <w:pStyle w:val="opt"/>
      </w:pPr>
      <w:r>
        <w:rPr>
          <w:b w:val="false"/>
          <w:bCs w:val="false"/>
        </w:rPr>
        <w:t xml:space="preserve">D)  Esperar la referencia sin intervenir</w:t>
      </w:r>
    </w:p>
    <w:p>
      <w:pPr>
        <w:pStyle w:val="h4"/>
      </w:pPr>
      <w:r>
        <w:t xml:space="preserve">Clave: B</w:t>
      </w:r>
    </w:p>
    <w:p>
      <w:pPr>
        <w:pStyle w:val="sm"/>
      </w:pPr>
      <w:r>
        <w:rPr>
          <w:b/>
          <w:bCs/>
        </w:rPr>
        <w:t xml:space="preserve">Por qué. </w:t>
      </w:r>
      <w:r>
        <w:t xml:space="preserve">En periodo expulsivo el parto es inminente: referir significa que el nacimiento ocurra en la ambulancia, sin equipo ni asepsia. Y un I-3 con médico y obstetra TIENE la capacidad resolutiva para un parto de bajo riesgo. La regla es que la referencia se decide por riesgo y capacidad, no por reflejo.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Referir al II-1</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Solo si hay factor de riesgo o el EESS no resuelve. En expulsivo con personal capacitado, referir es el error.</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Gestante con HTA crónica, diabetes gestacional, sin controles, o EESS sin profesional (2025-2 Q5).</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Atender el parto</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Bajo riesgo, expulsivo, médico y obstetra: se atiende.</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que coincidan bajo riesgo y capacidad instalada.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Retorno a domicilio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Nunca. Negar la atención es incorrecto en todos los escenarios del examen.</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En ninguno.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Esperar sin intervenir</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Omisión de auxilio.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En ninguno.</w:t>
            </w:r>
          </w:p>
        </w:tc>
      </w:tr>
    </w:tbl>
    <w:p>
      <w:pPr>
        <w:pStyle w:val="sm"/>
        <w:spacing w:before="100"/>
      </w:pPr>
      <w:r>
        <w:rPr>
          <w:b/>
          <w:bCs/>
        </w:rPr>
        <w:t xml:space="preserve">Dato a fijar. </w:t>
      </w:r>
      <w:r>
        <w:t xml:space="preserve">Escalera de decisión con la misma gestante: bajo riesgo + expulsivo + I-3 con médico y obstetra → atender · la misma en dilatación de 3 cm sin alarma en un I-1 sin médico → referir · la misma pero con HTA crónica y diabetes gestacional sin controles → referir, aunque pida parto vertical · en ningún caso «negarse a atender» ni «retornar a domicilio».</w:t>
      </w:r>
    </w:p>
    <w:p>
      <w:pPr>
        <w:pStyle w:val="sm"/>
      </w:pPr>
      <w:r>
        <w:rPr>
          <w:b/>
          <w:bCs/>
        </w:rPr>
        <w:t xml:space="preserve">Gatillo. </w:t>
      </w:r>
      <w:r>
        <w:t xml:space="preserve">Identificá primero el RIESGO, después la CATEGORÍA del EESS. Solo si ambos alinean, se atiende.</w:t>
      </w:r>
    </w:p>
    <w:p>
      <w:pPr>
        <w:pStyle w:val="sm"/>
      </w:pPr>
      <w:r>
        <w:rPr>
          <w:b/>
          <w:bCs/>
        </w:rPr>
        <w:t xml:space="preserve">Trampa. </w:t>
      </w:r>
      <w:r>
        <w:t xml:space="preserve">El examen castiga tanto al que refiere de más como al que complace la solicitud cultural en una gestante de alto riesgo.</w:t>
      </w:r>
    </w:p>
    <w:p>
      <w:pPr>
        <w:pStyle w:val="src"/>
      </w:pPr>
      <w:r>
        <w:t xml:space="preserve">Fuente: NTS 105 y NTS 121-MINSA · NTS 020 (referencia). Molde: 2026-1 Q45, Q1 y Q17.</w:t>
      </w:r>
    </w:p>
    <w:p>
      <w:pPr>
        <w:pStyle w:val="tag"/>
      </w:pPr>
      <w:r>
        <w:t xml:space="preserve">II-1 · Emergencia hipertensiva del embarazo · 5 pts · CRÍTICO</w:t>
      </w:r>
    </w:p>
    <w:p>
      <w:pPr>
        <w:pStyle w:val="enun"/>
      </w:pPr>
      <w:r>
        <w:rPr>
          <w:b/>
          <w:bCs/>
        </w:rPr>
        <w:t xml:space="preserve">7. </w:t>
      </w:r>
      <w:r>
        <w:t xml:space="preserve">Gestante de 34 semanas acude al C.S. I-4 de Huánuco con cefalea intensa y visión borrosa. PA 170/110 mmHg, reflejos aumentados. ¿Cuál es la conducta farmacológica inicial mientras se coordina la referencia?</w:t>
      </w:r>
    </w:p>
    <w:p>
      <w:pPr>
        <w:pStyle w:val="opt"/>
      </w:pPr>
      <w:r>
        <w:rPr>
          <w:b/>
          <w:bCs/>
        </w:rPr>
        <w:t xml:space="preserve">A)  Sulfato de magnesio endovenoso</w:t>
      </w:r>
    </w:p>
    <w:p>
      <w:pPr>
        <w:pStyle w:val="opt"/>
      </w:pPr>
      <w:r>
        <w:rPr>
          <w:b w:val="false"/>
          <w:bCs w:val="false"/>
        </w:rPr>
        <w:t xml:space="preserve">B)  Furosemida endovenosa</w:t>
      </w:r>
    </w:p>
    <w:p>
      <w:pPr>
        <w:pStyle w:val="opt"/>
      </w:pPr>
      <w:r>
        <w:rPr>
          <w:b w:val="false"/>
          <w:bCs w:val="false"/>
        </w:rPr>
        <w:t xml:space="preserve">C)  Diazepam endovenoso</w:t>
      </w:r>
    </w:p>
    <w:p>
      <w:pPr>
        <w:pStyle w:val="opt"/>
      </w:pPr>
      <w:r>
        <w:rPr>
          <w:b w:val="false"/>
          <w:bCs w:val="false"/>
        </w:rPr>
        <w:t xml:space="preserve">D)  Captopril sublingual</w:t>
      </w:r>
    </w:p>
    <w:p>
      <w:pPr>
        <w:pStyle w:val="h4"/>
      </w:pPr>
      <w:r>
        <w:t xml:space="preserve">Clave: A</w:t>
      </w:r>
    </w:p>
    <w:p>
      <w:pPr>
        <w:pStyle w:val="sm"/>
      </w:pPr>
      <w:r>
        <w:rPr>
          <w:b/>
          <w:bCs/>
        </w:rPr>
        <w:t xml:space="preserve">Por qué. </w:t>
      </w:r>
      <w:r>
        <w:t xml:space="preserve">Los síntomas neurológicos (cefalea, visión borrosa, hiperreflexia) marcan preeclampsia con criterios de severidad, y lo que mata en las horas siguientes es la CONVULSIÓN. El sulfato de magnesio es anticonvulsivante de elección: no baja la presión, previene la eclampsia. Se administra antes y durante el traslado.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A) Sulfato de magnesio EV</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Prevención de la convulsión eclámptica; se inicia antes de referir.</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Preeclampsia con criterios de severidad y en eclampsia establecida.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B) Furosemida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Diurético: reduce el volumen plasmático, ya disminuido en preeclampsia. Empeora la perfusión placentaria.</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Solo ante edema agudo de pulmón.</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Diazepam</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Trata la convulsión ya instalada, pero no es de elección: deprime al feto y al sensorio materno.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Solo si no se dispone de sulfato de magnesio.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Captopril</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Los IECA están CONTRAINDICADOS en el embarazo (daño renal fetal).</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Nunca en gestación; sí en HTA fuera del embarazo.</w:t>
            </w:r>
          </w:p>
        </w:tc>
      </w:tr>
    </w:tbl>
    <w:p>
      <w:pPr>
        <w:pStyle w:val="sm"/>
        <w:spacing w:before="100"/>
      </w:pPr>
      <w:r>
        <w:rPr>
          <w:b/>
          <w:bCs/>
        </w:rPr>
        <w:t xml:space="preserve">Dato a fijar. </w:t>
      </w:r>
      <w:r>
        <w:t xml:space="preserve">Escalera de la misma gestante: PA 140/90 sin síntomas ni proteinuria → hipertensión gestacional · más proteinuria → preeclampsia · más PA de 160/110 o cefalea, visión borrosa o epigastralgia → preeclampsia con criterios de severidad (sulfato de magnesio, antihipertensivo y referencia) · más convulsión o coma → eclampsia. El tratamiento definitivo siempre es finalizar la gestación.</w:t>
      </w:r>
    </w:p>
    <w:p>
      <w:pPr>
        <w:pStyle w:val="sm"/>
      </w:pPr>
      <w:r>
        <w:rPr>
          <w:b/>
          <w:bCs/>
        </w:rPr>
        <w:t xml:space="preserve">Gatillo. </w:t>
      </w:r>
      <w:r>
        <w:t xml:space="preserve">Cefalea más escotomas más PA de 160/110 o mayor en gestante = sulfato de magnesio y referencia. No pierdas tiempo eligiendo antihipertensivo.</w:t>
      </w:r>
    </w:p>
    <w:p>
      <w:pPr>
        <w:pStyle w:val="sm"/>
      </w:pPr>
      <w:r>
        <w:rPr>
          <w:b/>
          <w:bCs/>
        </w:rPr>
        <w:t xml:space="preserve">Trampa. </w:t>
      </w:r>
      <w:r>
        <w:t xml:space="preserve">Los distractores atacan por «bajar la presión» cuando lo que se previene es la convulsión.</w:t>
      </w:r>
    </w:p>
    <w:p>
      <w:pPr>
        <w:pStyle w:val="src"/>
      </w:pPr>
      <w:r>
        <w:t xml:space="preserve">Fuente: NTS 105-MINSA · GPC de emergencias obstétricas MINSA. Molde: 2025-1A Q63 y 2025-2 Q79.</w:t>
      </w:r>
    </w:p>
    <w:p>
      <w:pPr>
        <w:pStyle w:val="tag"/>
      </w:pPr>
      <w:r>
        <w:t xml:space="preserve">II-3 · ESAVI vs evento coincidente · 5 pts · CRÍTICO</w:t>
      </w:r>
    </w:p>
    <w:p>
      <w:pPr>
        <w:pStyle w:val="enun"/>
      </w:pPr>
      <w:r>
        <w:rPr>
          <w:b/>
          <w:bCs/>
        </w:rPr>
        <w:t xml:space="preserve">8. </w:t>
      </w:r>
      <w:r>
        <w:t xml:space="preserve">Lactante de 5 meses recibe pentavalente en un P.S. I-2 de Cusco. A las 72 horas ingresa con fiebre alta y dificultad respiratoria; se confirma neumonía neumocócica. ¿Cómo se clasifica el evento?</w:t>
      </w:r>
    </w:p>
    <w:p>
      <w:pPr>
        <w:pStyle w:val="opt"/>
      </w:pPr>
      <w:r>
        <w:rPr>
          <w:b w:val="false"/>
          <w:bCs w:val="false"/>
        </w:rPr>
        <w:t xml:space="preserve">A)  ESAVI grave atribuible a la vacuna</w:t>
      </w:r>
    </w:p>
    <w:p>
      <w:pPr>
        <w:pStyle w:val="opt"/>
      </w:pPr>
      <w:r>
        <w:rPr>
          <w:b/>
          <w:bCs/>
        </w:rPr>
        <w:t xml:space="preserve">B)  Evento coincidente</w:t>
      </w:r>
    </w:p>
    <w:p>
      <w:pPr>
        <w:pStyle w:val="opt"/>
      </w:pPr>
      <w:r>
        <w:rPr>
          <w:b w:val="false"/>
          <w:bCs w:val="false"/>
        </w:rPr>
        <w:t xml:space="preserve">C)  Reacción adversa medicamentosa (RAM)</w:t>
      </w:r>
    </w:p>
    <w:p>
      <w:pPr>
        <w:pStyle w:val="opt"/>
      </w:pPr>
      <w:r>
        <w:rPr>
          <w:b w:val="false"/>
          <w:bCs w:val="false"/>
        </w:rPr>
        <w:t xml:space="preserve">D)  Error programático de vacunación</w:t>
      </w:r>
    </w:p>
    <w:p>
      <w:pPr>
        <w:pStyle w:val="h4"/>
      </w:pPr>
      <w:r>
        <w:t xml:space="preserve">Clave: B</w:t>
      </w:r>
    </w:p>
    <w:p>
      <w:pPr>
        <w:pStyle w:val="sm"/>
      </w:pPr>
      <w:r>
        <w:rPr>
          <w:b/>
          <w:bCs/>
        </w:rPr>
        <w:t xml:space="preserve">Por qué. </w:t>
      </w:r>
      <w:r>
        <w:t xml:space="preserve">Existe OTRA etiología identificada que explica por completo el cuadro. Coincidente significa que el evento ocurrió en la ventana temporal posterior a la vacuna, pero la causa es independiente: el niño se habría enfermado igual sin haber sido vacunado. La coincidencia en el tiempo no es causalidad.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ESAVI grave atribuible</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Requiere que el evento sea consecuencia de la vacuna y no tenga otra explicación.</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Absceso en el sitio de inyección, anafilaxia inmediata, convulsión febril sin otro foco.</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Evento coincidente</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Hay una etiología distinta demostrada que explica el cuadro.</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que se identifique el agente o la enfermedad de base responsable.</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RAM</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Concepto de farmacovigilancia de medicamentos; en inmunizaciones el término normado es ESAVI.</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Ante reacción adversa a un fármaco, no a una vacuna.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Error programático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Falla en la técnica, dosis, conservación o dilución (jeringa contaminada, vacuna vencida, cadena de frío rota).</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Absceso por mala asepsia, dosis equivocada, vacuna fuera de 2-8 °C.</w:t>
            </w:r>
          </w:p>
        </w:tc>
      </w:tr>
    </w:tbl>
    <w:p>
      <w:pPr>
        <w:pStyle w:val="sm"/>
        <w:spacing w:before="100"/>
      </w:pPr>
      <w:r>
        <w:rPr>
          <w:b/>
          <w:bCs/>
        </w:rPr>
        <w:t xml:space="preserve">Dato a fijar. </w:t>
      </w:r>
      <w:r>
        <w:t xml:space="preserve">Clasificación del ESAVI, en escalera con el mismo lactante: fiebre de 38 °C que cede en 24 h → ESAVI no grave · el mismo niño convulsiona y queda internado 3 días → ESAVI grave (el criterio de gravedad es hospitalización, discapacidad o muerte) · el mismo niño ingresa por neumonía neumocócica confirmada → coincidente · el mismo niño hace absceso porque la jeringa se contaminó → error programático.</w:t>
      </w:r>
    </w:p>
    <w:p>
      <w:pPr>
        <w:pStyle w:val="sm"/>
      </w:pPr>
      <w:r>
        <w:rPr>
          <w:b/>
          <w:bCs/>
        </w:rPr>
        <w:t xml:space="preserve">Gatillo. </w:t>
      </w:r>
      <w:r>
        <w:t xml:space="preserve">Si el enunciado te da un diagnóstico alternativo confirmado → coincidente. Si menciona técnica, conservación o dosis → error programático.</w:t>
      </w:r>
    </w:p>
    <w:p>
      <w:pPr>
        <w:pStyle w:val="sm"/>
      </w:pPr>
      <w:r>
        <w:rPr>
          <w:b/>
          <w:bCs/>
        </w:rPr>
        <w:t xml:space="preserve">Trampa. </w:t>
      </w:r>
      <w:r>
        <w:t xml:space="preserve">Se marca «no grave» a un ESAVI que terminó internado. Internamiento = GRAVE, por definición.</w:t>
      </w:r>
    </w:p>
    <w:p>
      <w:pPr>
        <w:pStyle w:val="src"/>
      </w:pPr>
      <w:r>
        <w:t xml:space="preserve">Fuente: NTS 196-MINSA/2022, clasificación de ESAVI. Moldes: 2024-2A Q92 y Q98.</w:t>
      </w:r>
    </w:p>
    <w:p>
      <w:pPr>
        <w:pStyle w:val="tag"/>
      </w:pPr>
      <w:r>
        <w:t xml:space="preserve">II-3 · Esquema del recién nacido · 5 pts · CRÍTICO</w:t>
      </w:r>
    </w:p>
    <w:p>
      <w:pPr>
        <w:pStyle w:val="enun"/>
      </w:pPr>
      <w:r>
        <w:rPr>
          <w:b/>
          <w:bCs/>
        </w:rPr>
        <w:t xml:space="preserve">9. </w:t>
      </w:r>
      <w:r>
        <w:t xml:space="preserve">Recién nacido de parto domiciliario en una comunidad de Amazonas es llevado al P.S. I-1 a las 10 horas de vida, sin vacunas. ¿Qué corresponde aplicar?</w:t>
      </w:r>
    </w:p>
    <w:p>
      <w:pPr>
        <w:pStyle w:val="opt"/>
      </w:pPr>
      <w:r>
        <w:rPr>
          <w:b/>
          <w:bCs/>
        </w:rPr>
        <w:t xml:space="preserve">A)  BCG y antihepatitis B dentro de las primeras 24 horas</w:t>
      </w:r>
    </w:p>
    <w:p>
      <w:pPr>
        <w:pStyle w:val="opt"/>
      </w:pPr>
      <w:r>
        <w:rPr>
          <w:b w:val="false"/>
          <w:bCs w:val="false"/>
        </w:rPr>
        <w:t xml:space="preserve">B)  BCG únicamente; la antihepatitis B a los 2 meses</w:t>
      </w:r>
    </w:p>
    <w:p>
      <w:pPr>
        <w:pStyle w:val="opt"/>
      </w:pPr>
      <w:r>
        <w:rPr>
          <w:b w:val="false"/>
          <w:bCs w:val="false"/>
        </w:rPr>
        <w:t xml:space="preserve">C)  Pentavalente y antipolio</w:t>
      </w:r>
    </w:p>
    <w:p>
      <w:pPr>
        <w:pStyle w:val="opt"/>
      </w:pPr>
      <w:r>
        <w:rPr>
          <w:b w:val="false"/>
          <w:bCs w:val="false"/>
        </w:rPr>
        <w:t xml:space="preserve">D)  Antihepatitis B únicamente</w:t>
      </w:r>
    </w:p>
    <w:p>
      <w:pPr>
        <w:pStyle w:val="h4"/>
      </w:pPr>
      <w:r>
        <w:t xml:space="preserve">Clave: A</w:t>
      </w:r>
    </w:p>
    <w:p>
      <w:pPr>
        <w:pStyle w:val="sm"/>
      </w:pPr>
      <w:r>
        <w:rPr>
          <w:b/>
          <w:bCs/>
        </w:rPr>
        <w:t xml:space="preserve">Por qué. </w:t>
      </w:r>
      <w:r>
        <w:t xml:space="preserve">Ambas son vacunas de recién nacido con ventana crítica de 24 horas. La antihepatitis B en las primeras horas corta la transmisión vertical si la madre es portadora, y en un parto domiciliario sin tamizaje justamente no se sabe. La BCG protege de las formas graves de tuberculosis (miliar y meníngea) en el lactante.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A) BCG más HvB en 24 h</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Las dos vacunas del recién nacido, ventana de 24 horas.</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Todo recién nacido, con más razón si el parto fue domiciliario.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B) Solo BCG</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Deja abierta la transmisión vertical de hepatitis B, que es lo urgente aquí.</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En ningún escenario del esquema peruano.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Pentavalente y antipolio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Corresponden a los 2, 4 y 6 meses, no al nacimiento.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Lactante de 2 meses en adelante.</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Solo HvB</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Omite la protección contra la tuberculosis grave del lactante.</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Solo si hubiera contraindicación específica para BCG.</w:t>
            </w:r>
          </w:p>
        </w:tc>
      </w:tr>
    </w:tbl>
    <w:p>
      <w:pPr>
        <w:pStyle w:val="sm"/>
        <w:spacing w:before="100"/>
      </w:pPr>
      <w:r>
        <w:rPr>
          <w:b/>
          <w:bCs/>
        </w:rPr>
        <w:t xml:space="preserve">Dato a fijar. </w:t>
      </w:r>
      <w:r>
        <w:t xml:space="preserve">Escalera del mismo niño por edad: recién nacido → BCG más HvB · 2, 4 y 6 meses → pentavalente (más polio, rotavirus y neumococo) · 6 meses → 1.ª dosis de influenza · 12 meses → SPR · 9 años → VPH, dosis única · adulto mayor → influenza más neumococo.</w:t>
      </w:r>
    </w:p>
    <w:p>
      <w:pPr>
        <w:pStyle w:val="sm"/>
      </w:pPr>
      <w:r>
        <w:rPr>
          <w:b/>
          <w:bCs/>
        </w:rPr>
        <w:t xml:space="preserve">Gatillo. </w:t>
      </w:r>
      <w:r>
        <w:t xml:space="preserve">«Parto domiciliario / llega sin vacunas / primeras horas de vida» → BCG más HvB.</w:t>
      </w:r>
    </w:p>
    <w:p>
      <w:pPr>
        <w:pStyle w:val="sm"/>
      </w:pPr>
      <w:r>
        <w:rPr>
          <w:b/>
          <w:bCs/>
        </w:rPr>
        <w:t xml:space="preserve">Trampa. </w:t>
      </w:r>
      <w:r>
        <w:t xml:space="preserve">Trampa clásica del tema: la cadena de frío es de 2 a 8 °C; ofrecen «1 a 8» y «4 a 10».</w:t>
      </w:r>
    </w:p>
    <w:p>
      <w:pPr>
        <w:pStyle w:val="src"/>
      </w:pPr>
      <w:r>
        <w:t xml:space="preserve">Fuente: NTS 196-MINSA/2022, esquema nacional de vacunación. Molde: 2026-1 Q84.</w:t>
      </w:r>
    </w:p>
    <w:p>
      <w:pPr>
        <w:pStyle w:val="tag"/>
      </w:pPr>
      <w:r>
        <w:t xml:space="preserve">II-11 · Sífilis: esquema según estadio · 5 pts · CRÍTICO</w:t>
      </w:r>
    </w:p>
    <w:p>
      <w:pPr>
        <w:pStyle w:val="enun"/>
      </w:pPr>
      <w:r>
        <w:rPr>
          <w:b/>
          <w:bCs/>
        </w:rPr>
        <w:t xml:space="preserve">10. </w:t>
      </w:r>
      <w:r>
        <w:t xml:space="preserve">Varón de 38 años, asintomático, acude a un C.S. I-3 de Piura. RPR reactivo. No precisa el tiempo de infección ni recuerda lesiones previas. Corresponde indicar:</w:t>
      </w:r>
    </w:p>
    <w:p>
      <w:pPr>
        <w:pStyle w:val="opt"/>
      </w:pPr>
      <w:r>
        <w:rPr>
          <w:b w:val="false"/>
          <w:bCs w:val="false"/>
        </w:rPr>
        <w:t xml:space="preserve">A)  Penicilina G benzatínica 2,4 millones UI IM, dosis única</w:t>
      </w:r>
    </w:p>
    <w:p>
      <w:pPr>
        <w:pStyle w:val="opt"/>
      </w:pPr>
      <w:r>
        <w:rPr>
          <w:b/>
          <w:bCs/>
        </w:rPr>
        <w:t xml:space="preserve">B)  Penicilina G benzatínica 2,4 millones UI IM semanal por 3 semanas</w:t>
      </w:r>
    </w:p>
    <w:p>
      <w:pPr>
        <w:pStyle w:val="opt"/>
      </w:pPr>
      <w:r>
        <w:rPr>
          <w:b w:val="false"/>
          <w:bCs w:val="false"/>
        </w:rPr>
        <w:t xml:space="preserve">C)  Doxiciclina 100 mg VO cada 12 horas por 14 días</w:t>
      </w:r>
    </w:p>
    <w:p>
      <w:pPr>
        <w:pStyle w:val="opt"/>
      </w:pPr>
      <w:r>
        <w:rPr>
          <w:b w:val="false"/>
          <w:bCs w:val="false"/>
        </w:rPr>
        <w:t xml:space="preserve">D)  Penicilina G sódica EV por 14 días</w:t>
      </w:r>
    </w:p>
    <w:p>
      <w:pPr>
        <w:pStyle w:val="h4"/>
      </w:pPr>
      <w:r>
        <w:t xml:space="preserve">Clave: B</w:t>
      </w:r>
    </w:p>
    <w:p>
      <w:pPr>
        <w:pStyle w:val="sm"/>
      </w:pPr>
      <w:r>
        <w:rPr>
          <w:b/>
          <w:bCs/>
        </w:rPr>
        <w:t xml:space="preserve">Por qué. </w:t>
      </w:r>
      <w:r>
        <w:t xml:space="preserve">Cuando no se puede precisar el tiempo de infección, la sífilis se maneja como LATENTE TARDÍA o de duración desconocida, y en esa fase el treponema se divide lentamente, por lo que hay que mantener niveles treponemicidas durante semanas: 3 dosis, una por semana. En la fase temprana, con carga activa y división rápida, basta la dosis única.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Dosis única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el esquema de la sífilis primaria, secundaria y latente TEMPRANA (menos de 1 año).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Chancro indoloro, roséola sifilítica, o contacto documentado en el último año.</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3 dosis semanales</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Latente tardía o de duración desconocida.</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que el enunciado diga «no precisa el tiempo» o «más de un año».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Doxiciclina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la alternativa solo en alergia a penicilina, y nunca en gestante.</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Paciente no gestante con alergia documentada a penicilina.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Penicilina G sódica EV</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Esquema de neurosífilis.</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Compromiso neurológico, ocular u ótico.</w:t>
            </w:r>
          </w:p>
        </w:tc>
      </w:tr>
    </w:tbl>
    <w:p>
      <w:pPr>
        <w:pStyle w:val="sm"/>
        <w:spacing w:before="100"/>
      </w:pPr>
      <w:r>
        <w:rPr>
          <w:b/>
          <w:bCs/>
        </w:rPr>
        <w:t xml:space="preserve">Dato a fijar. </w:t>
      </w:r>
      <w:r>
        <w:t xml:space="preserve">Escalera del mismo paciente: chancro indoloro → primaria · exantema palmoplantar → secundaria · asintomático con contacto de menos de 1 año → latente temprana. Los tres: dosis única. Asintomático sin poder fechar la infección → latente tardía o desconocida: 3 dosis semanales. Con signos neurológicos → neurosífilis: penicilina G sódica EV.</w:t>
      </w:r>
    </w:p>
    <w:p>
      <w:pPr>
        <w:pStyle w:val="sm"/>
      </w:pPr>
      <w:r>
        <w:rPr>
          <w:b/>
          <w:bCs/>
        </w:rPr>
        <w:t xml:space="preserve">Gatillo. </w:t>
      </w:r>
      <w:r>
        <w:t xml:space="preserve">«No precisa cuándo» = tardía = 3 dosis. La ambigüedad temporal juega en contra del paciente, no a favor.</w:t>
      </w:r>
    </w:p>
    <w:p>
      <w:pPr>
        <w:pStyle w:val="sm"/>
      </w:pPr>
      <w:r>
        <w:rPr>
          <w:b/>
          <w:bCs/>
        </w:rPr>
        <w:t xml:space="preserve">Trampa. </w:t>
      </w:r>
      <w:r>
        <w:t xml:space="preserve">Se marca dosis única por inercia, porque es el esquema más recordado.</w:t>
      </w:r>
    </w:p>
    <w:p>
      <w:pPr>
        <w:pStyle w:val="src"/>
      </w:pPr>
      <w:r>
        <w:t xml:space="preserve">Fuente: NTS 097-MINSA · NTS 230-MINSA. Molde: 2026-1 Q67.</w:t>
      </w:r>
    </w:p>
    <w:p>
      <w:pPr>
        <w:pStyle w:val="tag"/>
      </w:pPr>
      <w:r>
        <w:t xml:space="preserve">II-11 · Tamizaje dual en gestante · 5 pts · CRÍTICO</w:t>
      </w:r>
    </w:p>
    <w:p>
      <w:pPr>
        <w:pStyle w:val="enun"/>
      </w:pPr>
      <w:r>
        <w:rPr>
          <w:b/>
          <w:bCs/>
        </w:rPr>
        <w:t xml:space="preserve">11. </w:t>
      </w:r>
      <w:r>
        <w:t xml:space="preserve">Gestante de 30 semanas sin ningún control prenatal acude por primera vez a un P.S. I-2 rural de Loreto. ¿Qué tamizaje corresponde aplicar en esa misma consulta?</w:t>
      </w:r>
    </w:p>
    <w:p>
      <w:pPr>
        <w:pStyle w:val="opt"/>
      </w:pPr>
      <w:r>
        <w:rPr>
          <w:b/>
          <w:bCs/>
        </w:rPr>
        <w:t xml:space="preserve">A)  Prueba rápida dual VIH/sífilis (PRD)</w:t>
      </w:r>
    </w:p>
    <w:p>
      <w:pPr>
        <w:pStyle w:val="opt"/>
      </w:pPr>
      <w:r>
        <w:rPr>
          <w:b w:val="false"/>
          <w:bCs w:val="false"/>
        </w:rPr>
        <w:t xml:space="preserve">B)  ELISA para VIH y RPR procesados en laboratorio</w:t>
      </w:r>
    </w:p>
    <w:p>
      <w:pPr>
        <w:pStyle w:val="opt"/>
      </w:pPr>
      <w:r>
        <w:rPr>
          <w:b w:val="false"/>
          <w:bCs w:val="false"/>
        </w:rPr>
        <w:t xml:space="preserve">C)  Carga viral y prueba treponémica confirmatoria</w:t>
      </w:r>
    </w:p>
    <w:p>
      <w:pPr>
        <w:pStyle w:val="opt"/>
      </w:pPr>
      <w:r>
        <w:rPr>
          <w:b w:val="false"/>
          <w:bCs w:val="false"/>
        </w:rPr>
        <w:t xml:space="preserve">D)  Prueba rápida solo de VIH; sífilis en el siguiente control</w:t>
      </w:r>
    </w:p>
    <w:p>
      <w:pPr>
        <w:pStyle w:val="h4"/>
      </w:pPr>
      <w:r>
        <w:t xml:space="preserve">Clave: A</w:t>
      </w:r>
    </w:p>
    <w:p>
      <w:pPr>
        <w:pStyle w:val="sm"/>
      </w:pPr>
      <w:r>
        <w:rPr>
          <w:b/>
          <w:bCs/>
        </w:rPr>
        <w:t xml:space="preserve">Por qué. </w:t>
      </w:r>
      <w:r>
        <w:t xml:space="preserve">La ventana es única: una gestante sin controles y a 30 semanas puede no volver. La prueba rápida dual da resultado de VIH y de treponema en la misma visita y con una sola muestra, lo que permite iniciar de inmediato el protocolo de prevención de la transmisión materno-infantil. Esperar un laboratorio es perder al paciente.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A) Prueba rápida dual</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Detecta VIH y treponema en una sola prueba, en el punto de atención.</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Toda gestante, especialmente la no controlada o de zona rural.</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B) ELISA más RPR de laboratorio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Requieren envío de muestra y demora; un P.S. I-2 rural no los procesa.</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Nivel con laboratorio y paciente con seguimiento asegurado.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Carga viral o confirmatoria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Son pruebas de confirmación y seguimiento, no de tamizaje.</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Después de un tamizaje reactivo, en el nivel correspondiente.</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Solo VIH ahora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Fragmenta el tamizaje y deja la sífilis sin cubrir en la única visita disponible.</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En ningún escenario: la norma indica tamizaje dual.</w:t>
            </w:r>
          </w:p>
        </w:tc>
      </w:tr>
    </w:tbl>
    <w:p>
      <w:pPr>
        <w:pStyle w:val="sm"/>
        <w:spacing w:before="100"/>
      </w:pPr>
      <w:r>
        <w:rPr>
          <w:b/>
          <w:bCs/>
        </w:rPr>
        <w:t xml:space="preserve">Dato a fijar. </w:t>
      </w:r>
      <w:r>
        <w:t xml:space="preserve">Conducta si sale reactiva: VIH reactivo en gestante → confirmar, iniciar TARV y protocolo PTMI (cesárea electiva según criterio, supresión de lactancia, profilaxis al recién nacido). Sífilis reactiva → penicilina benzatínica según estadio, tratamiento a la pareja y evaluación del recién nacido por sífilis congénita.</w:t>
      </w:r>
    </w:p>
    <w:p>
      <w:pPr>
        <w:pStyle w:val="sm"/>
      </w:pPr>
      <w:r>
        <w:rPr>
          <w:b/>
          <w:bCs/>
        </w:rPr>
        <w:t xml:space="preserve">Gatillo. </w:t>
      </w:r>
      <w:r>
        <w:t xml:space="preserve">«Gestante sin controles / primera vez / zona rural» → prueba rápida dual, ahí mismo.</w:t>
      </w:r>
    </w:p>
    <w:p>
      <w:pPr>
        <w:pStyle w:val="sm"/>
      </w:pPr>
      <w:r>
        <w:rPr>
          <w:b/>
          <w:bCs/>
        </w:rPr>
        <w:t xml:space="preserve">Trampa. </w:t>
      </w:r>
      <w:r>
        <w:t xml:space="preserve">Ofrecen «prueba triple» o pruebas moleculares para confundir con la DUAL (VIH más treponema).</w:t>
      </w:r>
    </w:p>
    <w:p>
      <w:pPr>
        <w:pStyle w:val="src"/>
      </w:pPr>
      <w:r>
        <w:t xml:space="preserve">Fuente: NTS 230-MINSA, prevención de la transmisión materno-infantil de VIH, sífilis y VHB. Molde: 2026-1 Q12.</w:t>
      </w:r>
    </w:p>
    <w:p>
      <w:pPr>
        <w:pStyle w:val="tag"/>
      </w:pPr>
      <w:r>
        <w:t xml:space="preserve">II-8 · Confirmar antes de tratar · 4 pts · CRÍTICO</w:t>
      </w:r>
    </w:p>
    <w:p>
      <w:pPr>
        <w:pStyle w:val="enun"/>
      </w:pPr>
      <w:r>
        <w:rPr>
          <w:b/>
          <w:bCs/>
        </w:rPr>
        <w:t xml:space="preserve">12. </w:t>
      </w:r>
      <w:r>
        <w:t xml:space="preserve">Varón de 52 años, asintomático, acude a chequeo en un C.S. I-3 de Lambayeque. Glicemia en ayunas 120 mg/dL. Sin diagnóstico previo ni síntomas. La conducta correcta es:</w:t>
      </w:r>
    </w:p>
    <w:p>
      <w:pPr>
        <w:pStyle w:val="opt"/>
      </w:pPr>
      <w:r>
        <w:rPr>
          <w:b w:val="false"/>
          <w:bCs w:val="false"/>
        </w:rPr>
        <w:t xml:space="preserve">A)  Iniciar metformina de inmediato</w:t>
      </w:r>
    </w:p>
    <w:p>
      <w:pPr>
        <w:pStyle w:val="opt"/>
      </w:pPr>
      <w:r>
        <w:rPr>
          <w:b/>
          <w:bCs/>
        </w:rPr>
        <w:t xml:space="preserve">B)  Repetir la glicemia en ayunas para confirmar</w:t>
      </w:r>
    </w:p>
    <w:p>
      <w:pPr>
        <w:pStyle w:val="opt"/>
      </w:pPr>
      <w:r>
        <w:rPr>
          <w:b w:val="false"/>
          <w:bCs w:val="false"/>
        </w:rPr>
        <w:t xml:space="preserve">C)  Diagnosticar diabetes mellitus tipo 2 e ingresar a HEARTS</w:t>
      </w:r>
    </w:p>
    <w:p>
      <w:pPr>
        <w:pStyle w:val="opt"/>
      </w:pPr>
      <w:r>
        <w:rPr>
          <w:b w:val="false"/>
          <w:bCs w:val="false"/>
        </w:rPr>
        <w:t xml:space="preserve">D)  Indicar solo dieta y control en un año</w:t>
      </w:r>
    </w:p>
    <w:p>
      <w:pPr>
        <w:pStyle w:val="h4"/>
      </w:pPr>
      <w:r>
        <w:t xml:space="preserve">Clave: B</w:t>
      </w:r>
    </w:p>
    <w:p>
      <w:pPr>
        <w:pStyle w:val="sm"/>
      </w:pPr>
      <w:r>
        <w:rPr>
          <w:b/>
          <w:bCs/>
        </w:rPr>
        <w:t xml:space="preserve">Por qué. </w:t>
      </w:r>
      <w:r>
        <w:t xml:space="preserve">120 mg/dL cae en el rango de PREDIABETES (100-125), no de diabetes, y en un paciente asintomático ningún diagnóstico se hace con una sola medición: la glicemia varía con el estrés, el ayuno real y la técnica. La regla del tema es confirmar antes de etiquetar, la misma que aplica a la presión arterial.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Iniciar metformina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Trata a un paciente que aún no tiene diagnóstico confirmado.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Diabetes ya confirmada, con indicación de inicio farmacológico.</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Repetir la glicemia</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Confirmar el valor antes de diagnosticar y clasificar.</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Ante cualquier valor alterado único en paciente asintomático.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Diagnosticar DM2</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El corte diagnóstico en ayunas es de 126 mg/dL o más, y aun así requiere confirmación.</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Glicemia de 126 o más confirmada, o de 200 o más con síntomas clásicos.</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Dieta y control anual</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Subestima: la prediabetes exige intervención de estilo de vida y seguimiento cercano, no en un año.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Paciente con glicemia normal y sin factores de riesgo.</w:t>
            </w:r>
          </w:p>
        </w:tc>
      </w:tr>
    </w:tbl>
    <w:p>
      <w:pPr>
        <w:pStyle w:val="sm"/>
        <w:spacing w:before="100"/>
      </w:pPr>
      <w:r>
        <w:rPr>
          <w:b/>
          <w:bCs/>
        </w:rPr>
        <w:t xml:space="preserve">Dato a fijar. </w:t>
      </w:r>
      <w:r>
        <w:t xml:space="preserve">Escalera del mismo paciente (glicemia en ayunas): menos de 100 → normal · 100-125 → prediabetes (estilo de vida y seguimiento) · 126 o más confirmada → diabetes · 200 o más con poliuria, polidipsia y pérdida de peso → diabetes, sin necesidad de repetir. Metas una vez diagnosticado: HbA1c menor de 7 % · glicemia postprandial de 2 h menor de 140 · perímetro abdominal de 94 cm en varón · PA menor de 140/90.</w:t>
      </w:r>
    </w:p>
    <w:p>
      <w:pPr>
        <w:pStyle w:val="sm"/>
      </w:pPr>
      <w:r>
        <w:rPr>
          <w:b/>
          <w:bCs/>
        </w:rPr>
        <w:t xml:space="preserve">Gatillo. </w:t>
      </w:r>
      <w:r>
        <w:t xml:space="preserve">Valor único alterado más paciente asintomático = CONFIRMAR. Lo mismo con una PA elevada: se re-toma o se pide MAPA.</w:t>
      </w:r>
    </w:p>
    <w:p>
      <w:pPr>
        <w:pStyle w:val="sm"/>
      </w:pPr>
      <w:r>
        <w:rPr>
          <w:b/>
          <w:bCs/>
        </w:rPr>
        <w:t xml:space="preserve">Trampa. </w:t>
      </w:r>
      <w:r>
        <w:t xml:space="preserve">En las metas ofrecen HbA1c menor de 7,5 % como distractor de 7 %, y 78, 87 o 99 cm como distractores del perímetro de 94 cm.</w:t>
      </w:r>
    </w:p>
    <w:p>
      <w:pPr>
        <w:pStyle w:val="src"/>
      </w:pPr>
      <w:r>
        <w:t xml:space="preserve">Fuente: NTS 229-MINSA/2024 (HEARTS). Moldes: 2025-2 Q89, 2024-2A Q64 y 2025-1A Q88.</w:t>
      </w:r>
    </w:p>
    <w:p>
      <w:pPr>
        <w:pStyle w:val="tag"/>
      </w:pPr>
      <w:r>
        <w:t xml:space="preserve">V-2 · PEI vs POI · 9 pts · crítico n.º 2</w:t>
      </w:r>
    </w:p>
    <w:p>
      <w:pPr>
        <w:pStyle w:val="enun"/>
      </w:pPr>
      <w:r>
        <w:rPr>
          <w:b/>
          <w:bCs/>
        </w:rPr>
        <w:t xml:space="preserve">13. </w:t>
      </w:r>
      <w:r>
        <w:t xml:space="preserve">El documento que programa las actividades operativas y las inversiones del año fiscal, con metas físicas y financieras, alineado al plan estratégico de la institución, es:</w:t>
      </w:r>
    </w:p>
    <w:p>
      <w:pPr>
        <w:pStyle w:val="opt"/>
      </w:pPr>
      <w:r>
        <w:rPr>
          <w:b w:val="false"/>
          <w:bCs w:val="false"/>
        </w:rPr>
        <w:t xml:space="preserve">A)  Plan Estratégico Institucional (PEI)</w:t>
      </w:r>
    </w:p>
    <w:p>
      <w:pPr>
        <w:pStyle w:val="opt"/>
      </w:pPr>
      <w:r>
        <w:rPr>
          <w:b/>
          <w:bCs/>
        </w:rPr>
        <w:t xml:space="preserve">B)  Plan Operativo Institucional (POI)</w:t>
      </w:r>
    </w:p>
    <w:p>
      <w:pPr>
        <w:pStyle w:val="opt"/>
      </w:pPr>
      <w:r>
        <w:rPr>
          <w:b w:val="false"/>
          <w:bCs w:val="false"/>
        </w:rPr>
        <w:t xml:space="preserve">C)  Plan Estratégico de Desarrollo Nacional (PEDN)</w:t>
      </w:r>
    </w:p>
    <w:p>
      <w:pPr>
        <w:pStyle w:val="opt"/>
      </w:pPr>
      <w:r>
        <w:rPr>
          <w:b w:val="false"/>
          <w:bCs w:val="false"/>
        </w:rPr>
        <w:t xml:space="preserve">D)  Reglamento de Organización y Funciones (ROF)</w:t>
      </w:r>
    </w:p>
    <w:p>
      <w:pPr>
        <w:pStyle w:val="h4"/>
      </w:pPr>
      <w:r>
        <w:t xml:space="preserve">Clave: B</w:t>
      </w:r>
    </w:p>
    <w:p>
      <w:pPr>
        <w:pStyle w:val="sm"/>
      </w:pPr>
      <w:r>
        <w:rPr>
          <w:b/>
          <w:bCs/>
        </w:rPr>
        <w:t xml:space="preserve">Por qué. </w:t>
      </w:r>
      <w:r>
        <w:t xml:space="preserve">Lo que identifica al POI son tres marcas: es ANUAL, es OPERATIVO y tiene metas FÍSICAS y FINANCIERAS. El PEI define el rumbo (qué queremos lograr en 5 años, con objetivos estratégicos); el POI aterriza ese rumbo al año fiscal con actividades, cantidades y presupuesto.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PEI</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Documento estratégico de 5 años: misión, OEI (objetivos estratégicos institucionales) y AEI (acciones estratégicas institucionales).</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el enunciado hablara de misión, OEI/AEI y horizonte plurianual.</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POI</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Anual, operativo, metas físicas y financieras, alineado al PEI.</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que aparezca «año fiscal», «actividades operativas» o «metas físicas».</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PEDN</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Plan Estratégico de Desarrollo Nacional: el nivel país, no institucional.</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preguntaran por el planeamiento nacional que orienta a todo el Estado.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ROF</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Documento de organización: estructura orgánica y funciones de cada órgano. No planifica.</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preguntaran qué documento define funciones de las unidades orgánicas.</w:t>
            </w:r>
          </w:p>
        </w:tc>
      </w:tr>
    </w:tbl>
    <w:p>
      <w:pPr>
        <w:pStyle w:val="sm"/>
        <w:spacing w:before="100"/>
      </w:pPr>
      <w:r>
        <w:rPr>
          <w:b/>
          <w:bCs/>
        </w:rPr>
        <w:t xml:space="preserve">Dato a fijar. </w:t>
      </w:r>
      <w:r>
        <w:t xml:space="preserve">Documentos de gestión, cada uno con su gatillo: PEI = estratégico, 5 años · POI = operativo, anual (POI Multianual = 3 años) · ROF = estructura y funciones de los órganos · MOF = perfil y funciones del CARGO (se usa para contratar) · CAP = cuadro de plazas (se usa para la brecha de RRHH) · MAPRO = procedimientos.</w:t>
      </w:r>
    </w:p>
    <w:p>
      <w:pPr>
        <w:pStyle w:val="sm"/>
      </w:pPr>
      <w:r>
        <w:rPr>
          <w:b/>
          <w:bCs/>
        </w:rPr>
        <w:t xml:space="preserve">Gatillo. </w:t>
      </w:r>
      <w:r>
        <w:t xml:space="preserve">«Metas físicas y financieras / año fiscal» = POI. «Misión, OEI, 5 años» = PEI.</w:t>
      </w:r>
    </w:p>
    <w:p>
      <w:pPr>
        <w:pStyle w:val="sm"/>
      </w:pPr>
      <w:r>
        <w:rPr>
          <w:b/>
          <w:bCs/>
        </w:rPr>
        <w:t xml:space="preserve">Trampa. </w:t>
      </w:r>
      <w:r>
        <w:t xml:space="preserve">Describen el POI con palabras que suenan estratégicas («alineado al plan institucional») para empujarte a marcar PEI.</w:t>
      </w:r>
    </w:p>
    <w:p>
      <w:pPr>
        <w:pStyle w:val="src"/>
      </w:pPr>
      <w:r>
        <w:t xml:space="preserve">Fuente: Directiva 001-2024-CEPLAN/PCD. Moldes: 2025-2 Q20 y Q52 · 2024-2A/B Q10.</w:t>
      </w:r>
    </w:p>
    <w:p>
      <w:pPr>
        <w:pStyle w:val="tag"/>
      </w:pPr>
      <w:r>
        <w:t xml:space="preserve">V-2 · Horizonte del PEI · 9 pts · crítico n.º 2</w:t>
      </w:r>
    </w:p>
    <w:p>
      <w:pPr>
        <w:pStyle w:val="enun"/>
      </w:pPr>
      <w:r>
        <w:rPr>
          <w:b/>
          <w:bCs/>
        </w:rPr>
        <w:t xml:space="preserve">14. </w:t>
      </w:r>
      <w:r>
        <w:t xml:space="preserve">Conforme a la guía vigente de CEPLAN (Directiva 001-2024), el horizonte de planeamiento del Plan Estratégico Institucional (PEI) de una DIRESA es de:</w:t>
      </w:r>
    </w:p>
    <w:p>
      <w:pPr>
        <w:pStyle w:val="opt"/>
      </w:pPr>
      <w:r>
        <w:rPr>
          <w:b w:val="false"/>
          <w:bCs w:val="false"/>
        </w:rPr>
        <w:t xml:space="preserve">A)  1 año</w:t>
      </w:r>
    </w:p>
    <w:p>
      <w:pPr>
        <w:pStyle w:val="opt"/>
      </w:pPr>
      <w:r>
        <w:rPr>
          <w:b w:val="false"/>
          <w:bCs w:val="false"/>
        </w:rPr>
        <w:t xml:space="preserve">B)  3 años</w:t>
      </w:r>
    </w:p>
    <w:p>
      <w:pPr>
        <w:pStyle w:val="opt"/>
      </w:pPr>
      <w:r>
        <w:rPr>
          <w:b/>
          <w:bCs/>
        </w:rPr>
        <w:t xml:space="preserve">C)  5 años</w:t>
      </w:r>
    </w:p>
    <w:p>
      <w:pPr>
        <w:pStyle w:val="opt"/>
      </w:pPr>
      <w:r>
        <w:rPr>
          <w:b w:val="false"/>
          <w:bCs w:val="false"/>
        </w:rPr>
        <w:t xml:space="preserve">D)  10 años</w:t>
      </w:r>
    </w:p>
    <w:p>
      <w:pPr>
        <w:pStyle w:val="h4"/>
      </w:pPr>
      <w:r>
        <w:t xml:space="preserve">Clave: C</w:t>
      </w:r>
    </w:p>
    <w:p>
      <w:pPr>
        <w:pStyle w:val="sm"/>
      </w:pPr>
      <w:r>
        <w:rPr>
          <w:b/>
          <w:bCs/>
        </w:rPr>
        <w:t xml:space="preserve">Por qué. </w:t>
      </w:r>
      <w:r>
        <w:t xml:space="preserve">El PEI debe cubrir un periodo suficiente para que los objetivos estratégicos maduren y a la vez sea revisable: la guía CEPLAN 2024 lo fija en 5 años. Es un cambio respecto del material antiguo, que manejaba 3 años, y es exactamente el tipo de dato que el examen actualiza y el postulante desactualizado falla.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1 año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el horizonte del POI, no del PEI.</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preguntaran por el Plan Operativo Institucional.</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B) 3 años</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el horizonte del POI MULTIANUAL, y era el valor antiguo del PEI en material previo a 2024.</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preguntaran por el POI Multianual (cayó así en 2024-2A/B Q4).</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C) 5 años</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según la guía CEPLAN 2024.</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Horizonte vigente del PEI.</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10 años</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Corresponde a horizontes de plan nacional o sectorial de largo plazo.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Planes de desarrollo concertado o PEDN.</w:t>
            </w:r>
          </w:p>
        </w:tc>
      </w:tr>
    </w:tbl>
    <w:p>
      <w:pPr>
        <w:pStyle w:val="sm"/>
      </w:pPr>
      <w:r>
        <w:rPr>
          <w:b/>
          <w:bCs/>
          <w:color w:val="9C4A00"/>
        </w:rPr>
        <w:t xml:space="preserve">Atención. </w:t>
      </w:r>
      <w:r>
        <w:rPr>
          <w:color w:val="9C4A00"/>
        </w:rPr>
        <w:t xml:space="preserve">Dato con discrepancia documentada: los compendios y los exámenes anteriores a 2024 daban 3 años; la guía CEPLAN vigente dice 5. Si en el examen aparecen ambas opciones, marcá 5, pero conviene conocer las dos versiones.</w:t>
      </w:r>
    </w:p>
    <w:p>
      <w:pPr>
        <w:pStyle w:val="sm"/>
      </w:pPr>
      <w:r>
        <w:rPr>
          <w:b/>
          <w:bCs/>
        </w:rPr>
        <w:t xml:space="preserve">Gatillo. </w:t>
      </w:r>
      <w:r>
        <w:t xml:space="preserve">PEI = 5 · POI = 1 · POI Multianual = 3. Memorizá el trío junto, porque los intercambian entre sí.</w:t>
      </w:r>
    </w:p>
    <w:p>
      <w:pPr>
        <w:pStyle w:val="sm"/>
      </w:pPr>
      <w:r>
        <w:rPr>
          <w:b/>
          <w:bCs/>
        </w:rPr>
        <w:t xml:space="preserve">Trampa. </w:t>
      </w:r>
      <w:r>
        <w:t xml:space="preserve">«3 años» aparece siempre, y es correcto, pero para el POI Multianual, no para el PEI.</w:t>
      </w:r>
    </w:p>
    <w:p>
      <w:pPr>
        <w:pStyle w:val="src"/>
      </w:pPr>
      <w:r>
        <w:t xml:space="preserve">Fuente: Guía CEPLAN 2024 (Directiva 001-2024-CEPLAN/PCD). Corrección verificada el 01-jul en el motor de preguntas.</w:t>
      </w:r>
    </w:p>
    <w:p>
      <w:pPr>
        <w:pStyle w:val="tag"/>
      </w:pPr>
      <w:r>
        <w:t xml:space="preserve">V-2 · FODA · 9 pts · crítico n.º 2</w:t>
      </w:r>
    </w:p>
    <w:p>
      <w:pPr>
        <w:pStyle w:val="enun"/>
      </w:pPr>
      <w:r>
        <w:rPr>
          <w:b/>
          <w:bCs/>
        </w:rPr>
        <w:t xml:space="preserve">15. </w:t>
      </w:r>
      <w:r>
        <w:t xml:space="preserve">En el análisis FODA de un C.S. I-3 de Junín, el equipo identifica que la población de la zona mantiene el hábito de automedicarse y de acudir tardíamente al servicio. Este factor se clasifica como:</w:t>
      </w:r>
    </w:p>
    <w:p>
      <w:pPr>
        <w:pStyle w:val="opt"/>
      </w:pPr>
      <w:r>
        <w:rPr>
          <w:b w:val="false"/>
          <w:bCs w:val="false"/>
        </w:rPr>
        <w:t xml:space="preserve">A)  Debilidad</w:t>
      </w:r>
    </w:p>
    <w:p>
      <w:pPr>
        <w:pStyle w:val="opt"/>
      </w:pPr>
      <w:r>
        <w:rPr>
          <w:b/>
          <w:bCs/>
        </w:rPr>
        <w:t xml:space="preserve">B)  Amenaza</w:t>
      </w:r>
    </w:p>
    <w:p>
      <w:pPr>
        <w:pStyle w:val="opt"/>
      </w:pPr>
      <w:r>
        <w:rPr>
          <w:b w:val="false"/>
          <w:bCs w:val="false"/>
        </w:rPr>
        <w:t xml:space="preserve">C)  Oportunidad</w:t>
      </w:r>
    </w:p>
    <w:p>
      <w:pPr>
        <w:pStyle w:val="opt"/>
      </w:pPr>
      <w:r>
        <w:rPr>
          <w:b w:val="false"/>
          <w:bCs w:val="false"/>
        </w:rPr>
        <w:t xml:space="preserve">D)  Fortaleza</w:t>
      </w:r>
    </w:p>
    <w:p>
      <w:pPr>
        <w:pStyle w:val="h4"/>
      </w:pPr>
      <w:r>
        <w:t xml:space="preserve">Clave: B</w:t>
      </w:r>
    </w:p>
    <w:p>
      <w:pPr>
        <w:pStyle w:val="sm"/>
      </w:pPr>
      <w:r>
        <w:rPr>
          <w:b/>
          <w:bCs/>
        </w:rPr>
        <w:t xml:space="preserve">Por qué. </w:t>
      </w:r>
      <w:r>
        <w:t xml:space="preserve">El FODA se clasifica con dos preguntas en este orden: ¿es de ADENTRO o de AFUERA de la institución? y ¿juega a favor o en contra? El hábito de la población está fuera del control del establecimiento (externo) y perjudica el resultado sanitario (negativo): amenaza.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Debilidad</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Interna y negativa: lo que el propio EESS hace mal o le falta (equipo malogrado, personal insuficiente).</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el caso dijera «el establecimiento no cuenta con ecógrafo ni con personal capacitado».</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Amenaza</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Externa y negativa, difícil de modificar por la institución.</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Hábitos de la población, clima, crisis económica, competencia informal.</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Oportunidad</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Externa y positiva: lo que el entorno ofrece y se puede aprovechar.</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Un convenio con la municipalidad, un nuevo programa presupuestal.</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Fortaleza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Interna y positiva: la capacidad propia del EESS.</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Personal con especialidad, buena cobertura de CRED (cayó así en 2026-1 Q82).</w:t>
            </w:r>
          </w:p>
        </w:tc>
      </w:tr>
    </w:tbl>
    <w:p>
      <w:pPr>
        <w:pStyle w:val="sm"/>
        <w:spacing w:before="100"/>
      </w:pPr>
      <w:r>
        <w:rPr>
          <w:b/>
          <w:bCs/>
        </w:rPr>
        <w:t xml:space="preserve">Dato a fijar. </w:t>
      </w:r>
      <w:r>
        <w:t xml:space="preserve">La matriz completa: interno y positivo = Fortaleza · interno y negativo = Debilidad · externo y positivo = Oportunidad · externo y negativo = Amenaza. El FODA es una herramienta de DIAGNÓSTICO situacional (línea de base), no de ejecución.</w:t>
      </w:r>
    </w:p>
    <w:p>
      <w:pPr>
        <w:pStyle w:val="sm"/>
      </w:pPr>
      <w:r>
        <w:rPr>
          <w:b/>
          <w:bCs/>
        </w:rPr>
        <w:t xml:space="preserve">Gatillo. </w:t>
      </w:r>
      <w:r>
        <w:t xml:space="preserve">Preguntá primero «¿esto lo controla el establecimiento?». Si no → O o A. Recién después mirá el signo.</w:t>
      </w:r>
    </w:p>
    <w:p>
      <w:pPr>
        <w:pStyle w:val="sm"/>
      </w:pPr>
      <w:r>
        <w:rPr>
          <w:b/>
          <w:bCs/>
        </w:rPr>
        <w:t xml:space="preserve">Trampa. </w:t>
      </w:r>
      <w:r>
        <w:t xml:space="preserve">El hábito de la población se marca como «debilidad» porque afecta al servicio, pero el servicio no lo controla.</w:t>
      </w:r>
    </w:p>
    <w:p>
      <w:pPr>
        <w:pStyle w:val="src"/>
      </w:pPr>
      <w:r>
        <w:t xml:space="preserve">Fuente: Directiva 001-2024-CEPLAN/PCD, análisis estratégico institucional. Molde: 2025-1A Q62 y Q49.</w:t>
      </w:r>
    </w:p>
    <w:p>
      <w:pPr>
        <w:pStyle w:val="tag"/>
      </w:pPr>
      <w:r>
        <w:t xml:space="preserve">V-1 · UPSS y categoría · 3 pts</w:t>
      </w:r>
    </w:p>
    <w:p>
      <w:pPr>
        <w:pStyle w:val="enun"/>
      </w:pPr>
      <w:r>
        <w:rPr>
          <w:b/>
          <w:bCs/>
        </w:rPr>
        <w:t xml:space="preserve">16. </w:t>
      </w:r>
      <w:r>
        <w:t xml:space="preserve">Un establecimiento de salud cuenta únicamente con la UPSS Consulta Externa, atendida por médico cirujano, con actividades intramurales y extramurales. ¿Qué categoría le corresponde?</w:t>
      </w:r>
    </w:p>
    <w:p>
      <w:pPr>
        <w:pStyle w:val="opt"/>
      </w:pPr>
      <w:r>
        <w:rPr>
          <w:b w:val="false"/>
          <w:bCs w:val="false"/>
        </w:rPr>
        <w:t xml:space="preserve">A)  I-1</w:t>
      </w:r>
    </w:p>
    <w:p>
      <w:pPr>
        <w:pStyle w:val="opt"/>
      </w:pPr>
      <w:r>
        <w:rPr>
          <w:b/>
          <w:bCs/>
        </w:rPr>
        <w:t xml:space="preserve">B)  I-2</w:t>
      </w:r>
    </w:p>
    <w:p>
      <w:pPr>
        <w:pStyle w:val="opt"/>
      </w:pPr>
      <w:r>
        <w:rPr>
          <w:b w:val="false"/>
          <w:bCs w:val="false"/>
        </w:rPr>
        <w:t xml:space="preserve">C)  I-3</w:t>
      </w:r>
    </w:p>
    <w:p>
      <w:pPr>
        <w:pStyle w:val="opt"/>
      </w:pPr>
      <w:r>
        <w:rPr>
          <w:b w:val="false"/>
          <w:bCs w:val="false"/>
        </w:rPr>
        <w:t xml:space="preserve">D)  I-4</w:t>
      </w:r>
    </w:p>
    <w:p>
      <w:pPr>
        <w:pStyle w:val="h4"/>
      </w:pPr>
      <w:r>
        <w:t xml:space="preserve">Clave: B</w:t>
      </w:r>
    </w:p>
    <w:p>
      <w:pPr>
        <w:pStyle w:val="sm"/>
      </w:pPr>
      <w:r>
        <w:rPr>
          <w:b/>
          <w:bCs/>
        </w:rPr>
        <w:t xml:space="preserve">Por qué. </w:t>
      </w:r>
      <w:r>
        <w:t xml:space="preserve">En la NTS 021 la categoría se define por la UPSS mínima y por el tipo de profesional que la atiende. Lo que separa al I-1 del I-2 es precisamente la presencia de MÉDICO: el I-1 es atendido por profesional no médico. Y lo que separa al I-2 del I-3 es que aparezcan UPSS adicionales, sobre todo patología clínica.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I-1</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Consulta externa atendida por profesional NO médico (enfermera, obstetra, técnico).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Puesto de salud sin médico asignado.</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I-2</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Solo consulta externa, con médico cirujano, intra y extramural.</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Exactamente el escenario descrito.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I-3</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Suma UPSS adicionales, típicamente patología clínica (laboratorio) y más profesionales.</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Consulta externa más laboratorio y equipo con obstetra y enfermería.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I-4</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El de mayor complejidad del primer nivel: incorpora internamiento y centro obstétrico.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EESS con camas de internamiento y atención de partos las 24 horas.</w:t>
            </w:r>
          </w:p>
        </w:tc>
      </w:tr>
    </w:tbl>
    <w:p>
      <w:pPr>
        <w:pStyle w:val="sm"/>
        <w:spacing w:before="100"/>
      </w:pPr>
      <w:r>
        <w:rPr>
          <w:b/>
          <w:bCs/>
        </w:rPr>
        <w:t xml:space="preserve">Dato a fijar. </w:t>
      </w:r>
      <w:r>
        <w:t xml:space="preserve">Los 4 procesos hermanos (se confunden a propósito): categorización = clasificar por complejidad · categoría = el resultado (I-2, II-1...) · habilitación = autoriza el funcionamiento · acreditación = evalúa la calidad por macroprocesos.</w:t>
      </w:r>
    </w:p>
    <w:p>
      <w:pPr>
        <w:pStyle w:val="sm"/>
      </w:pPr>
      <w:r>
        <w:rPr>
          <w:b/>
          <w:bCs/>
        </w:rPr>
        <w:t xml:space="preserve">Gatillo. </w:t>
      </w:r>
      <w:r>
        <w:t xml:space="preserve">Contá las UPSS que el enunciado nombra, no las que imaginás. «Solo consulta externa» significa solo eso.</w:t>
      </w:r>
    </w:p>
    <w:p>
      <w:pPr>
        <w:pStyle w:val="sm"/>
      </w:pPr>
      <w:r>
        <w:rPr>
          <w:b/>
          <w:bCs/>
        </w:rPr>
        <w:t xml:space="preserve">Trampa. </w:t>
      </w:r>
      <w:r>
        <w:t xml:space="preserve">Se sobrevalora la categoría. Si dice «únicamente consulta externa», no sube a I-3 por más que haya médico.</w:t>
      </w:r>
    </w:p>
    <w:p>
      <w:pPr>
        <w:pStyle w:val="src"/>
      </w:pPr>
      <w:r>
        <w:t xml:space="preserve">Fuente: NTS 021-MINSA/DGSP-V.03 (RM 546-2011). Moldes: 2025-2 Q42, Q82 y Q32.</w:t>
      </w:r>
    </w:p>
    <w:p>
      <w:pPr>
        <w:pStyle w:val="tag"/>
      </w:pPr>
      <w:r>
        <w:t xml:space="preserve">V-3 · Condición de contrarreferencia · referencia y RIS</w:t>
      </w:r>
    </w:p>
    <w:p>
      <w:pPr>
        <w:pStyle w:val="enun"/>
      </w:pPr>
      <w:r>
        <w:rPr>
          <w:b/>
          <w:bCs/>
        </w:rPr>
        <w:t xml:space="preserve">17. </w:t>
      </w:r>
      <w:r>
        <w:t xml:space="preserve">Un paciente referido al hospital II-1 por gastritis retorna a su C.S. I-3 de origen con indicación de continuar el tratamiento, pues el problema se resolvió solo parcialmente. La condición de contrarreferencia que corresponde es:</w:t>
      </w:r>
    </w:p>
    <w:p>
      <w:pPr>
        <w:pStyle w:val="opt"/>
      </w:pPr>
      <w:r>
        <w:rPr>
          <w:b w:val="false"/>
          <w:bCs w:val="false"/>
        </w:rPr>
        <w:t xml:space="preserve">A)  Curado</w:t>
      </w:r>
    </w:p>
    <w:p>
      <w:pPr>
        <w:pStyle w:val="opt"/>
      </w:pPr>
      <w:r>
        <w:rPr>
          <w:b/>
          <w:bCs/>
        </w:rPr>
        <w:t xml:space="preserve">B)  Mejorado</w:t>
      </w:r>
    </w:p>
    <w:p>
      <w:pPr>
        <w:pStyle w:val="opt"/>
      </w:pPr>
      <w:r>
        <w:rPr>
          <w:b w:val="false"/>
          <w:bCs w:val="false"/>
        </w:rPr>
        <w:t xml:space="preserve">C)  Estacionario</w:t>
      </w:r>
    </w:p>
    <w:p>
      <w:pPr>
        <w:pStyle w:val="opt"/>
      </w:pPr>
      <w:r>
        <w:rPr>
          <w:b w:val="false"/>
          <w:bCs w:val="false"/>
        </w:rPr>
        <w:t xml:space="preserve">D)  Alta definitiva</w:t>
      </w:r>
    </w:p>
    <w:p>
      <w:pPr>
        <w:pStyle w:val="h4"/>
      </w:pPr>
      <w:r>
        <w:t xml:space="preserve">Clave: B</w:t>
      </w:r>
    </w:p>
    <w:p>
      <w:pPr>
        <w:pStyle w:val="sm"/>
      </w:pPr>
      <w:r>
        <w:rPr>
          <w:b/>
          <w:bCs/>
        </w:rPr>
        <w:t xml:space="preserve">Por qué. </w:t>
      </w:r>
      <w:r>
        <w:t xml:space="preserve">El criterio es cuánto se resolvió el problema, no dónde continúa el paciente. «Resuelto parcialmente y sigue en tratamiento» es la definición literal de MEJORADO. Curado exige resolución completa y sin tratamiento pendiente: si aún se trata, no está curado.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Curado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El problema se resolvió por completo y no requiere continuar tratamiento.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el enunciado dijera «resuelto totalmente, sin indicaciones pendientes».</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Mejorado</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Resolución parcial, continúa tratamiento en su EESS de origen.</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Exactamente el escenario descrito, y es un caso que se repite idéntico.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Estacionario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El cuadro no cambió respecto del ingreso.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Paciente que retorna sin variación clínica.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Alta definitiva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No es una condición de contrarreferencia; es un acto administrativo del alta.</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No aplica en este sistema de clasificación.</w:t>
            </w:r>
          </w:p>
        </w:tc>
      </w:tr>
    </w:tbl>
    <w:p>
      <w:pPr>
        <w:pStyle w:val="sm"/>
        <w:spacing w:before="100"/>
      </w:pPr>
      <w:r>
        <w:rPr>
          <w:b/>
          <w:bCs/>
        </w:rPr>
        <w:t xml:space="preserve">Dato a fijar. </w:t>
      </w:r>
      <w:r>
        <w:t xml:space="preserve">La dirección del flujo: referencia = de menor a MAYOR capacidad resolutiva, para asegurar continuidad · contrarreferencia = el retorno al EESS de origen, con la condición del paciente (curado, mejorado o estacionario) y las indicaciones de seguimiento.</w:t>
      </w:r>
    </w:p>
    <w:p>
      <w:pPr>
        <w:pStyle w:val="sm"/>
      </w:pPr>
      <w:r>
        <w:rPr>
          <w:b/>
          <w:bCs/>
        </w:rPr>
        <w:t xml:space="preserve">Gatillo. </w:t>
      </w:r>
      <w:r>
        <w:t xml:space="preserve">La palabra «parcialmente» o «continuar tratamiento» fija MEJORADO. Es una regalada si no te apurás.</w:t>
      </w:r>
    </w:p>
    <w:p>
      <w:pPr>
        <w:pStyle w:val="sm"/>
      </w:pPr>
      <w:r>
        <w:rPr>
          <w:b/>
          <w:bCs/>
        </w:rPr>
        <w:t xml:space="preserve">Trampa. </w:t>
      </w:r>
      <w:r>
        <w:t xml:space="preserve">«Curado» es el distractor letal: este mismo enunciado cayó idéntico en 2025-1A y 2025-1B.</w:t>
      </w:r>
    </w:p>
    <w:p>
      <w:pPr>
        <w:pStyle w:val="src"/>
      </w:pPr>
      <w:r>
        <w:t xml:space="preserve">Fuente: NTS 020-MINSA/DGSP (RM 751-2004). Moldes: 2025-1A Q16 y 2025-1B Q82.</w:t>
      </w:r>
    </w:p>
    <w:p>
      <w:pPr>
        <w:pStyle w:val="tag"/>
      </w:pPr>
      <w:r>
        <w:t xml:space="preserve">III-5 · Conflicto intercultural · 5 pts · CRÍTICO</w:t>
      </w:r>
    </w:p>
    <w:p>
      <w:pPr>
        <w:pStyle w:val="enun"/>
      </w:pPr>
      <w:r>
        <w:rPr>
          <w:b/>
          <w:bCs/>
        </w:rPr>
        <w:t xml:space="preserve">18. </w:t>
      </w:r>
      <w:r>
        <w:t xml:space="preserve">En una comunidad ashaninka, la familia de una niña con neumonía rechaza el tratamiento del P.S. porque su sistema de salud tradicional atribuye el mal a otra causa y confía en el curandero. Personal y familia no logran acuerdo. ¿Qué situación se configura?</w:t>
      </w:r>
    </w:p>
    <w:p>
      <w:pPr>
        <w:pStyle w:val="opt"/>
      </w:pPr>
      <w:r>
        <w:rPr>
          <w:b w:val="false"/>
          <w:bCs w:val="false"/>
        </w:rPr>
        <w:t xml:space="preserve">A)  Aculturación</w:t>
      </w:r>
    </w:p>
    <w:p>
      <w:pPr>
        <w:pStyle w:val="opt"/>
      </w:pPr>
      <w:r>
        <w:rPr>
          <w:b/>
          <w:bCs/>
        </w:rPr>
        <w:t xml:space="preserve">B)  Conflicto intercultural</w:t>
      </w:r>
    </w:p>
    <w:p>
      <w:pPr>
        <w:pStyle w:val="opt"/>
      </w:pPr>
      <w:r>
        <w:rPr>
          <w:b w:val="false"/>
          <w:bCs w:val="false"/>
        </w:rPr>
        <w:t xml:space="preserve">C)  Sincretismo cultural</w:t>
      </w:r>
    </w:p>
    <w:p>
      <w:pPr>
        <w:pStyle w:val="opt"/>
      </w:pPr>
      <w:r>
        <w:rPr>
          <w:b w:val="false"/>
          <w:bCs w:val="false"/>
        </w:rPr>
        <w:t xml:space="preserve">D)  Relativismo cultural</w:t>
      </w:r>
    </w:p>
    <w:p>
      <w:pPr>
        <w:pStyle w:val="h4"/>
      </w:pPr>
      <w:r>
        <w:t xml:space="preserve">Clave: B</w:t>
      </w:r>
    </w:p>
    <w:p>
      <w:pPr>
        <w:pStyle w:val="sm"/>
      </w:pPr>
      <w:r>
        <w:rPr>
          <w:b/>
          <w:bCs/>
        </w:rPr>
        <w:t xml:space="preserve">Por qué. </w:t>
      </w:r>
      <w:r>
        <w:t xml:space="preserve">Hay dos sistemas de explicación de la enfermedad que se encuentran y no logran integrarse: el biomédico y el tradicional. Eso es un choque de saberes, es decir, conflicto intercultural. No hay pérdida de cultura ni fusión: hay desencuentro.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Aculturación</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PERDER la cultura propia al adoptar la dominante.</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la familia abandonara sus prácticas tradicionales y adoptara solo la biomedicina.</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Conflicto intercultural</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Choque entre dos sistemas de saberes que no se articulan.</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Cuando la creencia impide el acceso o la aceptación del servicio.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Sincretismo</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la FUSIÓN de ambos sistemas en una práctica nueva.</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Si la familia aceptara el antibiótico y además hiciera la limpia con cuy.</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Relativismo cultural</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una postura teórica: cada cultura se juzga con sus propios términos.</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En una discusión conceptual, no como diagnóstico de la situación.</w:t>
            </w:r>
          </w:p>
        </w:tc>
      </w:tr>
    </w:tbl>
    <w:p>
      <w:pPr>
        <w:pStyle w:val="sm"/>
        <w:spacing w:before="100"/>
      </w:pPr>
      <w:r>
        <w:rPr>
          <w:b/>
          <w:bCs/>
        </w:rPr>
        <w:t xml:space="preserve">Dato a fijar. </w:t>
      </w:r>
      <w:r>
        <w:t xml:space="preserve">Conducta correcta ante creencias tradicionales (siempre la misma): integrar y reforzar la interacción cultural, usar intérprete, mostrar interés por la práctica tradicional. Nunca: «cambiar sus costumbres», «imponer el tratamiento», «negarse a atender» ni «devolver a domicilio». Las opciones extremas son siempre incorrectas.</w:t>
      </w:r>
    </w:p>
    <w:p>
      <w:pPr>
        <w:pStyle w:val="sm"/>
      </w:pPr>
      <w:r>
        <w:rPr>
          <w:b/>
          <w:bCs/>
        </w:rPr>
        <w:t xml:space="preserve">Gatillo. </w:t>
      </w:r>
      <w:r>
        <w:t xml:space="preserve">¿Pierde su cultura? → aculturación. ¿Se mezclan? → sincretismo. ¿Chocan y no avanzan? → conflicto.</w:t>
      </w:r>
    </w:p>
    <w:p>
      <w:pPr>
        <w:pStyle w:val="sm"/>
      </w:pPr>
      <w:r>
        <w:rPr>
          <w:b/>
          <w:bCs/>
        </w:rPr>
        <w:t xml:space="preserve">Trampa. </w:t>
      </w:r>
      <w:r>
        <w:t xml:space="preserve">Aculturación y conflicto aparecen juntas como par en el examen.</w:t>
      </w:r>
    </w:p>
    <w:p>
      <w:pPr>
        <w:pStyle w:val="src"/>
      </w:pPr>
      <w:r>
        <w:t xml:space="preserve">Fuente: DS 016-2016-SA (Política Sectorial de Salud Intercultural) · NTS 047-MINSA/DGIESP. Moldes: 2024-2A Q44 y 2024-2B Q68.</w:t>
      </w:r>
    </w:p>
    <w:p>
      <w:pPr>
        <w:pStyle w:val="tag"/>
      </w:pPr>
      <w:r>
        <w:t xml:space="preserve">III-5 · Pertinencia cultural · 5 pts · CRÍTICO</w:t>
      </w:r>
    </w:p>
    <w:p>
      <w:pPr>
        <w:pStyle w:val="enun"/>
      </w:pPr>
      <w:r>
        <w:rPr>
          <w:b/>
          <w:bCs/>
        </w:rPr>
        <w:t xml:space="preserve">19. </w:t>
      </w:r>
      <w:r>
        <w:t xml:space="preserve">La pertinencia cultural en los servicios de salud implica que durante todo el proceso de la atención se tomen en cuenta las características de la población que se atiende, en función de su cultura y contexto social. Evalúa cuatro dimensiones: gestión para la calidad de la atención, revaloración del sistema de salud tradicional, recursos humanos que promueven la salud intercultural y la...</w:t>
      </w:r>
    </w:p>
    <w:p>
      <w:pPr>
        <w:pStyle w:val="opt"/>
      </w:pPr>
      <w:r>
        <w:rPr>
          <w:b w:val="false"/>
          <w:bCs w:val="false"/>
        </w:rPr>
        <w:t xml:space="preserve">A)  atención intercultural.</w:t>
      </w:r>
    </w:p>
    <w:p>
      <w:pPr>
        <w:pStyle w:val="opt"/>
      </w:pPr>
      <w:r>
        <w:rPr>
          <w:b w:val="false"/>
          <w:bCs w:val="false"/>
        </w:rPr>
        <w:t xml:space="preserve">B)  interculturalidad en salud.</w:t>
      </w:r>
    </w:p>
    <w:p>
      <w:pPr>
        <w:pStyle w:val="opt"/>
      </w:pPr>
      <w:r>
        <w:rPr>
          <w:b/>
          <w:bCs/>
        </w:rPr>
        <w:t xml:space="preserve">C)  participación ciudadana.</w:t>
      </w:r>
    </w:p>
    <w:p>
      <w:pPr>
        <w:pStyle w:val="opt"/>
      </w:pPr>
      <w:r>
        <w:rPr>
          <w:b w:val="false"/>
          <w:bCs w:val="false"/>
        </w:rPr>
        <w:t xml:space="preserve">D)  inclusión social.</w:t>
      </w:r>
    </w:p>
    <w:p>
      <w:pPr>
        <w:pStyle w:val="h4"/>
      </w:pPr>
      <w:r>
        <w:t xml:space="preserve">Clave: C</w:t>
      </w:r>
    </w:p>
    <w:p>
      <w:pPr>
        <w:pStyle w:val="sm"/>
      </w:pPr>
      <w:r>
        <w:rPr>
          <w:b/>
          <w:bCs/>
        </w:rPr>
        <w:t xml:space="preserve">Por qué. </w:t>
      </w:r>
      <w:r>
        <w:t xml:space="preserve">La cuarta dimensión es PARTICIPACIÓN CIUDADANA porque las otras tres miran hacia adentro del establecimiento (cómo se gestiona, qué saberes reconoce, qué competencias tiene su personal) y falta el eslabón que lo abre hacia afuera: articular con la población de manera directa en la planificación, implementación, monitoreo y evaluación de las actividades del EESS. Sin ese cuarto componente el enfoque intercultural lo decide el servicio solo, que es justo lo que la norma quiere evitar.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atención intercultural</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Suena a la dimensión asistencial que "falta", y por eso es el distractor mejor puesto del ítem. Pero no es una de las cuatro dimensiones: es el nombre genérico de todo el enfoque.</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En una pregunta sobre cómo se llama el modelo de atención con enfoque intercultural, no sobre sus dimensiones.</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B) interculturalidad en salud</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el marco conceptual completo, no una dimensión dentro de él.</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Cayó como clave en 2025-1A Q55: el caso del adulto mayor con "mal de ojo" al que se le muestra interés e integración de cuidados.</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C) participación ciudadana</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Articulación directa con la población en planificación, implementación, monitoreo y evaluación de las actividades del establecimiento.</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Es la cuarta dimensión. Clave oficial verificada en 2025-1A Q76 y 2025-1B Q13.</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inclusión social</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Es un objetivo de política social, no una dimensión operativa de la pertinencia cultural.</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En preguntas sobre determinantes sociales o política de inclusión.</w:t>
            </w:r>
          </w:p>
        </w:tc>
      </w:tr>
    </w:tbl>
    <w:p>
      <w:pPr>
        <w:pStyle w:val="sm"/>
        <w:spacing w:before="100"/>
      </w:pPr>
      <w:r>
        <w:rPr>
          <w:b/>
          <w:bCs/>
        </w:rPr>
        <w:t xml:space="preserve">Dato a fijar. </w:t>
      </w:r>
      <w:r>
        <w:t xml:space="preserve">Las 4 dimensiones con su contenido (texto del compendio): 1) GESTIÓN PARA LA CALIDAD DE LA ATENCIÓN: lo que el EESS dispone en planificación y organización para garantizar calidad, comprometiendo a todo el personal. 2) REVALORACIÓN DEL SISTEMA DE SALUD TRADICIONAL: evidenciar la práctica de la medicina tradicional dentro o fuera del EESS y visibilizar a los actores que la ejercen en la localidad. 3) RECURSOS HUMANOS QUE PROMUEVEN LA SALUD INTERCULTURAL: que el personal cuente con competencias y favorezca la comunicación intercultural. 4) PARTICIPACIÓN CIUDADANA: articular con la población de forma directa y participativa en planificación, implementación, monitoreo y evaluación. · Dato hermano que cae igual: un ESTABLECIMIENTO DE SALUD CON PERTINENCIA CULTURAL es el que fue evaluado y cumplió MÁS DEL 80 % de los criterios estandarizados. · Priorización: A = comunidades étnicas amazónicas · B = quechua/aymara andino y afrodescendiente de costa · C = el resto (plazos de 3 y 5 años).</w:t>
      </w:r>
    </w:p>
    <w:p>
      <w:pPr>
        <w:pStyle w:val="sm"/>
      </w:pPr>
      <w:r>
        <w:rPr>
          <w:b/>
          <w:bCs/>
        </w:rPr>
        <w:t xml:space="preserve">Gatillo. </w:t>
      </w:r>
      <w:r>
        <w:t xml:space="preserve">Memorizá las cuatro por a qué apuntan: la gestión, los saberes, el personal y LA GENTE. La que falta casi siempre es la gente.</w:t>
      </w:r>
    </w:p>
    <w:p>
      <w:pPr>
        <w:pStyle w:val="sm"/>
      </w:pPr>
      <w:r>
        <w:rPr>
          <w:b/>
          <w:bCs/>
        </w:rPr>
        <w:t xml:space="preserve">Trampa. </w:t>
      </w:r>
      <w:r>
        <w:t xml:space="preserve">El distractor "atención intercultural" es el que se lleva a casi todos, porque parece completar la lista por el lado asistencial. No lo es.</w:t>
      </w:r>
    </w:p>
    <w:p>
      <w:pPr>
        <w:pStyle w:val="src"/>
      </w:pPr>
      <w:r>
        <w:t xml:space="preserve">Fuente: Directiva Administrativa N° 261-MINSA/2019/DGIESP, aprobada por RM 228-2019/MINSA (adecuación de los servicios de salud con pertinencia cultural en el primer nivel de atención). Texto literal en el Compendio Ética e Interculturalidad 2026-II (Dr. López). Clave oficial verificada: 2025-1A Q76 y 2025-1B Q13.</w:t>
      </w:r>
    </w:p>
    <w:p>
      <w:pPr>
        <w:pStyle w:val="tag"/>
      </w:pPr>
      <w:r>
        <w:t xml:space="preserve">III-8 · Principios del servidor público · 4 pts</w:t>
      </w:r>
    </w:p>
    <w:p>
      <w:pPr>
        <w:pStyle w:val="enun"/>
      </w:pPr>
      <w:r>
        <w:rPr>
          <w:b/>
          <w:bCs/>
        </w:rPr>
        <w:t xml:space="preserve">20. </w:t>
      </w:r>
      <w:r>
        <w:t xml:space="preserve">El serumista atiende a un paciente con un diagnóstico que exige reserva. Al manejar esa información conforme a la Ley 27815, ¿qué principios del servidor público está cumpliendo?</w:t>
      </w:r>
    </w:p>
    <w:p>
      <w:pPr>
        <w:pStyle w:val="opt"/>
      </w:pPr>
      <w:r>
        <w:rPr>
          <w:b w:val="false"/>
          <w:bCs w:val="false"/>
        </w:rPr>
        <w:t xml:space="preserve">A)  Silencio y manejo de la información</w:t>
      </w:r>
    </w:p>
    <w:p>
      <w:pPr>
        <w:pStyle w:val="opt"/>
      </w:pPr>
      <w:r>
        <w:rPr>
          <w:b/>
          <w:bCs/>
        </w:rPr>
        <w:t xml:space="preserve">B)  Respeto, probidad y eficiencia</w:t>
      </w:r>
    </w:p>
    <w:p>
      <w:pPr>
        <w:pStyle w:val="opt"/>
      </w:pPr>
      <w:r>
        <w:rPr>
          <w:b w:val="false"/>
          <w:bCs w:val="false"/>
        </w:rPr>
        <w:t xml:space="preserve">C)  Autonomía, beneficencia y justicia</w:t>
      </w:r>
    </w:p>
    <w:p>
      <w:pPr>
        <w:pStyle w:val="opt"/>
      </w:pPr>
      <w:r>
        <w:rPr>
          <w:b w:val="false"/>
          <w:bCs w:val="false"/>
        </w:rPr>
        <w:t xml:space="preserve">D)  Lealtad y obediencia</w:t>
      </w:r>
    </w:p>
    <w:p>
      <w:pPr>
        <w:pStyle w:val="h4"/>
      </w:pPr>
      <w:r>
        <w:t xml:space="preserve">Clave: B</w:t>
      </w:r>
    </w:p>
    <w:p>
      <w:pPr>
        <w:pStyle w:val="sm"/>
      </w:pPr>
      <w:r>
        <w:rPr>
          <w:b/>
          <w:bCs/>
        </w:rPr>
        <w:t xml:space="preserve">Por qué. </w:t>
      </w:r>
      <w:r>
        <w:t xml:space="preserve">La Ley 27815 tiene una lista cerrada de principios, y los que se activan aquí son: RESPETO (a los derechos y la dignidad del paciente), PROBIDAD (actuar con rectitud, sin usar la información en provecho propio) y EFICIENCIA (cumplir bien la función). El manejo reservado no es un principio en sí: es la consecuencia de aplicar estos tres.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20"/>
          <w:bottom w:type="dxa" w:w="60"/>
          <w:right w:type="dxa" w:w="120"/>
        </w:tblCellMar>
      </w:tblPr>
      <w:tblGrid>
        <w:gridCol w:w="2200"/>
        <w:gridCol w:w="3480"/>
        <w:gridCol w:w="3680"/>
      </w:tblGrid>
      <w:tr>
        <w:trPr>
          <w:tblHeader/>
        </w:trPr>
        <w:tc>
          <w:tcPr>
            <w:tcW w:type="dxa" w:w="2200"/>
            <w:tcBorders>
              <w:top w:val="single" w:color="BFBFBF" w:sz="1"/>
              <w:left w:val="single" w:color="BFBFBF" w:sz="1"/>
              <w:bottom w:val="single" w:color="BFBFBF" w:sz="1"/>
              <w:right w:val="single" w:color="BFBFBF" w:sz="1"/>
            </w:tcBorders>
            <w:shd w:fill="F2F2F2" w:val="clear"/>
          </w:tcPr>
          <w:p>
            <w:r>
              <w:rPr>
                <w:b/>
                <w:bCs/>
                <w:sz w:val="16"/>
                <w:szCs w:val="16"/>
              </w:rPr>
              <w:t xml:space="preserve">Opción</w:t>
            </w:r>
          </w:p>
        </w:tc>
        <w:tc>
          <w:tcPr>
            <w:tcW w:type="dxa" w:w="3480"/>
            <w:tcBorders>
              <w:top w:val="single" w:color="BFBFBF" w:sz="1"/>
              <w:left w:val="single" w:color="BFBFBF" w:sz="1"/>
              <w:bottom w:val="single" w:color="BFBFBF" w:sz="1"/>
              <w:right w:val="single" w:color="BFBFBF" w:sz="1"/>
            </w:tcBorders>
            <w:shd w:fill="F2F2F2" w:val="clear"/>
          </w:tcPr>
          <w:p>
            <w:r>
              <w:rPr>
                <w:b/>
                <w:bCs/>
                <w:sz w:val="16"/>
                <w:szCs w:val="16"/>
              </w:rPr>
              <w:t xml:space="preserve">Por qué no aquí</w:t>
            </w:r>
          </w:p>
        </w:tc>
        <w:tc>
          <w:tcPr>
            <w:tcW w:type="dxa" w:w="3680"/>
            <w:tcBorders>
              <w:top w:val="single" w:color="BFBFBF" w:sz="1"/>
              <w:left w:val="single" w:color="BFBFBF" w:sz="1"/>
              <w:bottom w:val="single" w:color="BFBFBF" w:sz="1"/>
              <w:right w:val="single" w:color="BFBFBF" w:sz="1"/>
            </w:tcBorders>
            <w:shd w:fill="F2F2F2" w:val="clear"/>
          </w:tcPr>
          <w:p>
            <w:r>
              <w:rPr>
                <w:b/>
                <w:bCs/>
                <w:sz w:val="16"/>
                <w:szCs w:val="16"/>
              </w:rPr>
              <w:t xml:space="preserve">Cuándo SÍ sería correcta</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A) Silencio y manejo de la información</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NO existe como principio en la Ley 27815. Es el distractor diseñado para el que razona por sentido común.</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En ninguno: no está en la norma.</w:t>
            </w:r>
          </w:p>
        </w:tc>
      </w:tr>
      <w:tr>
        <w:tc>
          <w:tcPr>
            <w:tcW w:type="dxa" w:w="2200"/>
            <w:tcBorders>
              <w:top w:val="single" w:color="BFBFBF" w:sz="1"/>
              <w:left w:val="single" w:color="BFBFBF" w:sz="1"/>
              <w:bottom w:val="single" w:color="BFBFBF" w:sz="1"/>
              <w:right w:val="single" w:color="BFBFBF" w:sz="1"/>
            </w:tcBorders>
            <w:shd w:fill="EAF3EA" w:val="clear"/>
          </w:tcPr>
          <w:p>
            <w:r>
              <w:rPr>
                <w:b/>
                <w:bCs/>
                <w:sz w:val="16"/>
                <w:szCs w:val="16"/>
              </w:rPr>
              <w:t xml:space="preserve">B) Respeto, probidad y eficiencia</w:t>
            </w:r>
          </w:p>
        </w:tc>
        <w:tc>
          <w:tcPr>
            <w:tcW w:type="dxa" w:w="34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CLAVE. Los tres principios de la Ley 27815 que aplican al caso.</w:t>
            </w:r>
          </w:p>
        </w:tc>
        <w:tc>
          <w:tcPr>
            <w:tcW w:type="dxa" w:w="3680"/>
            <w:tcBorders>
              <w:top w:val="single" w:color="BFBFBF" w:sz="1"/>
              <w:left w:val="single" w:color="BFBFBF" w:sz="1"/>
              <w:bottom w:val="single" w:color="BFBFBF" w:sz="1"/>
              <w:right w:val="single" w:color="BFBFBF" w:sz="1"/>
            </w:tcBorders>
            <w:shd w:fill="EAF3EA" w:val="clear"/>
          </w:tcPr>
          <w:p>
            <w:r>
              <w:rPr>
                <w:b w:val="false"/>
                <w:bCs w:val="false"/>
                <w:sz w:val="16"/>
                <w:szCs w:val="16"/>
              </w:rPr>
              <w:t xml:space="preserve">Siempre que se pida el marco del SERVIDOR PÚBLICO.</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C) Autonomía, beneficencia y justicia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Son principios BIOÉTICOS (Beauchamp y Childress / Informe Belmont), otro marco.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En preguntas de bioética clínica o de investigación (III-1).</w:t>
            </w:r>
          </w:p>
        </w:tc>
      </w:tr>
      <w:tr>
        <w:tc>
          <w:tcPr>
            <w:tcW w:type="dxa" w:w="2200"/>
            <w:tcBorders>
              <w:top w:val="single" w:color="BFBFBF" w:sz="1"/>
              <w:left w:val="single" w:color="BFBFBF" w:sz="1"/>
              <w:bottom w:val="single" w:color="BFBFBF" w:sz="1"/>
              <w:right w:val="single" w:color="BFBFBF" w:sz="1"/>
            </w:tcBorders>
          </w:tcPr>
          <w:p>
            <w:r>
              <w:rPr>
                <w:b w:val="false"/>
                <w:bCs w:val="false"/>
                <w:sz w:val="16"/>
                <w:szCs w:val="16"/>
              </w:rPr>
              <w:t xml:space="preserve">D) Lealtad y obediencia</w:t>
            </w:r>
          </w:p>
        </w:tc>
        <w:tc>
          <w:tcPr>
            <w:tcW w:type="dxa" w:w="3480"/>
            <w:tcBorders>
              <w:top w:val="single" w:color="BFBFBF" w:sz="1"/>
              <w:left w:val="single" w:color="BFBFBF" w:sz="1"/>
              <w:bottom w:val="single" w:color="BFBFBF" w:sz="1"/>
              <w:right w:val="single" w:color="BFBFBF" w:sz="1"/>
            </w:tcBorders>
          </w:tcPr>
          <w:p>
            <w:r>
              <w:rPr>
                <w:b w:val="false"/>
                <w:bCs w:val="false"/>
                <w:sz w:val="16"/>
                <w:szCs w:val="16"/>
              </w:rPr>
              <w:t xml:space="preserve">Existe en la ley, pero se refiere a la relación con el superior jerárquico.</w:t>
            </w:r>
          </w:p>
        </w:tc>
        <w:tc>
          <w:tcPr>
            <w:tcW w:type="dxa" w:w="3680"/>
            <w:tcBorders>
              <w:top w:val="single" w:color="BFBFBF" w:sz="1"/>
              <w:left w:val="single" w:color="BFBFBF" w:sz="1"/>
              <w:bottom w:val="single" w:color="BFBFBF" w:sz="1"/>
              <w:right w:val="single" w:color="BFBFBF" w:sz="1"/>
            </w:tcBorders>
          </w:tcPr>
          <w:p>
            <w:r>
              <w:rPr>
                <w:b w:val="false"/>
                <w:bCs w:val="false"/>
                <w:sz w:val="16"/>
                <w:szCs w:val="16"/>
              </w:rPr>
              <w:t xml:space="preserve">Ante un caso sobre acatar disposiciones de la autoridad.</w:t>
            </w:r>
          </w:p>
        </w:tc>
      </w:tr>
    </w:tbl>
    <w:p>
      <w:pPr>
        <w:pStyle w:val="sm"/>
        <w:spacing w:before="100"/>
      </w:pPr>
      <w:r>
        <w:rPr>
          <w:b/>
          <w:bCs/>
        </w:rPr>
        <w:t xml:space="preserve">Dato a fijar. </w:t>
      </w:r>
      <w:r>
        <w:t xml:space="preserve">No mezclar los tres marcos: Ley 27815 (servidor público): respeto, probidad, eficiencia, idoneidad, veracidad, lealtad y obediencia, justicia y equidad, lealtad al Estado de derecho · Bioética (Beauchamp): autonomía, beneficencia, no maleficencia, justicia · Ley 15173 (Código de Ética del CMP): deberes deontológicos del médico.</w:t>
      </w:r>
    </w:p>
    <w:p>
      <w:pPr>
        <w:pStyle w:val="sm"/>
      </w:pPr>
      <w:r>
        <w:rPr>
          <w:b/>
          <w:bCs/>
        </w:rPr>
        <w:t xml:space="preserve">Gatillo. </w:t>
      </w:r>
      <w:r>
        <w:t xml:space="preserve">Si el enunciado dice «servidor público» o cita la Ley 27815 → principios de la ley, no bioéticos. Si dice «adecuación intercultural / buen trato» → justicia y equidad.</w:t>
      </w:r>
    </w:p>
    <w:p>
      <w:pPr>
        <w:pStyle w:val="sm"/>
      </w:pPr>
      <w:r>
        <w:rPr>
          <w:b/>
          <w:bCs/>
        </w:rPr>
        <w:t xml:space="preserve">Trampa. </w:t>
      </w:r>
      <w:r>
        <w:t xml:space="preserve">Este ítem cayó TEXTUAL dos veces (2025-1A Q48 y 2025-1B Q12) y el distractor del silencio se lleva a muchos.</w:t>
      </w:r>
    </w:p>
    <w:p>
      <w:pPr>
        <w:pStyle w:val="src"/>
      </w:pPr>
      <w:r>
        <w:t xml:space="preserve">Fuente: Ley 27815, Código de Ética de la Función Pública · DS 033-2005-PCM.</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ENCAPS 2026-II · banco de rentabilidad · 05-ago-2026 · pág.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before="0"/>
      <w:jc w:val="center"/>
    </w:pPr>
    <w:rPr>
      <w:rFonts w:ascii="Arial" w:cs="Arial" w:eastAsia="Arial" w:hAnsi="Arial"/>
      <w:b/>
      <w:bCs/>
      <w:color w:val="000000"/>
      <w:sz w:val="34"/>
      <w:szCs w:val="34"/>
    </w:rPr>
  </w:style>
  <w:style w:type="paragraph" w:styleId="Heading1">
    <w:name w:val="Heading 1"/>
    <w:basedOn w:val="Normal"/>
    <w:next w:val="Normal"/>
    <w:pPr>
      <w:spacing w:after="120" w:before="240"/>
      <w:outlineLvl w:val="0"/>
    </w:pPr>
    <w:rPr>
      <w:rFonts w:ascii="Arial" w:cs="Arial" w:eastAsia="Arial" w:hAnsi="Arial"/>
      <w:b/>
      <w:bCs/>
      <w:color w:val="000000"/>
      <w:sz w:val="24"/>
      <w:szCs w:val="24"/>
    </w:rPr>
  </w:style>
  <w:style w:type="paragraph" w:styleId="sub">
    <w:name w:val="Sub"/>
    <w:basedOn w:val="Normal"/>
    <w:pPr>
      <w:spacing w:after="40"/>
      <w:jc w:val="center"/>
    </w:pPr>
    <w:rPr>
      <w:rFonts w:ascii="Arial" w:cs="Arial" w:eastAsia="Arial" w:hAnsi="Arial"/>
      <w:color w:val="595959"/>
      <w:sz w:val="18"/>
      <w:szCs w:val="18"/>
    </w:rPr>
  </w:style>
  <w:style w:type="paragraph" w:styleId="tag">
    <w:name w:val="Tag"/>
    <w:basedOn w:val="Normal"/>
    <w:pPr>
      <w:spacing w:after="40" w:before="200"/>
    </w:pPr>
    <w:rPr>
      <w:rFonts w:ascii="Arial" w:cs="Arial" w:eastAsia="Arial" w:hAnsi="Arial"/>
      <w:b/>
      <w:bCs/>
      <w:color w:val="595959"/>
      <w:sz w:val="16"/>
      <w:szCs w:val="16"/>
    </w:rPr>
  </w:style>
  <w:style w:type="paragraph" w:styleId="enun">
    <w:name w:val="Enun"/>
    <w:basedOn w:val="Normal"/>
    <w:pPr>
      <w:spacing w:after="80"/>
      <w:jc w:val="both"/>
    </w:pPr>
    <w:rPr>
      <w:rFonts w:ascii="Arial" w:cs="Arial" w:eastAsia="Arial" w:hAnsi="Arial"/>
      <w:sz w:val="21"/>
      <w:szCs w:val="21"/>
    </w:rPr>
  </w:style>
  <w:style w:type="paragraph" w:styleId="opt">
    <w:name w:val="Opt"/>
    <w:basedOn w:val="Normal"/>
    <w:pPr>
      <w:spacing w:after="20"/>
      <w:ind w:left="340"/>
    </w:pPr>
    <w:rPr>
      <w:rFonts w:ascii="Arial" w:cs="Arial" w:eastAsia="Arial" w:hAnsi="Arial"/>
      <w:sz w:val="21"/>
      <w:szCs w:val="21"/>
    </w:rPr>
  </w:style>
  <w:style w:type="paragraph" w:styleId="sm">
    <w:name w:val="Sm"/>
    <w:basedOn w:val="Normal"/>
    <w:pPr>
      <w:spacing w:after="60"/>
      <w:jc w:val="both"/>
    </w:pPr>
    <w:rPr>
      <w:rFonts w:ascii="Arial" w:cs="Arial" w:eastAsia="Arial" w:hAnsi="Arial"/>
      <w:sz w:val="18"/>
      <w:szCs w:val="18"/>
    </w:rPr>
  </w:style>
  <w:style w:type="paragraph" w:styleId="src">
    <w:name w:val="Src"/>
    <w:basedOn w:val="Normal"/>
    <w:pPr>
      <w:spacing w:after="120" w:before="60"/>
    </w:pPr>
    <w:rPr>
      <w:rFonts w:ascii="Arial" w:cs="Arial" w:eastAsia="Arial" w:hAnsi="Arial"/>
      <w:i/>
      <w:iCs/>
      <w:color w:val="595959"/>
      <w:sz w:val="16"/>
      <w:szCs w:val="16"/>
    </w:rPr>
  </w:style>
  <w:style w:type="paragraph" w:styleId="h4">
    <w:name w:val="H4"/>
    <w:basedOn w:val="Normal"/>
    <w:pPr>
      <w:spacing w:after="40" w:before="120"/>
    </w:pPr>
    <w:rPr>
      <w:rFonts w:ascii="Arial" w:cs="Arial" w:eastAsia="Arial" w:hAnsi="Arial"/>
      <w:b/>
      <w:b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2026-08-06T03:47:15.013Z</dcterms:created>
  <dcterms:modified xsi:type="dcterms:W3CDTF">2026-08-06T03:47:15.013Z</dcterms:modified>
</cp:coreProperties>
</file>

<file path=docProps/custom.xml><?xml version="1.0" encoding="utf-8"?>
<Properties xmlns="http://schemas.openxmlformats.org/officeDocument/2006/custom-properties" xmlns:vt="http://schemas.openxmlformats.org/officeDocument/2006/docPropsVTypes"/>
</file>